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4"/>
        <w:rPr>
          <w:rFonts w:ascii="Times New Roman"/>
        </w:rPr>
      </w:pPr>
      <w:r>
        <w:rPr/>
        <w:pict>
          <v:rect style="position:absolute;margin-left:0pt;margin-top:.000015pt;width:595.275pt;height:841.89pt;mso-position-horizontal-relative:page;mso-position-vertical-relative:page;z-index:-18127360" id="docshape1" filled="true" fillcolor="#0072bc" stroked="false">
            <v:fill type="solid"/>
            <w10:wrap type="none"/>
          </v:rect>
        </w:pict>
      </w:r>
      <w:r>
        <w:rPr>
          <w:rFonts w:ascii="Times New Roman"/>
        </w:rPr>
        <w:drawing>
          <wp:inline distT="0" distB="0" distL="0" distR="0">
            <wp:extent cx="2818157" cy="89611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818157" cy="896112"/>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before="263"/>
        <w:ind w:left="176" w:right="0" w:firstLine="0"/>
        <w:jc w:val="left"/>
        <w:rPr>
          <w:rFonts w:ascii="Century Gothic"/>
          <w:b/>
          <w:sz w:val="40"/>
        </w:rPr>
      </w:pPr>
      <w:r>
        <w:rPr>
          <w:rFonts w:ascii="Century Gothic"/>
          <w:b/>
          <w:color w:val="C9DC50"/>
          <w:spacing w:val="-2"/>
          <w:sz w:val="40"/>
        </w:rPr>
        <w:t>Research</w:t>
      </w:r>
    </w:p>
    <w:p>
      <w:pPr>
        <w:pStyle w:val="BodyText"/>
        <w:spacing w:before="5"/>
        <w:rPr>
          <w:rFonts w:ascii="Century Gothic"/>
          <w:b/>
          <w:sz w:val="46"/>
        </w:rPr>
      </w:pPr>
    </w:p>
    <w:p>
      <w:pPr>
        <w:pStyle w:val="Title"/>
        <w:spacing w:line="228" w:lineRule="auto"/>
      </w:pPr>
      <w:r>
        <w:rPr>
          <w:color w:val="FFFFFF"/>
          <w:spacing w:val="-44"/>
        </w:rPr>
        <w:t>Evaluation</w:t>
      </w:r>
      <w:r>
        <w:rPr>
          <w:color w:val="FFFFFF"/>
          <w:spacing w:val="-99"/>
        </w:rPr>
        <w:t> </w:t>
      </w:r>
      <w:r>
        <w:rPr>
          <w:color w:val="FFFFFF"/>
          <w:spacing w:val="-44"/>
        </w:rPr>
        <w:t>of</w:t>
      </w:r>
      <w:r>
        <w:rPr>
          <w:color w:val="FFFFFF"/>
          <w:spacing w:val="-98"/>
        </w:rPr>
        <w:t> </w:t>
      </w:r>
      <w:r>
        <w:rPr>
          <w:color w:val="FFFFFF"/>
          <w:spacing w:val="-44"/>
        </w:rPr>
        <w:t>Acas</w:t>
      </w:r>
      <w:r>
        <w:rPr>
          <w:color w:val="FFFFFF"/>
          <w:spacing w:val="-97"/>
        </w:rPr>
        <w:t> </w:t>
      </w:r>
      <w:r>
        <w:rPr>
          <w:color w:val="FFFFFF"/>
          <w:spacing w:val="-44"/>
          <w:position w:val="-2"/>
        </w:rPr>
        <w:t>Individual </w:t>
      </w:r>
      <w:r>
        <w:rPr>
          <w:color w:val="FFFFFF"/>
          <w:spacing w:val="-36"/>
        </w:rPr>
        <w:t>Conciliation</w:t>
      </w:r>
      <w:r>
        <w:rPr>
          <w:color w:val="FFFFFF"/>
          <w:spacing w:val="-99"/>
        </w:rPr>
        <w:t> </w:t>
      </w:r>
      <w:r>
        <w:rPr>
          <w:color w:val="FFFFFF"/>
          <w:spacing w:val="-36"/>
        </w:rPr>
        <w:t>2019:</w:t>
      </w:r>
    </w:p>
    <w:p>
      <w:pPr>
        <w:spacing w:line="235" w:lineRule="auto" w:before="416"/>
        <w:ind w:left="204" w:right="395" w:firstLine="0"/>
        <w:jc w:val="left"/>
        <w:rPr>
          <w:rFonts w:ascii="Century Gothic"/>
          <w:sz w:val="52"/>
        </w:rPr>
      </w:pPr>
      <w:r>
        <w:rPr>
          <w:rFonts w:ascii="Century Gothic"/>
          <w:color w:val="FFFFFF"/>
          <w:spacing w:val="-40"/>
          <w:w w:val="105"/>
          <w:sz w:val="52"/>
        </w:rPr>
        <w:t>Evaluations</w:t>
      </w:r>
      <w:r>
        <w:rPr>
          <w:rFonts w:ascii="Century Gothic"/>
          <w:color w:val="FFFFFF"/>
          <w:spacing w:val="-95"/>
          <w:w w:val="105"/>
          <w:sz w:val="52"/>
        </w:rPr>
        <w:t> </w:t>
      </w:r>
      <w:r>
        <w:rPr>
          <w:rFonts w:ascii="Century Gothic"/>
          <w:color w:val="FFFFFF"/>
          <w:spacing w:val="-40"/>
          <w:w w:val="105"/>
          <w:sz w:val="52"/>
        </w:rPr>
        <w:t>of</w:t>
      </w:r>
      <w:r>
        <w:rPr>
          <w:rFonts w:ascii="Century Gothic"/>
          <w:color w:val="FFFFFF"/>
          <w:spacing w:val="-94"/>
          <w:w w:val="105"/>
          <w:sz w:val="52"/>
        </w:rPr>
        <w:t> </w:t>
      </w:r>
      <w:r>
        <w:rPr>
          <w:rFonts w:ascii="Century Gothic"/>
          <w:color w:val="FFFFFF"/>
          <w:spacing w:val="-40"/>
          <w:w w:val="105"/>
          <w:sz w:val="52"/>
        </w:rPr>
        <w:t>Early</w:t>
      </w:r>
      <w:r>
        <w:rPr>
          <w:rFonts w:ascii="Century Gothic"/>
          <w:color w:val="FFFFFF"/>
          <w:spacing w:val="-94"/>
          <w:w w:val="105"/>
          <w:sz w:val="52"/>
        </w:rPr>
        <w:t> </w:t>
      </w:r>
      <w:r>
        <w:rPr>
          <w:rFonts w:ascii="Century Gothic"/>
          <w:color w:val="FFFFFF"/>
          <w:spacing w:val="-40"/>
          <w:w w:val="105"/>
          <w:sz w:val="52"/>
        </w:rPr>
        <w:t>Conciliation</w:t>
      </w:r>
      <w:r>
        <w:rPr>
          <w:rFonts w:ascii="Century Gothic"/>
          <w:color w:val="FFFFFF"/>
          <w:spacing w:val="-94"/>
          <w:w w:val="105"/>
          <w:sz w:val="52"/>
        </w:rPr>
        <w:t> </w:t>
      </w:r>
      <w:r>
        <w:rPr>
          <w:rFonts w:ascii="Century Gothic"/>
          <w:color w:val="FFFFFF"/>
          <w:spacing w:val="-40"/>
          <w:w w:val="105"/>
          <w:sz w:val="52"/>
        </w:rPr>
        <w:t>and </w:t>
      </w:r>
      <w:r>
        <w:rPr>
          <w:rFonts w:ascii="Century Gothic"/>
          <w:color w:val="FFFFFF"/>
          <w:spacing w:val="-36"/>
          <w:w w:val="105"/>
          <w:sz w:val="52"/>
        </w:rPr>
        <w:t>conciliation</w:t>
      </w:r>
      <w:r>
        <w:rPr>
          <w:rFonts w:ascii="Century Gothic"/>
          <w:color w:val="FFFFFF"/>
          <w:spacing w:val="-95"/>
          <w:w w:val="105"/>
          <w:sz w:val="52"/>
        </w:rPr>
        <w:t> </w:t>
      </w:r>
      <w:r>
        <w:rPr>
          <w:rFonts w:ascii="Century Gothic"/>
          <w:color w:val="FFFFFF"/>
          <w:spacing w:val="-36"/>
          <w:w w:val="105"/>
          <w:sz w:val="52"/>
        </w:rPr>
        <w:t>in</w:t>
      </w:r>
      <w:r>
        <w:rPr>
          <w:rFonts w:ascii="Century Gothic"/>
          <w:color w:val="FFFFFF"/>
          <w:spacing w:val="-94"/>
          <w:w w:val="105"/>
          <w:sz w:val="52"/>
        </w:rPr>
        <w:t> </w:t>
      </w:r>
      <w:r>
        <w:rPr>
          <w:rFonts w:ascii="Century Gothic"/>
          <w:color w:val="FFFFFF"/>
          <w:spacing w:val="-36"/>
          <w:w w:val="105"/>
          <w:sz w:val="52"/>
        </w:rPr>
        <w:t>Employment</w:t>
      </w:r>
      <w:r>
        <w:rPr>
          <w:rFonts w:ascii="Century Gothic"/>
          <w:color w:val="FFFFFF"/>
          <w:spacing w:val="-94"/>
          <w:w w:val="105"/>
          <w:sz w:val="52"/>
        </w:rPr>
        <w:t> </w:t>
      </w:r>
      <w:r>
        <w:rPr>
          <w:rFonts w:ascii="Century Gothic"/>
          <w:color w:val="FFFFFF"/>
          <w:spacing w:val="-36"/>
          <w:w w:val="105"/>
          <w:sz w:val="52"/>
        </w:rPr>
        <w:t>Tribunal </w:t>
      </w:r>
      <w:r>
        <w:rPr>
          <w:rFonts w:ascii="Century Gothic"/>
          <w:color w:val="FFFFFF"/>
          <w:spacing w:val="-28"/>
          <w:w w:val="105"/>
          <w:sz w:val="52"/>
        </w:rPr>
        <w:t>applications</w:t>
      </w:r>
    </w:p>
    <w:p>
      <w:pPr>
        <w:pStyle w:val="BodyText"/>
        <w:rPr>
          <w:rFonts w:ascii="Century Gothic"/>
          <w:sz w:val="64"/>
        </w:rPr>
      </w:pPr>
    </w:p>
    <w:p>
      <w:pPr>
        <w:pStyle w:val="BodyText"/>
        <w:rPr>
          <w:rFonts w:ascii="Century Gothic"/>
          <w:sz w:val="76"/>
        </w:rPr>
      </w:pPr>
    </w:p>
    <w:p>
      <w:pPr>
        <w:spacing w:before="0"/>
        <w:ind w:left="183" w:right="395" w:firstLine="0"/>
        <w:jc w:val="left"/>
        <w:rPr>
          <w:rFonts w:ascii="Century Gothic"/>
          <w:sz w:val="36"/>
        </w:rPr>
      </w:pPr>
      <w:r>
        <w:rPr>
          <w:rFonts w:ascii="Century Gothic"/>
          <w:color w:val="FFFFFF"/>
          <w:spacing w:val="-10"/>
          <w:sz w:val="36"/>
        </w:rPr>
        <w:t>Keiran</w:t>
      </w:r>
      <w:r>
        <w:rPr>
          <w:rFonts w:ascii="Century Gothic"/>
          <w:color w:val="FFFFFF"/>
          <w:spacing w:val="-22"/>
          <w:sz w:val="36"/>
        </w:rPr>
        <w:t> </w:t>
      </w:r>
      <w:r>
        <w:rPr>
          <w:rFonts w:ascii="Century Gothic"/>
          <w:color w:val="FFFFFF"/>
          <w:spacing w:val="-10"/>
          <w:sz w:val="36"/>
        </w:rPr>
        <w:t>Pedley,</w:t>
      </w:r>
      <w:r>
        <w:rPr>
          <w:rFonts w:ascii="Century Gothic"/>
          <w:color w:val="FFFFFF"/>
          <w:spacing w:val="-22"/>
          <w:sz w:val="36"/>
        </w:rPr>
        <w:t> </w:t>
      </w:r>
      <w:r>
        <w:rPr>
          <w:rFonts w:ascii="Century Gothic"/>
          <w:color w:val="FFFFFF"/>
          <w:spacing w:val="-10"/>
          <w:sz w:val="36"/>
        </w:rPr>
        <w:t>Michael</w:t>
      </w:r>
      <w:r>
        <w:rPr>
          <w:rFonts w:ascii="Century Gothic"/>
          <w:color w:val="FFFFFF"/>
          <w:spacing w:val="-22"/>
          <w:sz w:val="36"/>
        </w:rPr>
        <w:t> </w:t>
      </w:r>
      <w:r>
        <w:rPr>
          <w:rFonts w:ascii="Century Gothic"/>
          <w:color w:val="FFFFFF"/>
          <w:spacing w:val="-10"/>
          <w:sz w:val="36"/>
        </w:rPr>
        <w:t>Clemence,</w:t>
      </w:r>
      <w:r>
        <w:rPr>
          <w:rFonts w:ascii="Century Gothic"/>
          <w:color w:val="FFFFFF"/>
          <w:spacing w:val="-22"/>
          <w:sz w:val="36"/>
        </w:rPr>
        <w:t> </w:t>
      </w:r>
      <w:r>
        <w:rPr>
          <w:rFonts w:ascii="Century Gothic"/>
          <w:color w:val="FFFFFF"/>
          <w:spacing w:val="-10"/>
          <w:sz w:val="36"/>
        </w:rPr>
        <w:t>Rebecca</w:t>
      </w:r>
      <w:r>
        <w:rPr>
          <w:rFonts w:ascii="Century Gothic"/>
          <w:color w:val="FFFFFF"/>
          <w:spacing w:val="-22"/>
          <w:sz w:val="36"/>
        </w:rPr>
        <w:t> </w:t>
      </w:r>
      <w:r>
        <w:rPr>
          <w:rFonts w:ascii="Century Gothic"/>
          <w:color w:val="FFFFFF"/>
          <w:spacing w:val="-10"/>
          <w:sz w:val="36"/>
        </w:rPr>
        <w:t>Writer-Davies, </w:t>
      </w:r>
      <w:r>
        <w:rPr>
          <w:rFonts w:ascii="Century Gothic"/>
          <w:color w:val="FFFFFF"/>
          <w:sz w:val="36"/>
        </w:rPr>
        <w:t>Dylan Spielman</w:t>
      </w:r>
    </w:p>
    <w:p>
      <w:pPr>
        <w:pStyle w:val="BodyText"/>
        <w:spacing w:before="8"/>
        <w:rPr>
          <w:rFonts w:ascii="Century Gothic"/>
          <w:sz w:val="35"/>
        </w:rPr>
      </w:pPr>
    </w:p>
    <w:p>
      <w:pPr>
        <w:spacing w:before="0"/>
        <w:ind w:left="183" w:right="0" w:firstLine="0"/>
        <w:jc w:val="left"/>
        <w:rPr>
          <w:rFonts w:ascii="Century Gothic"/>
          <w:b/>
          <w:sz w:val="36"/>
        </w:rPr>
      </w:pPr>
      <w:r>
        <w:rPr/>
        <w:pict>
          <v:shape style="position:absolute;margin-left:461.294586pt;margin-top:98.591164pt;width:99.5pt;height:99.5pt;mso-position-horizontal-relative:page;mso-position-vertical-relative:paragraph;z-index:15729152" id="docshape2" coordorigin="9226,1972" coordsize="1990,1990" path="m9226,2655l9230,2581,9242,2509,9261,2439,9287,2373,9319,2310,9358,2252,9402,2197,9451,2148,9506,2104,9564,2065,9627,2033,9693,2007,9763,1988,9835,1976,9909,1972,9984,1976,10056,1988,10125,2007,10192,2033,10254,2065,10313,2104,10367,2148,10417,2197,10461,2252,10499,2310,10532,2373,10558,2439,10577,2509,10589,2581,10593,2655,10589,2730,10577,2802,10558,2871,10532,2937,10499,3000,10461,3059,10417,3113,10367,3163,10313,3207,10254,3245,10192,3278,10125,3304,10056,3323,9984,3335,9909,3339,9835,3335,9763,3323,9693,3304,9627,3278,9564,3245,9506,3207,9451,3163,9402,3113,9358,3059,9319,3000,9287,2937,9261,2871,9242,2802,9230,2730,9226,2655xm10431,3177l11216,3962e" filled="false" stroked="true" strokeweight="17.368pt" strokecolor="#c9dc50">
            <v:path arrowok="t"/>
            <v:stroke dashstyle="solid"/>
            <w10:wrap type="none"/>
          </v:shape>
        </w:pict>
      </w:r>
      <w:r>
        <w:rPr>
          <w:rFonts w:ascii="Century Gothic"/>
          <w:b/>
          <w:color w:val="FFFFFF"/>
          <w:spacing w:val="-10"/>
          <w:sz w:val="36"/>
        </w:rPr>
        <w:t>Ipsos</w:t>
      </w:r>
      <w:r>
        <w:rPr>
          <w:rFonts w:ascii="Century Gothic"/>
          <w:b/>
          <w:color w:val="FFFFFF"/>
          <w:spacing w:val="-18"/>
          <w:sz w:val="36"/>
        </w:rPr>
        <w:t> </w:t>
      </w:r>
      <w:r>
        <w:rPr>
          <w:rFonts w:ascii="Century Gothic"/>
          <w:b/>
          <w:color w:val="FFFFFF"/>
          <w:spacing w:val="-4"/>
          <w:sz w:val="36"/>
        </w:rPr>
        <w:t>MORI</w:t>
      </w:r>
    </w:p>
    <w:p>
      <w:pPr>
        <w:pStyle w:val="BodyText"/>
        <w:rPr>
          <w:rFonts w:ascii="Century Gothic"/>
          <w:b/>
          <w:sz w:val="44"/>
        </w:rPr>
      </w:pPr>
    </w:p>
    <w:p>
      <w:pPr>
        <w:pStyle w:val="BodyText"/>
        <w:rPr>
          <w:rFonts w:ascii="Century Gothic"/>
          <w:b/>
          <w:sz w:val="44"/>
        </w:rPr>
      </w:pPr>
    </w:p>
    <w:p>
      <w:pPr>
        <w:pStyle w:val="BodyText"/>
        <w:rPr>
          <w:rFonts w:ascii="Century Gothic"/>
          <w:b/>
          <w:sz w:val="44"/>
        </w:rPr>
      </w:pPr>
    </w:p>
    <w:p>
      <w:pPr>
        <w:pStyle w:val="BodyText"/>
        <w:rPr>
          <w:rFonts w:ascii="Century Gothic"/>
          <w:b/>
          <w:sz w:val="44"/>
        </w:rPr>
      </w:pPr>
    </w:p>
    <w:p>
      <w:pPr>
        <w:pStyle w:val="BodyText"/>
        <w:rPr>
          <w:rFonts w:ascii="Century Gothic"/>
          <w:b/>
          <w:sz w:val="44"/>
        </w:rPr>
      </w:pPr>
    </w:p>
    <w:p>
      <w:pPr>
        <w:pStyle w:val="BodyText"/>
        <w:spacing w:before="6"/>
        <w:rPr>
          <w:rFonts w:ascii="Century Gothic"/>
          <w:b/>
          <w:sz w:val="42"/>
        </w:rPr>
      </w:pPr>
    </w:p>
    <w:p>
      <w:pPr>
        <w:spacing w:before="0"/>
        <w:ind w:left="183" w:right="0" w:firstLine="0"/>
        <w:jc w:val="left"/>
        <w:rPr>
          <w:rFonts w:ascii="Century Gothic"/>
          <w:sz w:val="36"/>
        </w:rPr>
      </w:pPr>
      <w:r>
        <w:rPr>
          <w:rFonts w:ascii="Century Gothic"/>
          <w:color w:val="FFFFFF"/>
          <w:spacing w:val="-32"/>
          <w:sz w:val="36"/>
        </w:rPr>
        <w:t>September</w:t>
      </w:r>
      <w:r>
        <w:rPr>
          <w:rFonts w:ascii="Century Gothic"/>
          <w:color w:val="FFFFFF"/>
          <w:spacing w:val="-70"/>
          <w:sz w:val="36"/>
        </w:rPr>
        <w:t> </w:t>
      </w:r>
      <w:r>
        <w:rPr>
          <w:rFonts w:ascii="Century Gothic"/>
          <w:color w:val="FFFFFF"/>
          <w:spacing w:val="-4"/>
          <w:sz w:val="36"/>
        </w:rPr>
        <w:t>2020</w:t>
      </w:r>
    </w:p>
    <w:p>
      <w:pPr>
        <w:spacing w:after="0"/>
        <w:jc w:val="left"/>
        <w:rPr>
          <w:rFonts w:ascii="Century Gothic"/>
          <w:sz w:val="36"/>
        </w:rPr>
        <w:sectPr>
          <w:type w:val="continuous"/>
          <w:pgSz w:w="11910" w:h="16840"/>
          <w:pgMar w:top="560" w:bottom="280" w:left="460" w:right="319"/>
        </w:sectPr>
      </w:pPr>
    </w:p>
    <w:p>
      <w:pPr>
        <w:spacing w:before="81"/>
        <w:ind w:left="106" w:right="0" w:firstLine="0"/>
        <w:jc w:val="left"/>
        <w:rPr>
          <w:rFonts w:ascii="Century Gothic"/>
          <w:b/>
          <w:sz w:val="36"/>
        </w:rPr>
      </w:pPr>
      <w:r>
        <w:rPr/>
        <w:pict>
          <v:rect style="position:absolute;margin-left:0pt;margin-top:.000015pt;width:595.275pt;height:841.89pt;mso-position-horizontal-relative:page;mso-position-vertical-relative:page;z-index:-18126336" id="docshape3" filled="true" fillcolor="#0072bc" stroked="false">
            <v:fill type="solid"/>
            <w10:wrap type="none"/>
          </v:rect>
        </w:pict>
      </w:r>
      <w:r>
        <w:rPr>
          <w:rFonts w:ascii="Century Gothic"/>
          <w:b/>
          <w:color w:val="FFFFFF"/>
          <w:spacing w:val="-2"/>
          <w:sz w:val="36"/>
        </w:rPr>
        <w:t>Disclaimer</w:t>
      </w:r>
    </w:p>
    <w:p>
      <w:pPr>
        <w:spacing w:line="307" w:lineRule="auto" w:before="112"/>
        <w:ind w:left="106" w:right="395" w:hanging="1"/>
        <w:jc w:val="left"/>
        <w:rPr>
          <w:rFonts w:ascii="Century Gothic"/>
          <w:sz w:val="28"/>
        </w:rPr>
      </w:pPr>
      <w:r>
        <w:rPr>
          <w:rFonts w:ascii="Century Gothic"/>
          <w:color w:val="FFFFFF"/>
          <w:spacing w:val="-8"/>
          <w:sz w:val="28"/>
        </w:rPr>
        <w:t>The</w:t>
      </w:r>
      <w:r>
        <w:rPr>
          <w:rFonts w:ascii="Century Gothic"/>
          <w:color w:val="FFFFFF"/>
          <w:spacing w:val="-13"/>
          <w:sz w:val="28"/>
        </w:rPr>
        <w:t> </w:t>
      </w:r>
      <w:r>
        <w:rPr>
          <w:rFonts w:ascii="Century Gothic"/>
          <w:color w:val="FFFFFF"/>
          <w:spacing w:val="-8"/>
          <w:sz w:val="28"/>
        </w:rPr>
        <w:t>views</w:t>
      </w:r>
      <w:r>
        <w:rPr>
          <w:rFonts w:ascii="Century Gothic"/>
          <w:color w:val="FFFFFF"/>
          <w:spacing w:val="-13"/>
          <w:sz w:val="28"/>
        </w:rPr>
        <w:t> </w:t>
      </w:r>
      <w:r>
        <w:rPr>
          <w:rFonts w:ascii="Century Gothic"/>
          <w:color w:val="FFFFFF"/>
          <w:spacing w:val="-8"/>
          <w:sz w:val="28"/>
        </w:rPr>
        <w:t>in</w:t>
      </w:r>
      <w:r>
        <w:rPr>
          <w:rFonts w:ascii="Century Gothic"/>
          <w:color w:val="FFFFFF"/>
          <w:spacing w:val="-13"/>
          <w:sz w:val="28"/>
        </w:rPr>
        <w:t> </w:t>
      </w:r>
      <w:r>
        <w:rPr>
          <w:rFonts w:ascii="Century Gothic"/>
          <w:color w:val="FFFFFF"/>
          <w:spacing w:val="-8"/>
          <w:sz w:val="28"/>
        </w:rPr>
        <w:t>this</w:t>
      </w:r>
      <w:r>
        <w:rPr>
          <w:rFonts w:ascii="Century Gothic"/>
          <w:color w:val="FFFFFF"/>
          <w:spacing w:val="-13"/>
          <w:sz w:val="28"/>
        </w:rPr>
        <w:t> </w:t>
      </w:r>
      <w:r>
        <w:rPr>
          <w:rFonts w:ascii="Century Gothic"/>
          <w:color w:val="FFFFFF"/>
          <w:spacing w:val="-8"/>
          <w:sz w:val="28"/>
        </w:rPr>
        <w:t>Research</w:t>
      </w:r>
      <w:r>
        <w:rPr>
          <w:rFonts w:ascii="Century Gothic"/>
          <w:color w:val="FFFFFF"/>
          <w:spacing w:val="-13"/>
          <w:sz w:val="28"/>
        </w:rPr>
        <w:t> </w:t>
      </w:r>
      <w:r>
        <w:rPr>
          <w:rFonts w:ascii="Century Gothic"/>
          <w:color w:val="FFFFFF"/>
          <w:spacing w:val="-8"/>
          <w:sz w:val="28"/>
        </w:rPr>
        <w:t>Paper</w:t>
      </w:r>
      <w:r>
        <w:rPr>
          <w:rFonts w:ascii="Century Gothic"/>
          <w:color w:val="FFFFFF"/>
          <w:spacing w:val="-13"/>
          <w:sz w:val="28"/>
        </w:rPr>
        <w:t> </w:t>
      </w:r>
      <w:r>
        <w:rPr>
          <w:rFonts w:ascii="Century Gothic"/>
          <w:color w:val="FFFFFF"/>
          <w:spacing w:val="-8"/>
          <w:sz w:val="28"/>
        </w:rPr>
        <w:t>are</w:t>
      </w:r>
      <w:r>
        <w:rPr>
          <w:rFonts w:ascii="Century Gothic"/>
          <w:color w:val="FFFFFF"/>
          <w:spacing w:val="-13"/>
          <w:sz w:val="28"/>
        </w:rPr>
        <w:t> </w:t>
      </w:r>
      <w:r>
        <w:rPr>
          <w:rFonts w:ascii="Century Gothic"/>
          <w:color w:val="FFFFFF"/>
          <w:spacing w:val="-8"/>
          <w:sz w:val="28"/>
        </w:rPr>
        <w:t>the</w:t>
      </w:r>
      <w:r>
        <w:rPr>
          <w:rFonts w:ascii="Century Gothic"/>
          <w:color w:val="FFFFFF"/>
          <w:spacing w:val="-13"/>
          <w:sz w:val="28"/>
        </w:rPr>
        <w:t> </w:t>
      </w:r>
      <w:r>
        <w:rPr>
          <w:rFonts w:ascii="Century Gothic"/>
          <w:color w:val="FFFFFF"/>
          <w:spacing w:val="-8"/>
          <w:sz w:val="28"/>
        </w:rPr>
        <w:t>authors'</w:t>
      </w:r>
      <w:r>
        <w:rPr>
          <w:rFonts w:ascii="Century Gothic"/>
          <w:color w:val="FFFFFF"/>
          <w:spacing w:val="-13"/>
          <w:sz w:val="28"/>
        </w:rPr>
        <w:t> </w:t>
      </w:r>
      <w:r>
        <w:rPr>
          <w:rFonts w:ascii="Century Gothic"/>
          <w:color w:val="FFFFFF"/>
          <w:spacing w:val="-8"/>
          <w:sz w:val="28"/>
        </w:rPr>
        <w:t>own</w:t>
      </w:r>
      <w:r>
        <w:rPr>
          <w:rFonts w:ascii="Century Gothic"/>
          <w:color w:val="FFFFFF"/>
          <w:spacing w:val="-13"/>
          <w:sz w:val="28"/>
        </w:rPr>
        <w:t> </w:t>
      </w:r>
      <w:r>
        <w:rPr>
          <w:rFonts w:ascii="Century Gothic"/>
          <w:color w:val="FFFFFF"/>
          <w:spacing w:val="-8"/>
          <w:sz w:val="28"/>
        </w:rPr>
        <w:t>and</w:t>
      </w:r>
      <w:r>
        <w:rPr>
          <w:rFonts w:ascii="Century Gothic"/>
          <w:color w:val="FFFFFF"/>
          <w:spacing w:val="-13"/>
          <w:sz w:val="28"/>
        </w:rPr>
        <w:t> </w:t>
      </w:r>
      <w:r>
        <w:rPr>
          <w:rFonts w:ascii="Century Gothic"/>
          <w:color w:val="FFFFFF"/>
          <w:spacing w:val="-8"/>
          <w:sz w:val="28"/>
        </w:rPr>
        <w:t>do</w:t>
      </w:r>
      <w:r>
        <w:rPr>
          <w:rFonts w:ascii="Century Gothic"/>
          <w:color w:val="FFFFFF"/>
          <w:spacing w:val="-13"/>
          <w:sz w:val="28"/>
        </w:rPr>
        <w:t> </w:t>
      </w:r>
      <w:r>
        <w:rPr>
          <w:rFonts w:ascii="Century Gothic"/>
          <w:color w:val="FFFFFF"/>
          <w:spacing w:val="-8"/>
          <w:sz w:val="28"/>
        </w:rPr>
        <w:t>not</w:t>
      </w:r>
      <w:r>
        <w:rPr>
          <w:rFonts w:ascii="Century Gothic"/>
          <w:color w:val="FFFFFF"/>
          <w:spacing w:val="-13"/>
          <w:sz w:val="28"/>
        </w:rPr>
        <w:t> </w:t>
      </w:r>
      <w:r>
        <w:rPr>
          <w:rFonts w:ascii="Century Gothic"/>
          <w:color w:val="FFFFFF"/>
          <w:spacing w:val="-8"/>
          <w:sz w:val="28"/>
        </w:rPr>
        <w:t>necessarily</w:t>
      </w:r>
      <w:r>
        <w:rPr>
          <w:rFonts w:ascii="Century Gothic"/>
          <w:color w:val="FFFFFF"/>
          <w:spacing w:val="-13"/>
          <w:sz w:val="28"/>
        </w:rPr>
        <w:t> </w:t>
      </w:r>
      <w:r>
        <w:rPr>
          <w:rFonts w:ascii="Century Gothic"/>
          <w:color w:val="FFFFFF"/>
          <w:spacing w:val="-8"/>
          <w:sz w:val="28"/>
        </w:rPr>
        <w:t>reflect </w:t>
      </w:r>
      <w:r>
        <w:rPr>
          <w:rFonts w:ascii="Century Gothic"/>
          <w:color w:val="FFFFFF"/>
          <w:spacing w:val="-6"/>
          <w:sz w:val="28"/>
        </w:rPr>
        <w:t>those</w:t>
      </w:r>
      <w:r>
        <w:rPr>
          <w:rFonts w:ascii="Century Gothic"/>
          <w:color w:val="FFFFFF"/>
          <w:spacing w:val="-13"/>
          <w:sz w:val="28"/>
        </w:rPr>
        <w:t> </w:t>
      </w:r>
      <w:r>
        <w:rPr>
          <w:rFonts w:ascii="Century Gothic"/>
          <w:color w:val="FFFFFF"/>
          <w:spacing w:val="-6"/>
          <w:sz w:val="28"/>
        </w:rPr>
        <w:t>of</w:t>
      </w:r>
      <w:r>
        <w:rPr>
          <w:rFonts w:ascii="Century Gothic"/>
          <w:color w:val="FFFFFF"/>
          <w:spacing w:val="-13"/>
          <w:sz w:val="28"/>
        </w:rPr>
        <w:t> </w:t>
      </w:r>
      <w:r>
        <w:rPr>
          <w:rFonts w:ascii="Century Gothic"/>
          <w:color w:val="FFFFFF"/>
          <w:spacing w:val="-6"/>
          <w:sz w:val="28"/>
        </w:rPr>
        <w:t>Acas</w:t>
      </w:r>
      <w:r>
        <w:rPr>
          <w:rFonts w:ascii="Century Gothic"/>
          <w:color w:val="FFFFFF"/>
          <w:spacing w:val="-13"/>
          <w:sz w:val="28"/>
        </w:rPr>
        <w:t> </w:t>
      </w:r>
      <w:r>
        <w:rPr>
          <w:rFonts w:ascii="Century Gothic"/>
          <w:color w:val="FFFFFF"/>
          <w:spacing w:val="-6"/>
          <w:sz w:val="28"/>
        </w:rPr>
        <w:t>or</w:t>
      </w:r>
      <w:r>
        <w:rPr>
          <w:rFonts w:ascii="Century Gothic"/>
          <w:color w:val="FFFFFF"/>
          <w:spacing w:val="-13"/>
          <w:sz w:val="28"/>
        </w:rPr>
        <w:t> </w:t>
      </w:r>
      <w:r>
        <w:rPr>
          <w:rFonts w:ascii="Century Gothic"/>
          <w:color w:val="FFFFFF"/>
          <w:spacing w:val="-6"/>
          <w:sz w:val="28"/>
        </w:rPr>
        <w:t>the</w:t>
      </w:r>
      <w:r>
        <w:rPr>
          <w:rFonts w:ascii="Century Gothic"/>
          <w:color w:val="FFFFFF"/>
          <w:spacing w:val="-13"/>
          <w:sz w:val="28"/>
        </w:rPr>
        <w:t> </w:t>
      </w:r>
      <w:r>
        <w:rPr>
          <w:rFonts w:ascii="Century Gothic"/>
          <w:color w:val="FFFFFF"/>
          <w:spacing w:val="-6"/>
          <w:sz w:val="28"/>
        </w:rPr>
        <w:t>Acas</w:t>
      </w:r>
      <w:r>
        <w:rPr>
          <w:rFonts w:ascii="Century Gothic"/>
          <w:color w:val="FFFFFF"/>
          <w:spacing w:val="-13"/>
          <w:sz w:val="28"/>
        </w:rPr>
        <w:t> </w:t>
      </w:r>
      <w:r>
        <w:rPr>
          <w:rFonts w:ascii="Century Gothic"/>
          <w:color w:val="FFFFFF"/>
          <w:spacing w:val="-6"/>
          <w:sz w:val="28"/>
        </w:rPr>
        <w:t>Council.</w:t>
      </w:r>
      <w:r>
        <w:rPr>
          <w:rFonts w:ascii="Century Gothic"/>
          <w:color w:val="FFFFFF"/>
          <w:spacing w:val="-13"/>
          <w:sz w:val="28"/>
        </w:rPr>
        <w:t> </w:t>
      </w:r>
      <w:r>
        <w:rPr>
          <w:rFonts w:ascii="Century Gothic"/>
          <w:color w:val="FFFFFF"/>
          <w:spacing w:val="-6"/>
          <w:sz w:val="28"/>
        </w:rPr>
        <w:t>Any</w:t>
      </w:r>
      <w:r>
        <w:rPr>
          <w:rFonts w:ascii="Century Gothic"/>
          <w:color w:val="FFFFFF"/>
          <w:spacing w:val="-13"/>
          <w:sz w:val="28"/>
        </w:rPr>
        <w:t> </w:t>
      </w:r>
      <w:r>
        <w:rPr>
          <w:rFonts w:ascii="Century Gothic"/>
          <w:color w:val="FFFFFF"/>
          <w:spacing w:val="-6"/>
          <w:sz w:val="28"/>
        </w:rPr>
        <w:t>errors</w:t>
      </w:r>
      <w:r>
        <w:rPr>
          <w:rFonts w:ascii="Century Gothic"/>
          <w:color w:val="FFFFFF"/>
          <w:spacing w:val="-13"/>
          <w:sz w:val="28"/>
        </w:rPr>
        <w:t> </w:t>
      </w:r>
      <w:r>
        <w:rPr>
          <w:rFonts w:ascii="Century Gothic"/>
          <w:color w:val="FFFFFF"/>
          <w:spacing w:val="-6"/>
          <w:sz w:val="28"/>
        </w:rPr>
        <w:t>or</w:t>
      </w:r>
      <w:r>
        <w:rPr>
          <w:rFonts w:ascii="Century Gothic"/>
          <w:color w:val="FFFFFF"/>
          <w:spacing w:val="-13"/>
          <w:sz w:val="28"/>
        </w:rPr>
        <w:t> </w:t>
      </w:r>
      <w:r>
        <w:rPr>
          <w:rFonts w:ascii="Century Gothic"/>
          <w:color w:val="FFFFFF"/>
          <w:spacing w:val="-6"/>
          <w:sz w:val="28"/>
        </w:rPr>
        <w:t>inaccuracies</w:t>
      </w:r>
      <w:r>
        <w:rPr>
          <w:rFonts w:ascii="Century Gothic"/>
          <w:color w:val="FFFFFF"/>
          <w:spacing w:val="-13"/>
          <w:sz w:val="28"/>
        </w:rPr>
        <w:t> </w:t>
      </w:r>
      <w:r>
        <w:rPr>
          <w:rFonts w:ascii="Century Gothic"/>
          <w:color w:val="FFFFFF"/>
          <w:spacing w:val="-6"/>
          <w:sz w:val="28"/>
        </w:rPr>
        <w:t>are</w:t>
      </w:r>
      <w:r>
        <w:rPr>
          <w:rFonts w:ascii="Century Gothic"/>
          <w:color w:val="FFFFFF"/>
          <w:spacing w:val="-13"/>
          <w:sz w:val="28"/>
        </w:rPr>
        <w:t> </w:t>
      </w:r>
      <w:r>
        <w:rPr>
          <w:rFonts w:ascii="Century Gothic"/>
          <w:color w:val="FFFFFF"/>
          <w:spacing w:val="-6"/>
          <w:sz w:val="28"/>
        </w:rPr>
        <w:t>the</w:t>
      </w:r>
      <w:r>
        <w:rPr>
          <w:rFonts w:ascii="Century Gothic"/>
          <w:color w:val="FFFFFF"/>
          <w:spacing w:val="-13"/>
          <w:sz w:val="28"/>
        </w:rPr>
        <w:t> </w:t>
      </w:r>
      <w:r>
        <w:rPr>
          <w:rFonts w:ascii="Century Gothic"/>
          <w:color w:val="FFFFFF"/>
          <w:spacing w:val="-6"/>
          <w:sz w:val="28"/>
        </w:rPr>
        <w:t>responsibility </w:t>
      </w:r>
      <w:r>
        <w:rPr>
          <w:rFonts w:ascii="Century Gothic"/>
          <w:color w:val="FFFFFF"/>
          <w:sz w:val="28"/>
        </w:rPr>
        <w:t>of the</w:t>
      </w:r>
      <w:r>
        <w:rPr>
          <w:rFonts w:ascii="Century Gothic"/>
          <w:color w:val="FFFFFF"/>
          <w:spacing w:val="-5"/>
          <w:sz w:val="28"/>
        </w:rPr>
        <w:t> </w:t>
      </w:r>
      <w:r>
        <w:rPr>
          <w:rFonts w:ascii="Century Gothic"/>
          <w:color w:val="FFFFFF"/>
          <w:sz w:val="28"/>
        </w:rPr>
        <w:t>authors</w:t>
      </w:r>
      <w:r>
        <w:rPr>
          <w:rFonts w:ascii="Century Gothic"/>
          <w:color w:val="FFFFFF"/>
          <w:spacing w:val="-5"/>
          <w:sz w:val="28"/>
        </w:rPr>
        <w:t> </w:t>
      </w:r>
      <w:r>
        <w:rPr>
          <w:rFonts w:ascii="Century Gothic"/>
          <w:color w:val="FFFFFF"/>
          <w:sz w:val="28"/>
        </w:rPr>
        <w:t>alone.</w:t>
      </w: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rPr>
          <w:rFonts w:ascii="Century Gothic"/>
          <w:sz w:val="34"/>
        </w:rPr>
      </w:pPr>
    </w:p>
    <w:p>
      <w:pPr>
        <w:pStyle w:val="BodyText"/>
        <w:spacing w:before="11"/>
        <w:rPr>
          <w:rFonts w:ascii="Century Gothic"/>
          <w:sz w:val="41"/>
        </w:rPr>
      </w:pPr>
    </w:p>
    <w:p>
      <w:pPr>
        <w:spacing w:line="307" w:lineRule="auto" w:before="0"/>
        <w:ind w:left="244" w:right="2330" w:firstLine="0"/>
        <w:jc w:val="left"/>
        <w:rPr>
          <w:rFonts w:ascii="Century Gothic"/>
          <w:b/>
          <w:sz w:val="28"/>
        </w:rPr>
      </w:pPr>
      <w:r>
        <w:rPr>
          <w:rFonts w:ascii="Century Gothic"/>
          <w:color w:val="FFFFFF"/>
          <w:spacing w:val="-8"/>
          <w:sz w:val="28"/>
        </w:rPr>
        <w:t>For</w:t>
      </w:r>
      <w:r>
        <w:rPr>
          <w:rFonts w:ascii="Century Gothic"/>
          <w:color w:val="FFFFFF"/>
          <w:spacing w:val="-16"/>
          <w:sz w:val="28"/>
        </w:rPr>
        <w:t> </w:t>
      </w:r>
      <w:r>
        <w:rPr>
          <w:rFonts w:ascii="Century Gothic"/>
          <w:color w:val="FFFFFF"/>
          <w:spacing w:val="-8"/>
          <w:sz w:val="28"/>
        </w:rPr>
        <w:t>any</w:t>
      </w:r>
      <w:r>
        <w:rPr>
          <w:rFonts w:ascii="Century Gothic"/>
          <w:color w:val="FFFFFF"/>
          <w:spacing w:val="-16"/>
          <w:sz w:val="28"/>
        </w:rPr>
        <w:t> </w:t>
      </w:r>
      <w:r>
        <w:rPr>
          <w:rFonts w:ascii="Century Gothic"/>
          <w:color w:val="FFFFFF"/>
          <w:spacing w:val="-8"/>
          <w:sz w:val="28"/>
        </w:rPr>
        <w:t>further</w:t>
      </w:r>
      <w:r>
        <w:rPr>
          <w:rFonts w:ascii="Century Gothic"/>
          <w:color w:val="FFFFFF"/>
          <w:spacing w:val="-16"/>
          <w:sz w:val="28"/>
        </w:rPr>
        <w:t> </w:t>
      </w:r>
      <w:r>
        <w:rPr>
          <w:rFonts w:ascii="Century Gothic"/>
          <w:color w:val="FFFFFF"/>
          <w:spacing w:val="-8"/>
          <w:sz w:val="28"/>
        </w:rPr>
        <w:t>information</w:t>
      </w:r>
      <w:r>
        <w:rPr>
          <w:rFonts w:ascii="Century Gothic"/>
          <w:color w:val="FFFFFF"/>
          <w:spacing w:val="-16"/>
          <w:sz w:val="28"/>
        </w:rPr>
        <w:t> </w:t>
      </w:r>
      <w:r>
        <w:rPr>
          <w:rFonts w:ascii="Century Gothic"/>
          <w:color w:val="FFFFFF"/>
          <w:spacing w:val="-8"/>
          <w:sz w:val="28"/>
        </w:rPr>
        <w:t>on</w:t>
      </w:r>
      <w:r>
        <w:rPr>
          <w:rFonts w:ascii="Century Gothic"/>
          <w:color w:val="FFFFFF"/>
          <w:spacing w:val="-16"/>
          <w:sz w:val="28"/>
        </w:rPr>
        <w:t> </w:t>
      </w:r>
      <w:r>
        <w:rPr>
          <w:rFonts w:ascii="Century Gothic"/>
          <w:color w:val="FFFFFF"/>
          <w:spacing w:val="-8"/>
          <w:sz w:val="28"/>
        </w:rPr>
        <w:t>this</w:t>
      </w:r>
      <w:r>
        <w:rPr>
          <w:rFonts w:ascii="Century Gothic"/>
          <w:color w:val="FFFFFF"/>
          <w:spacing w:val="-16"/>
          <w:sz w:val="28"/>
        </w:rPr>
        <w:t> </w:t>
      </w:r>
      <w:r>
        <w:rPr>
          <w:rFonts w:ascii="Century Gothic"/>
          <w:color w:val="FFFFFF"/>
          <w:spacing w:val="-8"/>
          <w:sz w:val="28"/>
        </w:rPr>
        <w:t>study,</w:t>
      </w:r>
      <w:r>
        <w:rPr>
          <w:rFonts w:ascii="Century Gothic"/>
          <w:color w:val="FFFFFF"/>
          <w:spacing w:val="-16"/>
          <w:sz w:val="28"/>
        </w:rPr>
        <w:t> </w:t>
      </w:r>
      <w:r>
        <w:rPr>
          <w:rFonts w:ascii="Century Gothic"/>
          <w:color w:val="FFFFFF"/>
          <w:spacing w:val="-8"/>
          <w:sz w:val="28"/>
        </w:rPr>
        <w:t>or</w:t>
      </w:r>
      <w:r>
        <w:rPr>
          <w:rFonts w:ascii="Century Gothic"/>
          <w:color w:val="FFFFFF"/>
          <w:spacing w:val="-16"/>
          <w:sz w:val="28"/>
        </w:rPr>
        <w:t> </w:t>
      </w:r>
      <w:r>
        <w:rPr>
          <w:rFonts w:ascii="Century Gothic"/>
          <w:color w:val="FFFFFF"/>
          <w:spacing w:val="-8"/>
          <w:sz w:val="28"/>
        </w:rPr>
        <w:t>other</w:t>
      </w:r>
      <w:r>
        <w:rPr>
          <w:rFonts w:ascii="Century Gothic"/>
          <w:color w:val="FFFFFF"/>
          <w:spacing w:val="-16"/>
          <w:sz w:val="28"/>
        </w:rPr>
        <w:t> </w:t>
      </w:r>
      <w:r>
        <w:rPr>
          <w:rFonts w:ascii="Century Gothic"/>
          <w:color w:val="FFFFFF"/>
          <w:spacing w:val="-8"/>
          <w:sz w:val="28"/>
        </w:rPr>
        <w:t>aspects</w:t>
      </w:r>
      <w:r>
        <w:rPr>
          <w:rFonts w:ascii="Century Gothic"/>
          <w:color w:val="FFFFFF"/>
          <w:spacing w:val="-16"/>
          <w:sz w:val="28"/>
        </w:rPr>
        <w:t> </w:t>
      </w:r>
      <w:r>
        <w:rPr>
          <w:rFonts w:ascii="Century Gothic"/>
          <w:color w:val="FFFFFF"/>
          <w:spacing w:val="-8"/>
          <w:sz w:val="28"/>
        </w:rPr>
        <w:t>of</w:t>
      </w:r>
      <w:r>
        <w:rPr>
          <w:rFonts w:ascii="Century Gothic"/>
          <w:color w:val="FFFFFF"/>
          <w:spacing w:val="-16"/>
          <w:sz w:val="28"/>
        </w:rPr>
        <w:t> </w:t>
      </w:r>
      <w:r>
        <w:rPr>
          <w:rFonts w:ascii="Century Gothic"/>
          <w:color w:val="FFFFFF"/>
          <w:spacing w:val="-8"/>
          <w:sz w:val="28"/>
        </w:rPr>
        <w:t>the </w:t>
      </w:r>
      <w:r>
        <w:rPr>
          <w:rFonts w:ascii="Century Gothic"/>
          <w:color w:val="FFFFFF"/>
          <w:spacing w:val="-4"/>
          <w:sz w:val="28"/>
        </w:rPr>
        <w:t>Acas</w:t>
      </w:r>
      <w:r>
        <w:rPr>
          <w:rFonts w:ascii="Century Gothic"/>
          <w:color w:val="FFFFFF"/>
          <w:spacing w:val="-16"/>
          <w:sz w:val="28"/>
        </w:rPr>
        <w:t> </w:t>
      </w:r>
      <w:r>
        <w:rPr>
          <w:rFonts w:ascii="Century Gothic"/>
          <w:color w:val="FFFFFF"/>
          <w:spacing w:val="-4"/>
          <w:sz w:val="28"/>
        </w:rPr>
        <w:t>research</w:t>
      </w:r>
      <w:r>
        <w:rPr>
          <w:rFonts w:ascii="Century Gothic"/>
          <w:color w:val="FFFFFF"/>
          <w:spacing w:val="-17"/>
          <w:sz w:val="28"/>
        </w:rPr>
        <w:t> </w:t>
      </w:r>
      <w:r>
        <w:rPr>
          <w:rFonts w:ascii="Century Gothic"/>
          <w:color w:val="FFFFFF"/>
          <w:spacing w:val="-4"/>
          <w:sz w:val="28"/>
        </w:rPr>
        <w:t>programme</w:t>
      </w:r>
      <w:r>
        <w:rPr>
          <w:rFonts w:ascii="Century Gothic"/>
          <w:color w:val="FFFFFF"/>
          <w:spacing w:val="-17"/>
          <w:sz w:val="28"/>
        </w:rPr>
        <w:t> </w:t>
      </w:r>
      <w:r>
        <w:rPr>
          <w:rFonts w:ascii="Century Gothic"/>
          <w:color w:val="FFFFFF"/>
          <w:spacing w:val="-4"/>
          <w:sz w:val="28"/>
        </w:rPr>
        <w:t>email</w:t>
      </w:r>
      <w:r>
        <w:rPr>
          <w:rFonts w:ascii="Century Gothic"/>
          <w:color w:val="FFFFFF"/>
          <w:spacing w:val="-17"/>
          <w:sz w:val="28"/>
        </w:rPr>
        <w:t> </w:t>
      </w:r>
      <w:hyperlink r:id="rId6">
        <w:r>
          <w:rPr>
            <w:rFonts w:ascii="Century Gothic"/>
            <w:b/>
            <w:color w:val="FFFFFF"/>
            <w:spacing w:val="-4"/>
            <w:sz w:val="28"/>
          </w:rPr>
          <w:t>research@acas.org.uk</w:t>
        </w:r>
      </w:hyperlink>
    </w:p>
    <w:p>
      <w:pPr>
        <w:pStyle w:val="BodyText"/>
        <w:rPr>
          <w:rFonts w:ascii="Century Gothic"/>
          <w:b/>
          <w:sz w:val="36"/>
        </w:rPr>
      </w:pPr>
    </w:p>
    <w:p>
      <w:pPr>
        <w:spacing w:before="0"/>
        <w:ind w:left="244" w:right="0" w:firstLine="0"/>
        <w:jc w:val="left"/>
        <w:rPr>
          <w:rFonts w:ascii="Century Gothic"/>
          <w:sz w:val="28"/>
        </w:rPr>
      </w:pPr>
      <w:r>
        <w:rPr>
          <w:rFonts w:ascii="Century Gothic"/>
          <w:color w:val="FFFFFF"/>
          <w:spacing w:val="-8"/>
          <w:sz w:val="28"/>
        </w:rPr>
        <w:t>Acas</w:t>
      </w:r>
      <w:r>
        <w:rPr>
          <w:rFonts w:ascii="Century Gothic"/>
          <w:color w:val="FFFFFF"/>
          <w:spacing w:val="-14"/>
          <w:sz w:val="28"/>
        </w:rPr>
        <w:t> </w:t>
      </w:r>
      <w:r>
        <w:rPr>
          <w:rFonts w:ascii="Century Gothic"/>
          <w:color w:val="FFFFFF"/>
          <w:spacing w:val="-8"/>
          <w:sz w:val="28"/>
        </w:rPr>
        <w:t>research</w:t>
      </w:r>
      <w:r>
        <w:rPr>
          <w:rFonts w:ascii="Century Gothic"/>
          <w:color w:val="FFFFFF"/>
          <w:spacing w:val="-14"/>
          <w:sz w:val="28"/>
        </w:rPr>
        <w:t> </w:t>
      </w:r>
      <w:r>
        <w:rPr>
          <w:rFonts w:ascii="Century Gothic"/>
          <w:color w:val="FFFFFF"/>
          <w:spacing w:val="-8"/>
          <w:sz w:val="28"/>
        </w:rPr>
        <w:t>publications</w:t>
      </w:r>
      <w:r>
        <w:rPr>
          <w:rFonts w:ascii="Century Gothic"/>
          <w:color w:val="FFFFFF"/>
          <w:spacing w:val="-13"/>
          <w:sz w:val="28"/>
        </w:rPr>
        <w:t> </w:t>
      </w:r>
      <w:r>
        <w:rPr>
          <w:rFonts w:ascii="Century Gothic"/>
          <w:color w:val="FFFFFF"/>
          <w:spacing w:val="-8"/>
          <w:sz w:val="28"/>
        </w:rPr>
        <w:t>can</w:t>
      </w:r>
      <w:r>
        <w:rPr>
          <w:rFonts w:ascii="Century Gothic"/>
          <w:color w:val="FFFFFF"/>
          <w:spacing w:val="-14"/>
          <w:sz w:val="28"/>
        </w:rPr>
        <w:t> </w:t>
      </w:r>
      <w:r>
        <w:rPr>
          <w:rFonts w:ascii="Century Gothic"/>
          <w:color w:val="FFFFFF"/>
          <w:spacing w:val="-8"/>
          <w:sz w:val="28"/>
        </w:rPr>
        <w:t>be</w:t>
      </w:r>
      <w:r>
        <w:rPr>
          <w:rFonts w:ascii="Century Gothic"/>
          <w:color w:val="FFFFFF"/>
          <w:spacing w:val="-14"/>
          <w:sz w:val="28"/>
        </w:rPr>
        <w:t> </w:t>
      </w:r>
      <w:r>
        <w:rPr>
          <w:rFonts w:ascii="Century Gothic"/>
          <w:color w:val="FFFFFF"/>
          <w:spacing w:val="-8"/>
          <w:sz w:val="28"/>
        </w:rPr>
        <w:t>found</w:t>
      </w:r>
      <w:r>
        <w:rPr>
          <w:rFonts w:ascii="Century Gothic"/>
          <w:color w:val="FFFFFF"/>
          <w:spacing w:val="-13"/>
          <w:sz w:val="28"/>
        </w:rPr>
        <w:t> </w:t>
      </w:r>
      <w:r>
        <w:rPr>
          <w:rFonts w:ascii="Century Gothic"/>
          <w:color w:val="FFFFFF"/>
          <w:spacing w:val="-8"/>
          <w:sz w:val="28"/>
        </w:rPr>
        <w:t>at</w:t>
      </w:r>
    </w:p>
    <w:p>
      <w:pPr>
        <w:spacing w:before="97"/>
        <w:ind w:left="244" w:right="0" w:firstLine="0"/>
        <w:jc w:val="left"/>
        <w:rPr>
          <w:rFonts w:ascii="Century Gothic"/>
          <w:b/>
          <w:sz w:val="28"/>
        </w:rPr>
      </w:pPr>
      <w:hyperlink r:id="rId7">
        <w:r>
          <w:rPr>
            <w:rFonts w:ascii="Century Gothic"/>
            <w:b/>
            <w:color w:val="FFFFFF"/>
            <w:spacing w:val="-9"/>
            <w:sz w:val="28"/>
          </w:rPr>
          <w:t>www.acas.org.uk/researchpapers</w:t>
        </w:r>
      </w:hyperlink>
    </w:p>
    <w:p>
      <w:pPr>
        <w:pStyle w:val="BodyText"/>
        <w:rPr>
          <w:rFonts w:ascii="Century Gothic"/>
          <w:b/>
          <w:sz w:val="34"/>
        </w:rPr>
      </w:pPr>
    </w:p>
    <w:p>
      <w:pPr>
        <w:pStyle w:val="BodyText"/>
        <w:rPr>
          <w:rFonts w:ascii="Century Gothic"/>
          <w:b/>
          <w:sz w:val="34"/>
        </w:rPr>
      </w:pPr>
    </w:p>
    <w:p>
      <w:pPr>
        <w:pStyle w:val="BodyText"/>
        <w:spacing w:before="11"/>
        <w:rPr>
          <w:rFonts w:ascii="Century Gothic"/>
          <w:b/>
          <w:sz w:val="43"/>
        </w:rPr>
      </w:pPr>
    </w:p>
    <w:p>
      <w:pPr>
        <w:spacing w:before="0"/>
        <w:ind w:left="244" w:right="0" w:firstLine="0"/>
        <w:jc w:val="left"/>
        <w:rPr>
          <w:rFonts w:ascii="Century Gothic"/>
          <w:sz w:val="28"/>
        </w:rPr>
      </w:pPr>
      <w:r>
        <w:rPr>
          <w:rFonts w:ascii="Century Gothic"/>
          <w:color w:val="FFFFFF"/>
          <w:spacing w:val="-8"/>
          <w:sz w:val="28"/>
        </w:rPr>
        <w:t>Published</w:t>
      </w:r>
      <w:r>
        <w:rPr>
          <w:rFonts w:ascii="Century Gothic"/>
          <w:color w:val="FFFFFF"/>
          <w:spacing w:val="-7"/>
          <w:sz w:val="28"/>
        </w:rPr>
        <w:t> </w:t>
      </w:r>
      <w:r>
        <w:rPr>
          <w:rFonts w:ascii="Century Gothic"/>
          <w:color w:val="FFFFFF"/>
          <w:spacing w:val="-8"/>
          <w:sz w:val="28"/>
        </w:rPr>
        <w:t>by</w:t>
      </w:r>
      <w:r>
        <w:rPr>
          <w:rFonts w:ascii="Century Gothic"/>
          <w:color w:val="FFFFFF"/>
          <w:spacing w:val="-7"/>
          <w:sz w:val="28"/>
        </w:rPr>
        <w:t> </w:t>
      </w:r>
      <w:r>
        <w:rPr>
          <w:rFonts w:ascii="Century Gothic"/>
          <w:color w:val="FFFFFF"/>
          <w:spacing w:val="-8"/>
          <w:sz w:val="28"/>
        </w:rPr>
        <w:t>Acas</w:t>
      </w:r>
    </w:p>
    <w:p>
      <w:pPr>
        <w:spacing w:before="97"/>
        <w:ind w:left="244" w:right="0" w:firstLine="0"/>
        <w:jc w:val="left"/>
        <w:rPr>
          <w:rFonts w:ascii="Century Gothic" w:hAnsi="Century Gothic"/>
          <w:sz w:val="28"/>
        </w:rPr>
      </w:pPr>
      <w:r>
        <w:rPr>
          <w:rFonts w:ascii="Century Gothic" w:hAnsi="Century Gothic"/>
          <w:color w:val="FFFFFF"/>
          <w:sz w:val="28"/>
        </w:rPr>
        <w:t>©</w:t>
      </w:r>
      <w:r>
        <w:rPr>
          <w:rFonts w:ascii="Century Gothic" w:hAnsi="Century Gothic"/>
          <w:color w:val="FFFFFF"/>
          <w:spacing w:val="-15"/>
          <w:sz w:val="28"/>
        </w:rPr>
        <w:t> </w:t>
      </w:r>
      <w:r>
        <w:rPr>
          <w:rFonts w:ascii="Century Gothic" w:hAnsi="Century Gothic"/>
          <w:color w:val="FFFFFF"/>
          <w:spacing w:val="-4"/>
          <w:sz w:val="28"/>
        </w:rPr>
        <w:t>Acas</w:t>
      </w:r>
    </w:p>
    <w:p>
      <w:pPr>
        <w:spacing w:after="0"/>
        <w:jc w:val="left"/>
        <w:rPr>
          <w:rFonts w:ascii="Century Gothic" w:hAnsi="Century Gothic"/>
          <w:sz w:val="28"/>
        </w:rPr>
        <w:sectPr>
          <w:pgSz w:w="11910" w:h="16840"/>
          <w:pgMar w:top="940" w:bottom="280" w:left="460" w:right="319"/>
        </w:sectPr>
      </w:pPr>
    </w:p>
    <w:p>
      <w:pPr>
        <w:spacing w:before="125"/>
        <w:ind w:left="1337" w:right="0" w:firstLine="0"/>
        <w:jc w:val="left"/>
        <w:rPr>
          <w:b/>
          <w:sz w:val="48"/>
        </w:rPr>
      </w:pPr>
      <w:r>
        <w:rPr>
          <w:b/>
          <w:sz w:val="48"/>
        </w:rPr>
        <w:t>Acas</w:t>
      </w:r>
      <w:r>
        <w:rPr>
          <w:b/>
          <w:spacing w:val="-4"/>
          <w:sz w:val="48"/>
        </w:rPr>
        <w:t> </w:t>
      </w:r>
      <w:r>
        <w:rPr>
          <w:b/>
          <w:sz w:val="48"/>
        </w:rPr>
        <w:t>Research</w:t>
      </w:r>
      <w:r>
        <w:rPr>
          <w:b/>
          <w:spacing w:val="-3"/>
          <w:sz w:val="48"/>
        </w:rPr>
        <w:t> </w:t>
      </w:r>
      <w:r>
        <w:rPr>
          <w:b/>
          <w:spacing w:val="-2"/>
          <w:sz w:val="48"/>
        </w:rPr>
        <w:t>Paper</w:t>
      </w:r>
    </w:p>
    <w:p>
      <w:pPr>
        <w:pStyle w:val="BodyText"/>
        <w:rPr>
          <w:b/>
          <w:sz w:val="58"/>
        </w:rPr>
      </w:pPr>
    </w:p>
    <w:p>
      <w:pPr>
        <w:pStyle w:val="BodyText"/>
        <w:rPr>
          <w:b/>
          <w:sz w:val="58"/>
        </w:rPr>
      </w:pPr>
    </w:p>
    <w:p>
      <w:pPr>
        <w:spacing w:before="421"/>
        <w:ind w:left="1337" w:right="0" w:firstLine="0"/>
        <w:jc w:val="left"/>
        <w:rPr>
          <w:b/>
          <w:sz w:val="48"/>
        </w:rPr>
      </w:pPr>
      <w:r>
        <w:rPr>
          <w:b/>
          <w:sz w:val="48"/>
        </w:rPr>
        <w:t>Evaluation</w:t>
      </w:r>
      <w:r>
        <w:rPr>
          <w:b/>
          <w:spacing w:val="-11"/>
          <w:sz w:val="48"/>
        </w:rPr>
        <w:t> </w:t>
      </w:r>
      <w:r>
        <w:rPr>
          <w:b/>
          <w:sz w:val="48"/>
        </w:rPr>
        <w:t>of</w:t>
      </w:r>
      <w:r>
        <w:rPr>
          <w:b/>
          <w:spacing w:val="-11"/>
          <w:sz w:val="48"/>
        </w:rPr>
        <w:t> </w:t>
      </w:r>
      <w:r>
        <w:rPr>
          <w:b/>
          <w:sz w:val="48"/>
        </w:rPr>
        <w:t>Acas</w:t>
      </w:r>
      <w:r>
        <w:rPr>
          <w:b/>
          <w:spacing w:val="-11"/>
          <w:sz w:val="48"/>
        </w:rPr>
        <w:t> </w:t>
      </w:r>
      <w:r>
        <w:rPr>
          <w:b/>
          <w:sz w:val="48"/>
        </w:rPr>
        <w:t>Individual Conciliation 2019:</w:t>
      </w:r>
    </w:p>
    <w:p>
      <w:pPr>
        <w:pStyle w:val="BodyText"/>
        <w:rPr>
          <w:b/>
        </w:rPr>
      </w:pPr>
    </w:p>
    <w:p>
      <w:pPr>
        <w:pStyle w:val="BodyText"/>
        <w:spacing w:before="7"/>
        <w:rPr>
          <w:b/>
          <w:sz w:val="17"/>
        </w:rPr>
      </w:pPr>
    </w:p>
    <w:tbl>
      <w:tblPr>
        <w:tblW w:w="0" w:type="auto"/>
        <w:jc w:val="left"/>
        <w:tblInd w:w="1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9"/>
        <w:gridCol w:w="748"/>
        <w:gridCol w:w="5047"/>
      </w:tblGrid>
      <w:tr>
        <w:trPr>
          <w:trHeight w:val="437" w:hRule="atLeast"/>
        </w:trPr>
        <w:tc>
          <w:tcPr>
            <w:tcW w:w="2619" w:type="dxa"/>
          </w:tcPr>
          <w:p>
            <w:pPr>
              <w:pStyle w:val="TableParagraph"/>
              <w:spacing w:line="418" w:lineRule="exact"/>
              <w:ind w:left="50"/>
              <w:rPr>
                <w:b/>
                <w:sz w:val="36"/>
              </w:rPr>
            </w:pPr>
            <w:r>
              <w:rPr>
                <w:b/>
                <w:spacing w:val="-2"/>
                <w:sz w:val="36"/>
              </w:rPr>
              <w:t>Evaluations</w:t>
            </w:r>
          </w:p>
        </w:tc>
        <w:tc>
          <w:tcPr>
            <w:tcW w:w="748" w:type="dxa"/>
          </w:tcPr>
          <w:p>
            <w:pPr>
              <w:pStyle w:val="TableParagraph"/>
              <w:spacing w:line="418" w:lineRule="exact"/>
              <w:ind w:left="130"/>
              <w:rPr>
                <w:b/>
                <w:sz w:val="36"/>
              </w:rPr>
            </w:pPr>
            <w:r>
              <w:rPr>
                <w:b/>
                <w:spacing w:val="-5"/>
                <w:sz w:val="36"/>
              </w:rPr>
              <w:t>of</w:t>
            </w:r>
          </w:p>
        </w:tc>
        <w:tc>
          <w:tcPr>
            <w:tcW w:w="5047" w:type="dxa"/>
          </w:tcPr>
          <w:p>
            <w:pPr>
              <w:pStyle w:val="TableParagraph"/>
              <w:tabs>
                <w:tab w:pos="1377" w:val="left" w:leader="none"/>
                <w:tab w:pos="4108" w:val="left" w:leader="none"/>
              </w:tabs>
              <w:spacing w:line="418" w:lineRule="exact"/>
              <w:ind w:right="49"/>
              <w:jc w:val="right"/>
              <w:rPr>
                <w:b/>
                <w:sz w:val="36"/>
              </w:rPr>
            </w:pPr>
            <w:r>
              <w:rPr>
                <w:b/>
                <w:spacing w:val="-2"/>
                <w:sz w:val="36"/>
              </w:rPr>
              <w:t>Early</w:t>
            </w:r>
            <w:r>
              <w:rPr>
                <w:b/>
                <w:sz w:val="36"/>
              </w:rPr>
              <w:tab/>
            </w:r>
            <w:r>
              <w:rPr>
                <w:b/>
                <w:spacing w:val="-2"/>
                <w:sz w:val="36"/>
              </w:rPr>
              <w:t>Conciliation</w:t>
            </w:r>
            <w:r>
              <w:rPr>
                <w:b/>
                <w:sz w:val="36"/>
              </w:rPr>
              <w:tab/>
            </w:r>
            <w:r>
              <w:rPr>
                <w:b/>
                <w:spacing w:val="-5"/>
                <w:sz w:val="36"/>
              </w:rPr>
              <w:t>and</w:t>
            </w:r>
          </w:p>
        </w:tc>
      </w:tr>
      <w:tr>
        <w:trPr>
          <w:trHeight w:val="438" w:hRule="atLeast"/>
        </w:trPr>
        <w:tc>
          <w:tcPr>
            <w:tcW w:w="2619" w:type="dxa"/>
          </w:tcPr>
          <w:p>
            <w:pPr>
              <w:pStyle w:val="TableParagraph"/>
              <w:spacing w:line="418" w:lineRule="exact"/>
              <w:ind w:left="50"/>
              <w:rPr>
                <w:b/>
                <w:sz w:val="36"/>
              </w:rPr>
            </w:pPr>
            <w:r>
              <w:rPr>
                <w:b/>
                <w:spacing w:val="-2"/>
                <w:sz w:val="36"/>
              </w:rPr>
              <w:t>conciliation</w:t>
            </w:r>
          </w:p>
        </w:tc>
        <w:tc>
          <w:tcPr>
            <w:tcW w:w="748" w:type="dxa"/>
          </w:tcPr>
          <w:p>
            <w:pPr>
              <w:pStyle w:val="TableParagraph"/>
              <w:spacing w:line="418" w:lineRule="exact"/>
              <w:ind w:left="227"/>
              <w:rPr>
                <w:b/>
                <w:sz w:val="36"/>
              </w:rPr>
            </w:pPr>
            <w:r>
              <w:rPr>
                <w:b/>
                <w:spacing w:val="-5"/>
                <w:sz w:val="36"/>
              </w:rPr>
              <w:t>in</w:t>
            </w:r>
          </w:p>
        </w:tc>
        <w:tc>
          <w:tcPr>
            <w:tcW w:w="5047" w:type="dxa"/>
          </w:tcPr>
          <w:p>
            <w:pPr>
              <w:pStyle w:val="TableParagraph"/>
              <w:tabs>
                <w:tab w:pos="2990" w:val="left" w:leader="none"/>
              </w:tabs>
              <w:spacing w:line="418" w:lineRule="exact"/>
              <w:ind w:right="50"/>
              <w:jc w:val="right"/>
              <w:rPr>
                <w:b/>
                <w:sz w:val="36"/>
              </w:rPr>
            </w:pPr>
            <w:r>
              <w:rPr>
                <w:b/>
                <w:spacing w:val="-2"/>
                <w:sz w:val="36"/>
              </w:rPr>
              <w:t>Employment</w:t>
            </w:r>
            <w:r>
              <w:rPr>
                <w:b/>
                <w:sz w:val="36"/>
              </w:rPr>
              <w:tab/>
            </w:r>
            <w:r>
              <w:rPr>
                <w:b/>
                <w:spacing w:val="-2"/>
                <w:sz w:val="36"/>
              </w:rPr>
              <w:t>Tribunal</w:t>
            </w:r>
          </w:p>
        </w:tc>
      </w:tr>
      <w:tr>
        <w:trPr>
          <w:trHeight w:val="437" w:hRule="atLeast"/>
        </w:trPr>
        <w:tc>
          <w:tcPr>
            <w:tcW w:w="2619" w:type="dxa"/>
          </w:tcPr>
          <w:p>
            <w:pPr>
              <w:pStyle w:val="TableParagraph"/>
              <w:spacing w:line="418" w:lineRule="exact"/>
              <w:ind w:left="50"/>
              <w:rPr>
                <w:b/>
                <w:sz w:val="36"/>
              </w:rPr>
            </w:pPr>
            <w:r>
              <w:rPr>
                <w:b/>
                <w:spacing w:val="-2"/>
                <w:sz w:val="36"/>
              </w:rPr>
              <w:t>applications</w:t>
            </w:r>
          </w:p>
        </w:tc>
        <w:tc>
          <w:tcPr>
            <w:tcW w:w="748" w:type="dxa"/>
          </w:tcPr>
          <w:p>
            <w:pPr>
              <w:pStyle w:val="TableParagraph"/>
              <w:rPr>
                <w:rFonts w:ascii="Times New Roman"/>
                <w:sz w:val="32"/>
              </w:rPr>
            </w:pPr>
          </w:p>
        </w:tc>
        <w:tc>
          <w:tcPr>
            <w:tcW w:w="5047" w:type="dxa"/>
          </w:tcPr>
          <w:p>
            <w:pPr>
              <w:pStyle w:val="TableParagraph"/>
              <w:rPr>
                <w:rFonts w:ascii="Times New Roman"/>
                <w:sz w:val="32"/>
              </w:rPr>
            </w:pP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sz w:val="15"/>
        </w:rPr>
      </w:pPr>
    </w:p>
    <w:p>
      <w:pPr>
        <w:spacing w:before="100"/>
        <w:ind w:left="1337" w:right="0" w:firstLine="0"/>
        <w:jc w:val="left"/>
        <w:rPr>
          <w:b/>
          <w:sz w:val="20"/>
        </w:rPr>
      </w:pPr>
      <w:r>
        <w:rPr>
          <w:b/>
          <w:sz w:val="20"/>
        </w:rPr>
        <w:t>September</w:t>
      </w:r>
      <w:r>
        <w:rPr>
          <w:b/>
          <w:spacing w:val="-8"/>
          <w:sz w:val="20"/>
        </w:rPr>
        <w:t> </w:t>
      </w:r>
      <w:r>
        <w:rPr>
          <w:b/>
          <w:spacing w:val="-4"/>
          <w:sz w:val="20"/>
        </w:rPr>
        <w:t>2020</w:t>
      </w:r>
    </w:p>
    <w:p>
      <w:pPr>
        <w:pStyle w:val="BodyText"/>
        <w:rPr>
          <w:b/>
          <w:sz w:val="24"/>
        </w:rPr>
      </w:pPr>
    </w:p>
    <w:p>
      <w:pPr>
        <w:pStyle w:val="BodyText"/>
        <w:spacing w:before="8"/>
        <w:rPr>
          <w:b/>
          <w:sz w:val="28"/>
        </w:rPr>
      </w:pPr>
    </w:p>
    <w:p>
      <w:pPr>
        <w:spacing w:line="256" w:lineRule="auto" w:before="0"/>
        <w:ind w:left="1337" w:right="1472" w:firstLine="0"/>
        <w:jc w:val="left"/>
        <w:rPr>
          <w:b/>
          <w:sz w:val="20"/>
        </w:rPr>
      </w:pPr>
      <w:r>
        <w:rPr>
          <w:b/>
          <w:sz w:val="20"/>
        </w:rPr>
        <w:t>Keiran</w:t>
      </w:r>
      <w:r>
        <w:rPr>
          <w:b/>
          <w:spacing w:val="-1"/>
          <w:sz w:val="20"/>
        </w:rPr>
        <w:t> </w:t>
      </w:r>
      <w:r>
        <w:rPr>
          <w:b/>
          <w:sz w:val="20"/>
        </w:rPr>
        <w:t>Pedley,</w:t>
      </w:r>
      <w:r>
        <w:rPr>
          <w:b/>
          <w:spacing w:val="-1"/>
          <w:sz w:val="20"/>
        </w:rPr>
        <w:t> </w:t>
      </w:r>
      <w:r>
        <w:rPr>
          <w:b/>
          <w:sz w:val="20"/>
        </w:rPr>
        <w:t>Michael</w:t>
      </w:r>
      <w:r>
        <w:rPr>
          <w:b/>
          <w:spacing w:val="-1"/>
          <w:sz w:val="20"/>
        </w:rPr>
        <w:t> </w:t>
      </w:r>
      <w:r>
        <w:rPr>
          <w:b/>
          <w:sz w:val="20"/>
        </w:rPr>
        <w:t>Clemence,</w:t>
      </w:r>
      <w:r>
        <w:rPr>
          <w:b/>
          <w:spacing w:val="-1"/>
          <w:sz w:val="20"/>
        </w:rPr>
        <w:t> </w:t>
      </w:r>
      <w:r>
        <w:rPr>
          <w:b/>
          <w:sz w:val="20"/>
        </w:rPr>
        <w:t>Rebecca</w:t>
      </w:r>
      <w:r>
        <w:rPr>
          <w:b/>
          <w:spacing w:val="-2"/>
          <w:sz w:val="20"/>
        </w:rPr>
        <w:t> </w:t>
      </w:r>
      <w:r>
        <w:rPr>
          <w:b/>
          <w:sz w:val="20"/>
        </w:rPr>
        <w:t>Writer-Davies,</w:t>
      </w:r>
      <w:r>
        <w:rPr>
          <w:b/>
          <w:spacing w:val="-3"/>
          <w:sz w:val="20"/>
        </w:rPr>
        <w:t> </w:t>
      </w:r>
      <w:r>
        <w:rPr>
          <w:b/>
          <w:sz w:val="20"/>
        </w:rPr>
        <w:t>Dylan</w:t>
      </w:r>
      <w:r>
        <w:rPr>
          <w:b/>
          <w:spacing w:val="-1"/>
          <w:sz w:val="20"/>
        </w:rPr>
        <w:t> </w:t>
      </w:r>
      <w:r>
        <w:rPr>
          <w:b/>
          <w:sz w:val="20"/>
        </w:rPr>
        <w:t>Spielman (Ipsos MORI)</w:t>
      </w:r>
    </w:p>
    <w:p>
      <w:pPr>
        <w:spacing w:after="0" w:line="256" w:lineRule="auto"/>
        <w:jc w:val="left"/>
        <w:rPr>
          <w:sz w:val="20"/>
        </w:rPr>
        <w:sectPr>
          <w:pgSz w:w="11910" w:h="16840"/>
          <w:pgMar w:top="1920" w:bottom="280" w:left="460" w:right="320"/>
        </w:sectPr>
      </w:pPr>
    </w:p>
    <w:p>
      <w:pPr>
        <w:pStyle w:val="Heading2"/>
        <w:ind w:left="1337" w:firstLine="0"/>
      </w:pPr>
      <w:r>
        <w:rPr>
          <w:spacing w:val="-2"/>
        </w:rPr>
        <w:t>DISCLAIMER</w:t>
      </w:r>
    </w:p>
    <w:p>
      <w:pPr>
        <w:pStyle w:val="BodyText"/>
        <w:spacing w:before="3"/>
        <w:rPr>
          <w:b/>
          <w:sz w:val="31"/>
        </w:rPr>
      </w:pPr>
    </w:p>
    <w:p>
      <w:pPr>
        <w:pStyle w:val="BodyText"/>
        <w:spacing w:line="256" w:lineRule="auto"/>
        <w:ind w:left="1337" w:right="1475"/>
        <w:jc w:val="both"/>
      </w:pPr>
      <w:r>
        <w:rPr/>
        <w:t>This</w:t>
      </w:r>
      <w:r>
        <w:rPr>
          <w:spacing w:val="-12"/>
        </w:rPr>
        <w:t> </w:t>
      </w:r>
      <w:r>
        <w:rPr/>
        <w:t>is</w:t>
      </w:r>
      <w:r>
        <w:rPr>
          <w:spacing w:val="-12"/>
        </w:rPr>
        <w:t> </w:t>
      </w:r>
      <w:r>
        <w:rPr/>
        <w:t>an</w:t>
      </w:r>
      <w:r>
        <w:rPr>
          <w:spacing w:val="-13"/>
        </w:rPr>
        <w:t> </w:t>
      </w:r>
      <w:r>
        <w:rPr/>
        <w:t>independent,</w:t>
      </w:r>
      <w:r>
        <w:rPr>
          <w:spacing w:val="-15"/>
        </w:rPr>
        <w:t> </w:t>
      </w:r>
      <w:r>
        <w:rPr/>
        <w:t>evidence-based</w:t>
      </w:r>
      <w:r>
        <w:rPr>
          <w:spacing w:val="-12"/>
        </w:rPr>
        <w:t> </w:t>
      </w:r>
      <w:r>
        <w:rPr/>
        <w:t>research</w:t>
      </w:r>
      <w:r>
        <w:rPr>
          <w:spacing w:val="-12"/>
        </w:rPr>
        <w:t> </w:t>
      </w:r>
      <w:r>
        <w:rPr/>
        <w:t>paper</w:t>
      </w:r>
      <w:r>
        <w:rPr>
          <w:spacing w:val="-14"/>
        </w:rPr>
        <w:t> </w:t>
      </w:r>
      <w:r>
        <w:rPr/>
        <w:t>produced</w:t>
      </w:r>
      <w:r>
        <w:rPr>
          <w:spacing w:val="-4"/>
        </w:rPr>
        <w:t> </w:t>
      </w:r>
      <w:r>
        <w:rPr/>
        <w:t>by</w:t>
      </w:r>
      <w:r>
        <w:rPr>
          <w:spacing w:val="-13"/>
        </w:rPr>
        <w:t> </w:t>
      </w:r>
      <w:r>
        <w:rPr/>
        <w:t>Keiran</w:t>
      </w:r>
      <w:r>
        <w:rPr>
          <w:spacing w:val="-12"/>
        </w:rPr>
        <w:t> </w:t>
      </w:r>
      <w:r>
        <w:rPr/>
        <w:t>Pedley, Michael Clemence, Rebecca Writer-Davies and Dylan Spielman of </w:t>
      </w:r>
      <w:hyperlink r:id="rId9">
        <w:r>
          <w:rPr>
            <w:color w:val="0562C1"/>
            <w:u w:val="single" w:color="0562C1"/>
          </w:rPr>
          <w:t>Ipsos MORI</w:t>
        </w:r>
      </w:hyperlink>
    </w:p>
    <w:p>
      <w:pPr>
        <w:pStyle w:val="BodyText"/>
        <w:spacing w:before="4"/>
        <w:rPr>
          <w:sz w:val="21"/>
        </w:rPr>
      </w:pPr>
    </w:p>
    <w:p>
      <w:pPr>
        <w:pStyle w:val="BodyText"/>
        <w:spacing w:line="256" w:lineRule="auto"/>
        <w:ind w:left="1337" w:right="1474"/>
        <w:jc w:val="both"/>
      </w:pPr>
      <w:r>
        <w:rPr/>
        <w:t>The</w:t>
      </w:r>
      <w:r>
        <w:rPr>
          <w:spacing w:val="-15"/>
        </w:rPr>
        <w:t> </w:t>
      </w:r>
      <w:r>
        <w:rPr/>
        <w:t>views</w:t>
      </w:r>
      <w:r>
        <w:rPr>
          <w:spacing w:val="-14"/>
        </w:rPr>
        <w:t> </w:t>
      </w:r>
      <w:r>
        <w:rPr/>
        <w:t>in</w:t>
      </w:r>
      <w:r>
        <w:rPr>
          <w:spacing w:val="-15"/>
        </w:rPr>
        <w:t> </w:t>
      </w:r>
      <w:r>
        <w:rPr/>
        <w:t>this</w:t>
      </w:r>
      <w:r>
        <w:rPr>
          <w:spacing w:val="-14"/>
        </w:rPr>
        <w:t> </w:t>
      </w:r>
      <w:r>
        <w:rPr/>
        <w:t>research</w:t>
      </w:r>
      <w:r>
        <w:rPr>
          <w:spacing w:val="-2"/>
        </w:rPr>
        <w:t> </w:t>
      </w:r>
      <w:r>
        <w:rPr/>
        <w:t>paper</w:t>
      </w:r>
      <w:r>
        <w:rPr>
          <w:spacing w:val="-14"/>
        </w:rPr>
        <w:t> </w:t>
      </w:r>
      <w:r>
        <w:rPr/>
        <w:t>are</w:t>
      </w:r>
      <w:r>
        <w:rPr>
          <w:spacing w:val="-15"/>
        </w:rPr>
        <w:t> </w:t>
      </w:r>
      <w:r>
        <w:rPr/>
        <w:t>the</w:t>
      </w:r>
      <w:r>
        <w:rPr>
          <w:spacing w:val="-15"/>
        </w:rPr>
        <w:t> </w:t>
      </w:r>
      <w:r>
        <w:rPr/>
        <w:t>authors’</w:t>
      </w:r>
      <w:r>
        <w:rPr>
          <w:spacing w:val="-15"/>
        </w:rPr>
        <w:t> </w:t>
      </w:r>
      <w:r>
        <w:rPr/>
        <w:t>own</w:t>
      </w:r>
      <w:r>
        <w:rPr>
          <w:spacing w:val="-14"/>
        </w:rPr>
        <w:t> </w:t>
      </w:r>
      <w:r>
        <w:rPr/>
        <w:t>and</w:t>
      </w:r>
      <w:r>
        <w:rPr>
          <w:spacing w:val="-14"/>
        </w:rPr>
        <w:t> </w:t>
      </w:r>
      <w:r>
        <w:rPr/>
        <w:t>do</w:t>
      </w:r>
      <w:r>
        <w:rPr>
          <w:spacing w:val="-16"/>
        </w:rPr>
        <w:t> </w:t>
      </w:r>
      <w:r>
        <w:rPr/>
        <w:t>not</w:t>
      </w:r>
      <w:r>
        <w:rPr>
          <w:spacing w:val="-14"/>
        </w:rPr>
        <w:t> </w:t>
      </w:r>
      <w:r>
        <w:rPr/>
        <w:t>necessarily</w:t>
      </w:r>
      <w:r>
        <w:rPr>
          <w:spacing w:val="-14"/>
        </w:rPr>
        <w:t> </w:t>
      </w:r>
      <w:r>
        <w:rPr/>
        <w:t>reflect those</w:t>
      </w:r>
      <w:r>
        <w:rPr>
          <w:spacing w:val="-3"/>
        </w:rPr>
        <w:t> </w:t>
      </w:r>
      <w:r>
        <w:rPr/>
        <w:t>of</w:t>
      </w:r>
      <w:r>
        <w:rPr>
          <w:spacing w:val="-2"/>
        </w:rPr>
        <w:t> </w:t>
      </w:r>
      <w:r>
        <w:rPr/>
        <w:t>Acas</w:t>
      </w:r>
      <w:r>
        <w:rPr>
          <w:spacing w:val="-2"/>
        </w:rPr>
        <w:t> </w:t>
      </w:r>
      <w:r>
        <w:rPr/>
        <w:t>or</w:t>
      </w:r>
      <w:r>
        <w:rPr>
          <w:spacing w:val="-2"/>
        </w:rPr>
        <w:t> </w:t>
      </w:r>
      <w:r>
        <w:rPr/>
        <w:t>the</w:t>
      </w:r>
      <w:r>
        <w:rPr>
          <w:spacing w:val="-3"/>
        </w:rPr>
        <w:t> </w:t>
      </w:r>
      <w:r>
        <w:rPr/>
        <w:t>Acas</w:t>
      </w:r>
      <w:r>
        <w:rPr>
          <w:spacing w:val="-2"/>
        </w:rPr>
        <w:t> </w:t>
      </w:r>
      <w:r>
        <w:rPr/>
        <w:t>Council.</w:t>
      </w:r>
      <w:r>
        <w:rPr>
          <w:spacing w:val="-2"/>
        </w:rPr>
        <w:t> </w:t>
      </w:r>
      <w:r>
        <w:rPr/>
        <w:t>Any</w:t>
      </w:r>
      <w:r>
        <w:rPr>
          <w:spacing w:val="-2"/>
        </w:rPr>
        <w:t> </w:t>
      </w:r>
      <w:r>
        <w:rPr/>
        <w:t>errors</w:t>
      </w:r>
      <w:r>
        <w:rPr>
          <w:spacing w:val="-3"/>
        </w:rPr>
        <w:t> </w:t>
      </w:r>
      <w:r>
        <w:rPr/>
        <w:t>or</w:t>
      </w:r>
      <w:r>
        <w:rPr>
          <w:spacing w:val="-2"/>
        </w:rPr>
        <w:t> </w:t>
      </w:r>
      <w:r>
        <w:rPr/>
        <w:t>inaccuracies</w:t>
      </w:r>
      <w:r>
        <w:rPr>
          <w:spacing w:val="-2"/>
        </w:rPr>
        <w:t> </w:t>
      </w:r>
      <w:r>
        <w:rPr/>
        <w:t>are</w:t>
      </w:r>
      <w:r>
        <w:rPr>
          <w:spacing w:val="-3"/>
        </w:rPr>
        <w:t> </w:t>
      </w:r>
      <w:r>
        <w:rPr/>
        <w:t>the</w:t>
      </w:r>
      <w:r>
        <w:rPr>
          <w:spacing w:val="-3"/>
        </w:rPr>
        <w:t> </w:t>
      </w:r>
      <w:r>
        <w:rPr/>
        <w:t>responsibility of the authors alone.</w:t>
      </w:r>
    </w:p>
    <w:p>
      <w:pPr>
        <w:spacing w:after="0" w:line="256" w:lineRule="auto"/>
        <w:jc w:val="both"/>
        <w:sectPr>
          <w:footerReference w:type="default" r:id="rId8"/>
          <w:pgSz w:w="11910" w:h="16840"/>
          <w:pgMar w:footer="996" w:header="0" w:top="1340" w:bottom="1180" w:left="460" w:right="320"/>
          <w:pgNumType w:start="2"/>
        </w:sectPr>
      </w:pPr>
    </w:p>
    <w:p>
      <w:pPr>
        <w:pStyle w:val="Heading2"/>
        <w:ind w:left="1337" w:firstLine="0"/>
      </w:pPr>
      <w:r>
        <w:rPr>
          <w:spacing w:val="-2"/>
        </w:rPr>
        <w:t>CONTENTS</w:t>
      </w:r>
    </w:p>
    <w:p>
      <w:pPr>
        <w:spacing w:after="0"/>
        <w:sectPr>
          <w:pgSz w:w="11910" w:h="16840"/>
          <w:pgMar w:header="0" w:footer="996" w:top="1340" w:bottom="1563" w:left="460" w:right="320"/>
        </w:sectPr>
      </w:pPr>
    </w:p>
    <w:sdt>
      <w:sdtPr>
        <w:docPartObj>
          <w:docPartGallery w:val="Table of Contents"/>
          <w:docPartUnique/>
        </w:docPartObj>
      </w:sdtPr>
      <w:sdtEndPr/>
      <w:sdtContent>
        <w:p>
          <w:pPr>
            <w:pStyle w:val="TOC1"/>
            <w:numPr>
              <w:ilvl w:val="0"/>
              <w:numId w:val="1"/>
            </w:numPr>
            <w:tabs>
              <w:tab w:pos="1778" w:val="left" w:leader="none"/>
              <w:tab w:pos="1779" w:val="left" w:leader="none"/>
              <w:tab w:pos="9483" w:val="left" w:leader="dot"/>
            </w:tabs>
            <w:spacing w:line="240" w:lineRule="auto" w:before="241" w:after="0"/>
            <w:ind w:left="1778" w:right="0" w:hanging="442"/>
            <w:jc w:val="left"/>
          </w:pPr>
          <w:hyperlink w:history="true" w:anchor="_bookmark0">
            <w:r>
              <w:rPr>
                <w:spacing w:val="-2"/>
              </w:rPr>
              <w:t>PREFACE</w:t>
            </w:r>
            <w:r>
              <w:rPr/>
              <w:tab/>
            </w:r>
            <w:r>
              <w:rPr>
                <w:spacing w:val="-10"/>
              </w:rPr>
              <w:t>5</w:t>
            </w:r>
          </w:hyperlink>
        </w:p>
        <w:p>
          <w:pPr>
            <w:pStyle w:val="TOC1"/>
            <w:numPr>
              <w:ilvl w:val="0"/>
              <w:numId w:val="1"/>
            </w:numPr>
            <w:tabs>
              <w:tab w:pos="1777" w:val="left" w:leader="none"/>
              <w:tab w:pos="1778" w:val="left" w:leader="none"/>
              <w:tab w:pos="9483" w:val="left" w:leader="dot"/>
            </w:tabs>
            <w:spacing w:line="240" w:lineRule="auto" w:before="59" w:after="0"/>
            <w:ind w:left="1778" w:right="0" w:hanging="441"/>
            <w:jc w:val="left"/>
          </w:pPr>
          <w:hyperlink w:history="true" w:anchor="_bookmark1">
            <w:r>
              <w:rPr>
                <w:spacing w:val="-2"/>
              </w:rPr>
              <w:t>GLOSSARY</w:t>
            </w:r>
            <w:r>
              <w:rPr/>
              <w:tab/>
            </w:r>
            <w:r>
              <w:rPr>
                <w:spacing w:val="-10"/>
              </w:rPr>
              <w:t>6</w:t>
            </w:r>
          </w:hyperlink>
        </w:p>
        <w:p>
          <w:pPr>
            <w:pStyle w:val="TOC1"/>
            <w:numPr>
              <w:ilvl w:val="0"/>
              <w:numId w:val="1"/>
            </w:numPr>
            <w:tabs>
              <w:tab w:pos="1777" w:val="left" w:leader="none"/>
              <w:tab w:pos="1778" w:val="left" w:leader="none"/>
              <w:tab w:pos="9482" w:val="left" w:leader="dot"/>
            </w:tabs>
            <w:spacing w:line="240" w:lineRule="auto" w:before="60" w:after="0"/>
            <w:ind w:left="1777" w:right="0" w:hanging="441"/>
            <w:jc w:val="left"/>
          </w:pPr>
          <w:hyperlink w:history="true" w:anchor="_bookmark2">
            <w:r>
              <w:rPr/>
              <w:t>KEY</w:t>
            </w:r>
            <w:r>
              <w:rPr>
                <w:spacing w:val="-11"/>
              </w:rPr>
              <w:t> </w:t>
            </w:r>
            <w:r>
              <w:rPr/>
              <w:t>FINDINGS</w:t>
            </w:r>
            <w:r>
              <w:rPr>
                <w:spacing w:val="-11"/>
              </w:rPr>
              <w:t> </w:t>
            </w:r>
            <w:r>
              <w:rPr/>
              <w:t>&amp;</w:t>
            </w:r>
            <w:r>
              <w:rPr>
                <w:spacing w:val="-10"/>
              </w:rPr>
              <w:t> </w:t>
            </w:r>
            <w:r>
              <w:rPr/>
              <w:t>TRENDS</w:t>
            </w:r>
            <w:r>
              <w:rPr>
                <w:spacing w:val="-11"/>
              </w:rPr>
              <w:t> </w:t>
            </w:r>
            <w:r>
              <w:rPr/>
              <w:t>AT-A-</w:t>
            </w:r>
            <w:r>
              <w:rPr>
                <w:spacing w:val="-2"/>
              </w:rPr>
              <w:t>GLANCE</w:t>
            </w:r>
            <w:r>
              <w:rPr/>
              <w:tab/>
            </w:r>
            <w:r>
              <w:rPr>
                <w:spacing w:val="-10"/>
              </w:rPr>
              <w:t>7</w:t>
            </w:r>
          </w:hyperlink>
        </w:p>
        <w:p>
          <w:pPr>
            <w:pStyle w:val="TOC1"/>
            <w:numPr>
              <w:ilvl w:val="0"/>
              <w:numId w:val="1"/>
            </w:numPr>
            <w:tabs>
              <w:tab w:pos="1777" w:val="left" w:leader="none"/>
              <w:tab w:pos="1778" w:val="left" w:leader="none"/>
              <w:tab w:pos="9325" w:val="left" w:leader="dot"/>
            </w:tabs>
            <w:spacing w:line="240" w:lineRule="auto" w:before="60" w:after="0"/>
            <w:ind w:left="1777" w:right="0" w:hanging="441"/>
            <w:jc w:val="left"/>
          </w:pPr>
          <w:hyperlink w:history="true" w:anchor="_bookmark3">
            <w:r>
              <w:rPr/>
              <w:t>EXECUTIVE</w:t>
            </w:r>
            <w:r>
              <w:rPr>
                <w:spacing w:val="-16"/>
              </w:rPr>
              <w:t> </w:t>
            </w:r>
            <w:r>
              <w:rPr>
                <w:spacing w:val="-2"/>
              </w:rPr>
              <w:t>SUMMARY</w:t>
            </w:r>
            <w:r>
              <w:rPr/>
              <w:tab/>
            </w:r>
            <w:r>
              <w:rPr>
                <w:spacing w:val="-5"/>
              </w:rPr>
              <w:t>10</w:t>
            </w:r>
          </w:hyperlink>
        </w:p>
        <w:p>
          <w:pPr>
            <w:pStyle w:val="TOC1"/>
            <w:numPr>
              <w:ilvl w:val="0"/>
              <w:numId w:val="1"/>
            </w:numPr>
            <w:tabs>
              <w:tab w:pos="1777" w:val="left" w:leader="none"/>
              <w:tab w:pos="1778" w:val="left" w:leader="none"/>
              <w:tab w:pos="9325" w:val="left" w:leader="dot"/>
            </w:tabs>
            <w:spacing w:line="240" w:lineRule="auto" w:before="60" w:after="0"/>
            <w:ind w:left="1777" w:right="0" w:hanging="441"/>
            <w:jc w:val="left"/>
          </w:pPr>
          <w:hyperlink w:history="true" w:anchor="_bookmark4">
            <w:r>
              <w:rPr/>
              <w:t>INTRODUCTION</w:t>
            </w:r>
            <w:r>
              <w:rPr>
                <w:spacing w:val="-13"/>
              </w:rPr>
              <w:t> </w:t>
            </w:r>
            <w:r>
              <w:rPr/>
              <w:t>AND</w:t>
            </w:r>
            <w:r>
              <w:rPr>
                <w:spacing w:val="-13"/>
              </w:rPr>
              <w:t> </w:t>
            </w:r>
            <w:r>
              <w:rPr>
                <w:spacing w:val="-2"/>
              </w:rPr>
              <w:t>CONTEXT</w:t>
            </w:r>
            <w:r>
              <w:rPr/>
              <w:tab/>
            </w:r>
            <w:r>
              <w:rPr>
                <w:spacing w:val="-5"/>
              </w:rPr>
              <w:t>19</w:t>
            </w:r>
          </w:hyperlink>
        </w:p>
        <w:p>
          <w:pPr>
            <w:pStyle w:val="TOC1"/>
            <w:numPr>
              <w:ilvl w:val="0"/>
              <w:numId w:val="1"/>
            </w:numPr>
            <w:tabs>
              <w:tab w:pos="1777" w:val="left" w:leader="none"/>
              <w:tab w:pos="1778" w:val="left" w:leader="none"/>
              <w:tab w:pos="9324" w:val="left" w:leader="dot"/>
            </w:tabs>
            <w:spacing w:line="240" w:lineRule="auto" w:before="200" w:after="0"/>
            <w:ind w:left="1336" w:right="1487" w:firstLine="0"/>
            <w:jc w:val="left"/>
          </w:pPr>
          <w:hyperlink w:history="true" w:anchor="_bookmark5">
            <w:r>
              <w:rPr/>
              <w:t>INTRODUCTION TO THE EVALUATION OF EARLY</w:t>
            </w:r>
          </w:hyperlink>
          <w:r>
            <w:rPr>
              <w:spacing w:val="74"/>
            </w:rPr>
            <w:t> </w:t>
          </w:r>
          <w:hyperlink w:history="true" w:anchor="_bookmark5">
            <w:r>
              <w:rPr>
                <w:spacing w:val="-2"/>
              </w:rPr>
              <w:t>C</w:t>
            </w:r>
          </w:hyperlink>
          <w:hyperlink w:history="true" w:anchor="_bookmark5">
            <w:r>
              <w:rPr>
                <w:spacing w:val="-2"/>
              </w:rPr>
              <w:t>ONCILIATION</w:t>
            </w:r>
            <w:r>
              <w:rPr/>
              <w:tab/>
            </w:r>
            <w:r>
              <w:rPr>
                <w:spacing w:val="-6"/>
              </w:rPr>
              <w:t>2</w:t>
            </w:r>
            <w:r>
              <w:rPr>
                <w:spacing w:val="-6"/>
              </w:rPr>
              <w:t>7</w:t>
            </w:r>
          </w:hyperlink>
        </w:p>
        <w:p>
          <w:pPr>
            <w:pStyle w:val="TOC1"/>
            <w:numPr>
              <w:ilvl w:val="0"/>
              <w:numId w:val="1"/>
            </w:numPr>
            <w:tabs>
              <w:tab w:pos="1776" w:val="left" w:leader="none"/>
              <w:tab w:pos="1777" w:val="left" w:leader="none"/>
              <w:tab w:pos="9324" w:val="left" w:leader="dot"/>
            </w:tabs>
            <w:spacing w:line="240" w:lineRule="auto" w:before="199" w:after="0"/>
            <w:ind w:left="1776" w:right="0" w:hanging="441"/>
            <w:jc w:val="left"/>
          </w:pPr>
          <w:hyperlink w:history="true" w:anchor="_bookmark6">
            <w:r>
              <w:rPr/>
              <w:t>PROFILE</w:t>
            </w:r>
            <w:r>
              <w:rPr>
                <w:spacing w:val="-8"/>
              </w:rPr>
              <w:t> </w:t>
            </w:r>
            <w:r>
              <w:rPr/>
              <w:t>OF</w:t>
            </w:r>
            <w:r>
              <w:rPr>
                <w:spacing w:val="-8"/>
              </w:rPr>
              <w:t> </w:t>
            </w:r>
            <w:r>
              <w:rPr/>
              <w:t>PARTIES</w:t>
            </w:r>
            <w:r>
              <w:rPr>
                <w:spacing w:val="-8"/>
              </w:rPr>
              <w:t> </w:t>
            </w:r>
            <w:r>
              <w:rPr/>
              <w:t>AT</w:t>
            </w:r>
            <w:r>
              <w:rPr>
                <w:spacing w:val="-8"/>
              </w:rPr>
              <w:t> </w:t>
            </w:r>
            <w:r>
              <w:rPr/>
              <w:t>EC</w:t>
            </w:r>
            <w:r>
              <w:rPr>
                <w:spacing w:val="-8"/>
              </w:rPr>
              <w:t> </w:t>
            </w:r>
            <w:r>
              <w:rPr/>
              <w:t>AND</w:t>
            </w:r>
            <w:r>
              <w:rPr>
                <w:spacing w:val="-8"/>
              </w:rPr>
              <w:t> </w:t>
            </w:r>
            <w:r>
              <w:rPr/>
              <w:t>THEIR</w:t>
            </w:r>
            <w:r>
              <w:rPr>
                <w:spacing w:val="-8"/>
              </w:rPr>
              <w:t> </w:t>
            </w:r>
            <w:r>
              <w:rPr>
                <w:spacing w:val="-2"/>
              </w:rPr>
              <w:t>DISPUTES</w:t>
            </w:r>
            <w:r>
              <w:rPr/>
              <w:tab/>
            </w:r>
            <w:r>
              <w:rPr>
                <w:spacing w:val="-5"/>
              </w:rPr>
              <w:t>28</w:t>
            </w:r>
          </w:hyperlink>
        </w:p>
        <w:p>
          <w:pPr>
            <w:pStyle w:val="TOC2"/>
            <w:numPr>
              <w:ilvl w:val="1"/>
              <w:numId w:val="1"/>
            </w:numPr>
            <w:tabs>
              <w:tab w:pos="1997" w:val="left" w:leader="none"/>
              <w:tab w:pos="1998" w:val="left" w:leader="none"/>
              <w:tab w:pos="9385" w:val="left" w:leader="dot"/>
            </w:tabs>
            <w:spacing w:line="240" w:lineRule="auto" w:before="98" w:after="0"/>
            <w:ind w:left="1997" w:right="0" w:hanging="661"/>
            <w:jc w:val="left"/>
          </w:pPr>
          <w:hyperlink w:history="true" w:anchor="_bookmark7">
            <w:r>
              <w:rPr/>
              <w:t>Profile</w:t>
            </w:r>
            <w:r>
              <w:rPr>
                <w:spacing w:val="-4"/>
              </w:rPr>
              <w:t> </w:t>
            </w:r>
            <w:r>
              <w:rPr/>
              <w:t>of</w:t>
            </w:r>
            <w:r>
              <w:rPr>
                <w:spacing w:val="-2"/>
              </w:rPr>
              <w:t> claimants</w:t>
            </w:r>
            <w:r>
              <w:rPr/>
              <w:tab/>
            </w:r>
            <w:r>
              <w:rPr>
                <w:spacing w:val="-5"/>
              </w:rPr>
              <w:t>29</w:t>
            </w:r>
          </w:hyperlink>
        </w:p>
        <w:p>
          <w:pPr>
            <w:pStyle w:val="TOC2"/>
            <w:numPr>
              <w:ilvl w:val="1"/>
              <w:numId w:val="1"/>
            </w:numPr>
            <w:tabs>
              <w:tab w:pos="1997" w:val="left" w:leader="none"/>
              <w:tab w:pos="1998" w:val="left" w:leader="none"/>
              <w:tab w:pos="9384" w:val="left" w:leader="dot"/>
            </w:tabs>
            <w:spacing w:line="240" w:lineRule="auto" w:before="16" w:after="0"/>
            <w:ind w:left="1997" w:right="0" w:hanging="661"/>
            <w:jc w:val="left"/>
          </w:pPr>
          <w:hyperlink w:history="true" w:anchor="_bookmark8">
            <w:r>
              <w:rPr/>
              <w:t>Profile</w:t>
            </w:r>
            <w:r>
              <w:rPr>
                <w:spacing w:val="-4"/>
              </w:rPr>
              <w:t> </w:t>
            </w:r>
            <w:r>
              <w:rPr/>
              <w:t>of</w:t>
            </w:r>
            <w:r>
              <w:rPr>
                <w:spacing w:val="-2"/>
              </w:rPr>
              <w:t> employers</w:t>
            </w:r>
            <w:r>
              <w:rPr/>
              <w:tab/>
            </w:r>
            <w:r>
              <w:rPr>
                <w:spacing w:val="-5"/>
              </w:rPr>
              <w:t>30</w:t>
            </w:r>
          </w:hyperlink>
        </w:p>
        <w:p>
          <w:pPr>
            <w:pStyle w:val="TOC2"/>
            <w:numPr>
              <w:ilvl w:val="1"/>
              <w:numId w:val="1"/>
            </w:numPr>
            <w:tabs>
              <w:tab w:pos="1997" w:val="left" w:leader="none"/>
              <w:tab w:pos="1998" w:val="left" w:leader="none"/>
              <w:tab w:pos="9384" w:val="left" w:leader="dot"/>
            </w:tabs>
            <w:spacing w:line="240" w:lineRule="auto" w:before="17" w:after="0"/>
            <w:ind w:left="1997" w:right="0" w:hanging="661"/>
            <w:jc w:val="left"/>
          </w:pPr>
          <w:hyperlink w:history="true" w:anchor="_bookmark9">
            <w:r>
              <w:rPr/>
              <w:t>Profile</w:t>
            </w:r>
            <w:r>
              <w:rPr>
                <w:spacing w:val="-5"/>
              </w:rPr>
              <w:t> </w:t>
            </w:r>
            <w:r>
              <w:rPr/>
              <w:t>of</w:t>
            </w:r>
            <w:r>
              <w:rPr>
                <w:spacing w:val="-3"/>
              </w:rPr>
              <w:t> </w:t>
            </w:r>
            <w:r>
              <w:rPr/>
              <w:t>claimant</w:t>
            </w:r>
            <w:r>
              <w:rPr>
                <w:spacing w:val="-3"/>
              </w:rPr>
              <w:t> </w:t>
            </w:r>
            <w:r>
              <w:rPr/>
              <w:t>and</w:t>
            </w:r>
            <w:r>
              <w:rPr>
                <w:spacing w:val="-4"/>
              </w:rPr>
              <w:t> </w:t>
            </w:r>
            <w:r>
              <w:rPr/>
              <w:t>employer</w:t>
            </w:r>
            <w:r>
              <w:rPr>
                <w:spacing w:val="-3"/>
              </w:rPr>
              <w:t> </w:t>
            </w:r>
            <w:r>
              <w:rPr>
                <w:spacing w:val="-2"/>
              </w:rPr>
              <w:t>representatives</w:t>
            </w:r>
            <w:r>
              <w:rPr/>
              <w:tab/>
            </w:r>
            <w:r>
              <w:rPr>
                <w:spacing w:val="-5"/>
              </w:rPr>
              <w:t>31</w:t>
            </w:r>
          </w:hyperlink>
        </w:p>
        <w:p>
          <w:pPr>
            <w:pStyle w:val="TOC2"/>
            <w:numPr>
              <w:ilvl w:val="1"/>
              <w:numId w:val="1"/>
            </w:numPr>
            <w:tabs>
              <w:tab w:pos="1997" w:val="left" w:leader="none"/>
              <w:tab w:pos="1998" w:val="left" w:leader="none"/>
              <w:tab w:pos="9385" w:val="left" w:leader="dot"/>
            </w:tabs>
            <w:spacing w:line="240" w:lineRule="auto" w:before="17" w:after="0"/>
            <w:ind w:left="1997" w:right="0" w:hanging="661"/>
            <w:jc w:val="left"/>
          </w:pPr>
          <w:hyperlink w:history="true" w:anchor="_bookmark10">
            <w:r>
              <w:rPr/>
              <w:t>The</w:t>
            </w:r>
            <w:r>
              <w:rPr>
                <w:spacing w:val="-4"/>
              </w:rPr>
              <w:t> </w:t>
            </w:r>
            <w:r>
              <w:rPr/>
              <w:t>workplace</w:t>
            </w:r>
            <w:r>
              <w:rPr>
                <w:spacing w:val="-3"/>
              </w:rPr>
              <w:t> </w:t>
            </w:r>
            <w:r>
              <w:rPr>
                <w:spacing w:val="-2"/>
              </w:rPr>
              <w:t>dispute</w:t>
            </w:r>
            <w:r>
              <w:rPr/>
              <w:tab/>
            </w:r>
            <w:r>
              <w:rPr>
                <w:spacing w:val="-5"/>
              </w:rPr>
              <w:t>32</w:t>
            </w:r>
          </w:hyperlink>
        </w:p>
        <w:p>
          <w:pPr>
            <w:pStyle w:val="TOC2"/>
            <w:numPr>
              <w:ilvl w:val="1"/>
              <w:numId w:val="1"/>
            </w:numPr>
            <w:tabs>
              <w:tab w:pos="1997" w:val="left" w:leader="none"/>
              <w:tab w:pos="1998" w:val="left" w:leader="none"/>
              <w:tab w:pos="9384" w:val="left" w:leader="dot"/>
            </w:tabs>
            <w:spacing w:line="240" w:lineRule="auto" w:before="16" w:after="0"/>
            <w:ind w:left="1997" w:right="0" w:hanging="661"/>
            <w:jc w:val="left"/>
          </w:pPr>
          <w:hyperlink w:history="true" w:anchor="_bookmark11">
            <w:r>
              <w:rPr/>
              <w:t>End</w:t>
            </w:r>
            <w:r>
              <w:rPr>
                <w:spacing w:val="-4"/>
              </w:rPr>
              <w:t> </w:t>
            </w:r>
            <w:r>
              <w:rPr/>
              <w:t>of </w:t>
            </w:r>
            <w:r>
              <w:rPr>
                <w:spacing w:val="-2"/>
              </w:rPr>
              <w:t>employment</w:t>
            </w:r>
            <w:r>
              <w:rPr/>
              <w:tab/>
            </w:r>
            <w:r>
              <w:rPr>
                <w:spacing w:val="-5"/>
              </w:rPr>
              <w:t>33</w:t>
            </w:r>
          </w:hyperlink>
        </w:p>
        <w:p>
          <w:pPr>
            <w:pStyle w:val="TOC2"/>
            <w:numPr>
              <w:ilvl w:val="1"/>
              <w:numId w:val="1"/>
            </w:numPr>
            <w:tabs>
              <w:tab w:pos="1997" w:val="left" w:leader="none"/>
              <w:tab w:pos="1998" w:val="left" w:leader="none"/>
              <w:tab w:pos="9384" w:val="left" w:leader="dot"/>
            </w:tabs>
            <w:spacing w:line="240" w:lineRule="auto" w:before="18" w:after="0"/>
            <w:ind w:left="1997" w:right="0" w:hanging="661"/>
            <w:jc w:val="left"/>
          </w:pPr>
          <w:hyperlink w:history="true" w:anchor="_bookmark12">
            <w:r>
              <w:rPr/>
              <w:t>Written</w:t>
            </w:r>
            <w:r>
              <w:rPr>
                <w:spacing w:val="-3"/>
              </w:rPr>
              <w:t> </w:t>
            </w:r>
            <w:r>
              <w:rPr/>
              <w:t>policies</w:t>
            </w:r>
            <w:r>
              <w:rPr>
                <w:spacing w:val="-3"/>
              </w:rPr>
              <w:t> </w:t>
            </w:r>
            <w:r>
              <w:rPr/>
              <w:t>and</w:t>
            </w:r>
            <w:r>
              <w:rPr>
                <w:spacing w:val="-3"/>
              </w:rPr>
              <w:t> </w:t>
            </w:r>
            <w:r>
              <w:rPr>
                <w:spacing w:val="-2"/>
              </w:rPr>
              <w:t>procedures</w:t>
            </w:r>
            <w:r>
              <w:rPr/>
              <w:tab/>
            </w:r>
            <w:r>
              <w:rPr>
                <w:spacing w:val="-5"/>
              </w:rPr>
              <w:t>33</w:t>
            </w:r>
          </w:hyperlink>
        </w:p>
        <w:p>
          <w:pPr>
            <w:pStyle w:val="TOC1"/>
            <w:numPr>
              <w:ilvl w:val="0"/>
              <w:numId w:val="1"/>
            </w:numPr>
            <w:tabs>
              <w:tab w:pos="1777" w:val="left" w:leader="none"/>
              <w:tab w:pos="1778" w:val="left" w:leader="none"/>
              <w:tab w:pos="9325" w:val="left" w:leader="dot"/>
            </w:tabs>
            <w:spacing w:line="240" w:lineRule="auto" w:before="200" w:after="0"/>
            <w:ind w:left="1777" w:right="0" w:hanging="441"/>
            <w:jc w:val="left"/>
          </w:pPr>
          <w:hyperlink w:history="true" w:anchor="_TOC_250009">
            <w:r>
              <w:rPr/>
              <w:t>UPTAKE</w:t>
            </w:r>
            <w:r>
              <w:rPr>
                <w:spacing w:val="-9"/>
              </w:rPr>
              <w:t> </w:t>
            </w:r>
            <w:r>
              <w:rPr/>
              <w:t>OF</w:t>
            </w:r>
            <w:r>
              <w:rPr>
                <w:spacing w:val="-8"/>
              </w:rPr>
              <w:t> </w:t>
            </w:r>
            <w:r>
              <w:rPr/>
              <w:t>EARLY</w:t>
            </w:r>
            <w:r>
              <w:rPr>
                <w:spacing w:val="-9"/>
              </w:rPr>
              <w:t> </w:t>
            </w:r>
            <w:r>
              <w:rPr>
                <w:spacing w:val="-2"/>
              </w:rPr>
              <w:t>CONCILIATION</w:t>
            </w:r>
            <w:r>
              <w:rPr/>
              <w:tab/>
            </w:r>
            <w:r>
              <w:rPr>
                <w:spacing w:val="-5"/>
              </w:rPr>
              <w:t>34</w:t>
            </w:r>
          </w:hyperlink>
        </w:p>
        <w:p>
          <w:pPr>
            <w:pStyle w:val="TOC2"/>
            <w:numPr>
              <w:ilvl w:val="1"/>
              <w:numId w:val="1"/>
            </w:numPr>
            <w:tabs>
              <w:tab w:pos="1997" w:val="left" w:leader="none"/>
              <w:tab w:pos="1998" w:val="left" w:leader="none"/>
              <w:tab w:pos="9384" w:val="left" w:leader="dot"/>
            </w:tabs>
            <w:spacing w:line="240" w:lineRule="auto" w:before="97" w:after="0"/>
            <w:ind w:left="1997" w:right="0" w:hanging="661"/>
            <w:jc w:val="left"/>
          </w:pPr>
          <w:hyperlink w:history="true" w:anchor="_TOC_250008">
            <w:r>
              <w:rPr/>
              <w:t>Submission</w:t>
            </w:r>
            <w:r>
              <w:rPr>
                <w:spacing w:val="-5"/>
              </w:rPr>
              <w:t> </w:t>
            </w:r>
            <w:r>
              <w:rPr/>
              <w:t>of</w:t>
            </w:r>
            <w:r>
              <w:rPr>
                <w:spacing w:val="-3"/>
              </w:rPr>
              <w:t> </w:t>
            </w:r>
            <w:r>
              <w:rPr/>
              <w:t>the</w:t>
            </w:r>
            <w:r>
              <w:rPr>
                <w:spacing w:val="-4"/>
              </w:rPr>
              <w:t> </w:t>
            </w:r>
            <w:r>
              <w:rPr/>
              <w:t>EC</w:t>
            </w:r>
            <w:r>
              <w:rPr>
                <w:spacing w:val="-4"/>
              </w:rPr>
              <w:t> </w:t>
            </w:r>
            <w:r>
              <w:rPr/>
              <w:t>notification</w:t>
            </w:r>
            <w:r>
              <w:rPr>
                <w:spacing w:val="-3"/>
              </w:rPr>
              <w:t> </w:t>
            </w:r>
            <w:r>
              <w:rPr/>
              <w:t>form</w:t>
            </w:r>
            <w:r>
              <w:rPr>
                <w:spacing w:val="-4"/>
              </w:rPr>
              <w:t> </w:t>
            </w:r>
            <w:r>
              <w:rPr/>
              <w:t>and</w:t>
            </w:r>
            <w:r>
              <w:rPr>
                <w:spacing w:val="-3"/>
              </w:rPr>
              <w:t> </w:t>
            </w:r>
            <w:r>
              <w:rPr/>
              <w:t>interaction</w:t>
            </w:r>
            <w:r>
              <w:rPr>
                <w:spacing w:val="-3"/>
              </w:rPr>
              <w:t> </w:t>
            </w:r>
            <w:r>
              <w:rPr/>
              <w:t>with</w:t>
            </w:r>
            <w:r>
              <w:rPr>
                <w:spacing w:val="-3"/>
              </w:rPr>
              <w:t> </w:t>
            </w:r>
            <w:r>
              <w:rPr/>
              <w:t>the</w:t>
            </w:r>
            <w:r>
              <w:rPr>
                <w:spacing w:val="-4"/>
              </w:rPr>
              <w:t> ECSO</w:t>
            </w:r>
            <w:r>
              <w:rPr/>
              <w:tab/>
            </w:r>
            <w:r>
              <w:rPr>
                <w:spacing w:val="-5"/>
              </w:rPr>
              <w:t>34</w:t>
            </w:r>
          </w:hyperlink>
        </w:p>
        <w:p>
          <w:pPr>
            <w:pStyle w:val="TOC2"/>
            <w:numPr>
              <w:ilvl w:val="1"/>
              <w:numId w:val="1"/>
            </w:numPr>
            <w:tabs>
              <w:tab w:pos="1997" w:val="left" w:leader="none"/>
              <w:tab w:pos="1998" w:val="left" w:leader="none"/>
              <w:tab w:pos="9385" w:val="left" w:leader="dot"/>
            </w:tabs>
            <w:spacing w:line="240" w:lineRule="auto" w:before="17" w:after="0"/>
            <w:ind w:left="1997" w:right="0" w:hanging="661"/>
            <w:jc w:val="left"/>
          </w:pPr>
          <w:hyperlink w:history="true" w:anchor="_bookmark13">
            <w:r>
              <w:rPr/>
              <w:t>Employer-initiated</w:t>
            </w:r>
            <w:r>
              <w:rPr>
                <w:spacing w:val="-13"/>
              </w:rPr>
              <w:t> </w:t>
            </w:r>
            <w:r>
              <w:rPr>
                <w:spacing w:val="-5"/>
              </w:rPr>
              <w:t>EC</w:t>
            </w:r>
            <w:r>
              <w:rPr/>
              <w:tab/>
            </w:r>
            <w:r>
              <w:rPr>
                <w:spacing w:val="-5"/>
              </w:rPr>
              <w:t>38</w:t>
            </w:r>
          </w:hyperlink>
        </w:p>
        <w:p>
          <w:pPr>
            <w:pStyle w:val="TOC2"/>
            <w:numPr>
              <w:ilvl w:val="1"/>
              <w:numId w:val="1"/>
            </w:numPr>
            <w:tabs>
              <w:tab w:pos="1997" w:val="left" w:leader="none"/>
              <w:tab w:pos="1998" w:val="left" w:leader="none"/>
              <w:tab w:pos="9384" w:val="left" w:leader="dot"/>
            </w:tabs>
            <w:spacing w:line="240" w:lineRule="auto" w:before="16" w:after="0"/>
            <w:ind w:left="1997" w:right="0" w:hanging="661"/>
            <w:jc w:val="left"/>
          </w:pPr>
          <w:hyperlink w:history="true" w:anchor="_bookmark14">
            <w:r>
              <w:rPr/>
              <w:t>Claimant</w:t>
            </w:r>
            <w:r>
              <w:rPr>
                <w:spacing w:val="-6"/>
              </w:rPr>
              <w:t> </w:t>
            </w:r>
            <w:r>
              <w:rPr/>
              <w:t>decision-making</w:t>
            </w:r>
            <w:r>
              <w:rPr>
                <w:spacing w:val="-6"/>
              </w:rPr>
              <w:t> </w:t>
            </w:r>
            <w:r>
              <w:rPr/>
              <w:t>around</w:t>
            </w:r>
            <w:r>
              <w:rPr>
                <w:spacing w:val="-7"/>
              </w:rPr>
              <w:t> </w:t>
            </w:r>
            <w:r>
              <w:rPr/>
              <w:t>participating</w:t>
            </w:r>
            <w:r>
              <w:rPr>
                <w:spacing w:val="-7"/>
              </w:rPr>
              <w:t> </w:t>
            </w:r>
            <w:r>
              <w:rPr/>
              <w:t>in</w:t>
            </w:r>
            <w:r>
              <w:rPr>
                <w:spacing w:val="-5"/>
              </w:rPr>
              <w:t> EC</w:t>
            </w:r>
            <w:r>
              <w:rPr/>
              <w:tab/>
            </w:r>
            <w:r>
              <w:rPr>
                <w:spacing w:val="-5"/>
              </w:rPr>
              <w:t>38</w:t>
            </w:r>
          </w:hyperlink>
        </w:p>
        <w:p>
          <w:pPr>
            <w:pStyle w:val="TOC2"/>
            <w:numPr>
              <w:ilvl w:val="1"/>
              <w:numId w:val="1"/>
            </w:numPr>
            <w:tabs>
              <w:tab w:pos="1997" w:val="left" w:leader="none"/>
              <w:tab w:pos="1998" w:val="left" w:leader="none"/>
              <w:tab w:pos="9384" w:val="left" w:leader="dot"/>
            </w:tabs>
            <w:spacing w:line="240" w:lineRule="auto" w:before="18" w:after="0"/>
            <w:ind w:left="1997" w:right="0" w:hanging="661"/>
            <w:jc w:val="left"/>
          </w:pPr>
          <w:hyperlink w:history="true" w:anchor="_bookmark15">
            <w:r>
              <w:rPr/>
              <w:t>Employer</w:t>
            </w:r>
            <w:r>
              <w:rPr>
                <w:spacing w:val="-6"/>
              </w:rPr>
              <w:t> </w:t>
            </w:r>
            <w:r>
              <w:rPr/>
              <w:t>decision-making</w:t>
            </w:r>
            <w:r>
              <w:rPr>
                <w:spacing w:val="-3"/>
              </w:rPr>
              <w:t> </w:t>
            </w:r>
            <w:r>
              <w:rPr/>
              <w:t>around</w:t>
            </w:r>
            <w:r>
              <w:rPr>
                <w:spacing w:val="-5"/>
              </w:rPr>
              <w:t> </w:t>
            </w:r>
            <w:r>
              <w:rPr/>
              <w:t>taking</w:t>
            </w:r>
            <w:r>
              <w:rPr>
                <w:spacing w:val="-3"/>
              </w:rPr>
              <w:t> </w:t>
            </w:r>
            <w:r>
              <w:rPr/>
              <w:t>part</w:t>
            </w:r>
            <w:r>
              <w:rPr>
                <w:spacing w:val="-4"/>
              </w:rPr>
              <w:t> </w:t>
            </w:r>
            <w:r>
              <w:rPr/>
              <w:t>in</w:t>
            </w:r>
            <w:r>
              <w:rPr>
                <w:spacing w:val="-4"/>
              </w:rPr>
              <w:t> </w:t>
            </w:r>
            <w:r>
              <w:rPr>
                <w:spacing w:val="-5"/>
              </w:rPr>
              <w:t>EC</w:t>
            </w:r>
            <w:r>
              <w:rPr/>
              <w:tab/>
            </w:r>
            <w:r>
              <w:rPr>
                <w:spacing w:val="-5"/>
              </w:rPr>
              <w:t>40</w:t>
            </w:r>
          </w:hyperlink>
        </w:p>
        <w:p>
          <w:pPr>
            <w:pStyle w:val="TOC2"/>
            <w:numPr>
              <w:ilvl w:val="1"/>
              <w:numId w:val="1"/>
            </w:numPr>
            <w:tabs>
              <w:tab w:pos="1997" w:val="left" w:leader="none"/>
              <w:tab w:pos="1998" w:val="left" w:leader="none"/>
              <w:tab w:pos="9384" w:val="left" w:leader="dot"/>
            </w:tabs>
            <w:spacing w:line="240" w:lineRule="auto" w:before="17" w:after="0"/>
            <w:ind w:left="1997" w:right="0" w:hanging="661"/>
            <w:jc w:val="left"/>
          </w:pPr>
          <w:hyperlink w:history="true" w:anchor="_bookmark16">
            <w:r>
              <w:rPr/>
              <w:t>Previous</w:t>
            </w:r>
            <w:r>
              <w:rPr>
                <w:spacing w:val="-4"/>
              </w:rPr>
              <w:t> </w:t>
            </w:r>
            <w:r>
              <w:rPr/>
              <w:t>knowledge</w:t>
            </w:r>
            <w:r>
              <w:rPr>
                <w:spacing w:val="-4"/>
              </w:rPr>
              <w:t> </w:t>
            </w:r>
            <w:r>
              <w:rPr/>
              <w:t>and</w:t>
            </w:r>
            <w:r>
              <w:rPr>
                <w:spacing w:val="-3"/>
              </w:rPr>
              <w:t> </w:t>
            </w:r>
            <w:r>
              <w:rPr/>
              <w:t>experience</w:t>
            </w:r>
            <w:r>
              <w:rPr>
                <w:spacing w:val="-4"/>
              </w:rPr>
              <w:t> </w:t>
            </w:r>
            <w:r>
              <w:rPr/>
              <w:t>of</w:t>
            </w:r>
            <w:r>
              <w:rPr>
                <w:spacing w:val="-3"/>
              </w:rPr>
              <w:t> </w:t>
            </w:r>
            <w:r>
              <w:rPr>
                <w:spacing w:val="-5"/>
              </w:rPr>
              <w:t>EC</w:t>
            </w:r>
            <w:r>
              <w:rPr/>
              <w:tab/>
            </w:r>
            <w:r>
              <w:rPr>
                <w:spacing w:val="-5"/>
              </w:rPr>
              <w:t>41</w:t>
            </w:r>
          </w:hyperlink>
        </w:p>
        <w:p>
          <w:pPr>
            <w:pStyle w:val="TOC1"/>
            <w:numPr>
              <w:ilvl w:val="0"/>
              <w:numId w:val="1"/>
            </w:numPr>
            <w:tabs>
              <w:tab w:pos="1777" w:val="left" w:leader="none"/>
              <w:tab w:pos="1778" w:val="left" w:leader="none"/>
              <w:tab w:pos="9325" w:val="left" w:leader="dot"/>
            </w:tabs>
            <w:spacing w:line="240" w:lineRule="auto" w:before="200" w:after="0"/>
            <w:ind w:left="1777" w:right="0" w:hanging="441"/>
            <w:jc w:val="left"/>
          </w:pPr>
          <w:hyperlink w:history="true" w:anchor="_bookmark17">
            <w:r>
              <w:rPr/>
              <w:t>THE</w:t>
            </w:r>
            <w:r>
              <w:rPr>
                <w:spacing w:val="-12"/>
              </w:rPr>
              <w:t> </w:t>
            </w:r>
            <w:r>
              <w:rPr/>
              <w:t>EARLY</w:t>
            </w:r>
            <w:r>
              <w:rPr>
                <w:spacing w:val="-12"/>
              </w:rPr>
              <w:t> </w:t>
            </w:r>
            <w:r>
              <w:rPr/>
              <w:t>CONCILIATION</w:t>
            </w:r>
            <w:r>
              <w:rPr>
                <w:spacing w:val="-12"/>
              </w:rPr>
              <w:t> </w:t>
            </w:r>
            <w:r>
              <w:rPr>
                <w:spacing w:val="-2"/>
              </w:rPr>
              <w:t>EXPERIENCE</w:t>
            </w:r>
            <w:r>
              <w:rPr/>
              <w:tab/>
            </w:r>
            <w:r>
              <w:rPr>
                <w:spacing w:val="-5"/>
              </w:rPr>
              <w:t>45</w:t>
            </w:r>
          </w:hyperlink>
        </w:p>
        <w:p>
          <w:pPr>
            <w:pStyle w:val="TOC2"/>
            <w:numPr>
              <w:ilvl w:val="1"/>
              <w:numId w:val="1"/>
            </w:numPr>
            <w:tabs>
              <w:tab w:pos="1997" w:val="left" w:leader="none"/>
              <w:tab w:pos="1998" w:val="left" w:leader="none"/>
              <w:tab w:pos="9384" w:val="left" w:leader="dot"/>
            </w:tabs>
            <w:spacing w:line="240" w:lineRule="auto" w:before="96" w:after="0"/>
            <w:ind w:left="1997" w:right="0" w:hanging="661"/>
            <w:jc w:val="left"/>
          </w:pPr>
          <w:hyperlink w:history="true" w:anchor="_bookmark18">
            <w:r>
              <w:rPr/>
              <w:t>Contact</w:t>
            </w:r>
            <w:r>
              <w:rPr>
                <w:spacing w:val="-3"/>
              </w:rPr>
              <w:t> </w:t>
            </w:r>
            <w:r>
              <w:rPr/>
              <w:t>with</w:t>
            </w:r>
            <w:r>
              <w:rPr>
                <w:spacing w:val="-2"/>
              </w:rPr>
              <w:t> </w:t>
            </w:r>
            <w:r>
              <w:rPr/>
              <w:t>the</w:t>
            </w:r>
            <w:r>
              <w:rPr>
                <w:spacing w:val="-3"/>
              </w:rPr>
              <w:t> </w:t>
            </w:r>
            <w:r>
              <w:rPr>
                <w:spacing w:val="-2"/>
              </w:rPr>
              <w:t>conciliator</w:t>
            </w:r>
            <w:r>
              <w:rPr/>
              <w:tab/>
            </w:r>
            <w:r>
              <w:rPr>
                <w:spacing w:val="-5"/>
              </w:rPr>
              <w:t>45</w:t>
            </w:r>
          </w:hyperlink>
        </w:p>
        <w:p>
          <w:pPr>
            <w:pStyle w:val="TOC2"/>
            <w:numPr>
              <w:ilvl w:val="1"/>
              <w:numId w:val="1"/>
            </w:numPr>
            <w:tabs>
              <w:tab w:pos="1997" w:val="left" w:leader="none"/>
              <w:tab w:pos="1998" w:val="left" w:leader="none"/>
              <w:tab w:pos="9385" w:val="left" w:leader="dot"/>
            </w:tabs>
            <w:spacing w:line="240" w:lineRule="auto" w:before="17" w:after="0"/>
            <w:ind w:left="1997" w:right="0" w:hanging="661"/>
            <w:jc w:val="left"/>
          </w:pPr>
          <w:hyperlink w:history="true" w:anchor="_bookmark19">
            <w:r>
              <w:rPr/>
              <w:t>Perceptions</w:t>
            </w:r>
            <w:r>
              <w:rPr>
                <w:spacing w:val="-3"/>
              </w:rPr>
              <w:t> </w:t>
            </w:r>
            <w:r>
              <w:rPr/>
              <w:t>of</w:t>
            </w:r>
            <w:r>
              <w:rPr>
                <w:spacing w:val="-3"/>
              </w:rPr>
              <w:t> </w:t>
            </w:r>
            <w:r>
              <w:rPr/>
              <w:t>the</w:t>
            </w:r>
            <w:r>
              <w:rPr>
                <w:spacing w:val="-3"/>
              </w:rPr>
              <w:t> </w:t>
            </w:r>
            <w:r>
              <w:rPr>
                <w:spacing w:val="-2"/>
              </w:rPr>
              <w:t>conciliator</w:t>
            </w:r>
            <w:r>
              <w:rPr/>
              <w:tab/>
            </w:r>
            <w:r>
              <w:rPr>
                <w:spacing w:val="-5"/>
              </w:rPr>
              <w:t>48</w:t>
            </w:r>
          </w:hyperlink>
        </w:p>
        <w:p>
          <w:pPr>
            <w:pStyle w:val="TOC2"/>
            <w:numPr>
              <w:ilvl w:val="1"/>
              <w:numId w:val="1"/>
            </w:numPr>
            <w:tabs>
              <w:tab w:pos="1997" w:val="left" w:leader="none"/>
              <w:tab w:pos="1998" w:val="left" w:leader="none"/>
              <w:tab w:pos="9384" w:val="left" w:leader="dot"/>
            </w:tabs>
            <w:spacing w:line="240" w:lineRule="auto" w:before="18" w:after="0"/>
            <w:ind w:left="1997" w:right="0" w:hanging="661"/>
            <w:jc w:val="left"/>
          </w:pPr>
          <w:hyperlink w:history="true" w:anchor="_bookmark20">
            <w:r>
              <w:rPr/>
              <w:t>Time</w:t>
            </w:r>
            <w:r>
              <w:rPr>
                <w:spacing w:val="-3"/>
              </w:rPr>
              <w:t> </w:t>
            </w:r>
            <w:r>
              <w:rPr/>
              <w:t>spent</w:t>
            </w:r>
            <w:r>
              <w:rPr>
                <w:spacing w:val="-2"/>
              </w:rPr>
              <w:t> </w:t>
            </w:r>
            <w:r>
              <w:rPr/>
              <w:t>on</w:t>
            </w:r>
            <w:r>
              <w:rPr>
                <w:spacing w:val="-2"/>
              </w:rPr>
              <w:t> </w:t>
            </w:r>
            <w:r>
              <w:rPr/>
              <w:t>the</w:t>
            </w:r>
            <w:r>
              <w:rPr>
                <w:spacing w:val="-2"/>
              </w:rPr>
              <w:t> </w:t>
            </w:r>
            <w:r>
              <w:rPr/>
              <w:t>case</w:t>
            </w:r>
            <w:r>
              <w:rPr>
                <w:spacing w:val="-4"/>
              </w:rPr>
              <w:t> </w:t>
            </w:r>
            <w:r>
              <w:rPr/>
              <w:t>/</w:t>
            </w:r>
            <w:r>
              <w:rPr>
                <w:spacing w:val="-2"/>
              </w:rPr>
              <w:t> </w:t>
            </w:r>
            <w:r>
              <w:rPr/>
              <w:t>workplace</w:t>
            </w:r>
            <w:r>
              <w:rPr>
                <w:spacing w:val="-2"/>
              </w:rPr>
              <w:t> problem</w:t>
            </w:r>
            <w:r>
              <w:rPr/>
              <w:tab/>
            </w:r>
            <w:r>
              <w:rPr>
                <w:spacing w:val="-5"/>
              </w:rPr>
              <w:t>53</w:t>
            </w:r>
          </w:hyperlink>
        </w:p>
        <w:p>
          <w:pPr>
            <w:pStyle w:val="TOC2"/>
            <w:numPr>
              <w:ilvl w:val="1"/>
              <w:numId w:val="1"/>
            </w:numPr>
            <w:tabs>
              <w:tab w:pos="1997" w:val="left" w:leader="none"/>
              <w:tab w:pos="1998" w:val="left" w:leader="none"/>
              <w:tab w:pos="9385" w:val="left" w:leader="dot"/>
            </w:tabs>
            <w:spacing w:line="240" w:lineRule="auto" w:before="16" w:after="0"/>
            <w:ind w:left="1997" w:right="0" w:hanging="661"/>
            <w:jc w:val="left"/>
          </w:pPr>
          <w:hyperlink w:history="true" w:anchor="_bookmark21">
            <w:r>
              <w:rPr/>
              <w:t>Receipt</w:t>
            </w:r>
            <w:r>
              <w:rPr>
                <w:spacing w:val="-2"/>
              </w:rPr>
              <w:t> </w:t>
            </w:r>
            <w:r>
              <w:rPr/>
              <w:t>of</w:t>
            </w:r>
            <w:r>
              <w:rPr>
                <w:spacing w:val="-2"/>
              </w:rPr>
              <w:t> </w:t>
            </w:r>
            <w:r>
              <w:rPr/>
              <w:t>EC</w:t>
            </w:r>
            <w:r>
              <w:rPr>
                <w:spacing w:val="-2"/>
              </w:rPr>
              <w:t> certificate</w:t>
            </w:r>
            <w:r>
              <w:rPr/>
              <w:tab/>
            </w:r>
            <w:r>
              <w:rPr>
                <w:spacing w:val="-5"/>
              </w:rPr>
              <w:t>54</w:t>
            </w:r>
          </w:hyperlink>
        </w:p>
        <w:p>
          <w:pPr>
            <w:pStyle w:val="TOC1"/>
            <w:numPr>
              <w:ilvl w:val="0"/>
              <w:numId w:val="1"/>
            </w:numPr>
            <w:tabs>
              <w:tab w:pos="1779" w:val="left" w:leader="none"/>
              <w:tab w:pos="9325" w:val="left" w:leader="dot"/>
            </w:tabs>
            <w:spacing w:line="240" w:lineRule="auto" w:before="200" w:after="0"/>
            <w:ind w:left="1337" w:right="1486" w:hanging="1"/>
            <w:jc w:val="left"/>
          </w:pPr>
          <w:hyperlink w:history="true" w:anchor="_bookmark22">
            <w:r>
              <w:rPr/>
              <w:t>SATISFACTION WITH EARLY CONCILIATION AND DRIVERS OF</w:t>
            </w:r>
          </w:hyperlink>
          <w:r>
            <w:rPr/>
            <w:t> </w:t>
          </w:r>
          <w:hyperlink w:history="true" w:anchor="_bookmark22">
            <w:r>
              <w:rPr>
                <w:spacing w:val="-2"/>
              </w:rPr>
              <w:t>OUT</w:t>
            </w:r>
          </w:hyperlink>
          <w:hyperlink w:history="true" w:anchor="_bookmark22">
            <w:r>
              <w:rPr>
                <w:spacing w:val="-2"/>
              </w:rPr>
              <w:t>COME</w:t>
            </w:r>
            <w:r>
              <w:rPr/>
              <w:tab/>
            </w:r>
            <w:r>
              <w:rPr>
                <w:spacing w:val="-5"/>
              </w:rPr>
              <w:t>5</w:t>
            </w:r>
            <w:r>
              <w:rPr>
                <w:spacing w:val="-5"/>
              </w:rPr>
              <w:t>5</w:t>
            </w:r>
          </w:hyperlink>
        </w:p>
        <w:p>
          <w:pPr>
            <w:pStyle w:val="TOC2"/>
            <w:numPr>
              <w:ilvl w:val="1"/>
              <w:numId w:val="1"/>
            </w:numPr>
            <w:tabs>
              <w:tab w:pos="1997" w:val="left" w:leader="none"/>
              <w:tab w:pos="1998" w:val="left" w:leader="none"/>
              <w:tab w:pos="9385" w:val="left" w:leader="dot"/>
            </w:tabs>
            <w:spacing w:line="240" w:lineRule="auto" w:before="97" w:after="0"/>
            <w:ind w:left="1997" w:right="0" w:hanging="661"/>
            <w:jc w:val="left"/>
          </w:pPr>
          <w:hyperlink w:history="true" w:anchor="_bookmark23">
            <w:r>
              <w:rPr/>
              <w:t>EC</w:t>
            </w:r>
            <w:r>
              <w:rPr>
                <w:spacing w:val="-3"/>
              </w:rPr>
              <w:t> </w:t>
            </w:r>
            <w:r>
              <w:rPr>
                <w:spacing w:val="-2"/>
              </w:rPr>
              <w:t>outcomes</w:t>
            </w:r>
            <w:r>
              <w:rPr/>
              <w:tab/>
            </w:r>
            <w:r>
              <w:rPr>
                <w:spacing w:val="-5"/>
              </w:rPr>
              <w:t>55</w:t>
            </w:r>
          </w:hyperlink>
        </w:p>
        <w:p>
          <w:pPr>
            <w:pStyle w:val="TOC2"/>
            <w:numPr>
              <w:ilvl w:val="1"/>
              <w:numId w:val="1"/>
            </w:numPr>
            <w:tabs>
              <w:tab w:pos="1997" w:val="left" w:leader="none"/>
              <w:tab w:pos="1998" w:val="left" w:leader="none"/>
              <w:tab w:pos="9384" w:val="left" w:leader="dot"/>
            </w:tabs>
            <w:spacing w:line="240" w:lineRule="auto" w:before="18" w:after="0"/>
            <w:ind w:left="1997" w:right="0" w:hanging="661"/>
            <w:jc w:val="left"/>
          </w:pPr>
          <w:hyperlink w:history="true" w:anchor="_TOC_250007">
            <w:r>
              <w:rPr/>
              <w:t>Drivers</w:t>
            </w:r>
            <w:r>
              <w:rPr>
                <w:spacing w:val="-3"/>
              </w:rPr>
              <w:t> </w:t>
            </w:r>
            <w:r>
              <w:rPr/>
              <w:t>of</w:t>
            </w:r>
            <w:r>
              <w:rPr>
                <w:spacing w:val="-3"/>
              </w:rPr>
              <w:t> </w:t>
            </w:r>
            <w:r>
              <w:rPr/>
              <w:t>successful</w:t>
            </w:r>
            <w:r>
              <w:rPr>
                <w:spacing w:val="-4"/>
              </w:rPr>
              <w:t> </w:t>
            </w:r>
            <w:r>
              <w:rPr/>
              <w:t>case</w:t>
            </w:r>
            <w:r>
              <w:rPr>
                <w:spacing w:val="-3"/>
              </w:rPr>
              <w:t> </w:t>
            </w:r>
            <w:r>
              <w:rPr>
                <w:spacing w:val="-2"/>
              </w:rPr>
              <w:t>outcome</w:t>
            </w:r>
            <w:r>
              <w:rPr/>
              <w:tab/>
            </w:r>
            <w:r>
              <w:rPr>
                <w:spacing w:val="-5"/>
              </w:rPr>
              <w:t>56</w:t>
            </w:r>
          </w:hyperlink>
        </w:p>
        <w:p>
          <w:pPr>
            <w:pStyle w:val="TOC2"/>
            <w:numPr>
              <w:ilvl w:val="1"/>
              <w:numId w:val="1"/>
            </w:numPr>
            <w:tabs>
              <w:tab w:pos="1997" w:val="left" w:leader="none"/>
              <w:tab w:pos="1998" w:val="left" w:leader="none"/>
              <w:tab w:pos="9385" w:val="left" w:leader="dot"/>
            </w:tabs>
            <w:spacing w:line="240" w:lineRule="auto" w:before="16" w:after="0"/>
            <w:ind w:left="1997" w:right="0" w:hanging="661"/>
            <w:jc w:val="left"/>
          </w:pPr>
          <w:hyperlink w:history="true" w:anchor="_bookmark24">
            <w:r>
              <w:rPr/>
              <w:t>Settlement</w:t>
            </w:r>
            <w:r>
              <w:rPr>
                <w:spacing w:val="-6"/>
              </w:rPr>
              <w:t> </w:t>
            </w:r>
            <w:r>
              <w:rPr>
                <w:spacing w:val="-2"/>
              </w:rPr>
              <w:t>details</w:t>
            </w:r>
            <w:r>
              <w:rPr/>
              <w:tab/>
            </w:r>
            <w:r>
              <w:rPr>
                <w:spacing w:val="-5"/>
              </w:rPr>
              <w:t>59</w:t>
            </w:r>
          </w:hyperlink>
        </w:p>
        <w:p>
          <w:pPr>
            <w:pStyle w:val="TOC2"/>
            <w:numPr>
              <w:ilvl w:val="1"/>
              <w:numId w:val="1"/>
            </w:numPr>
            <w:tabs>
              <w:tab w:pos="1997" w:val="left" w:leader="none"/>
              <w:tab w:pos="1998" w:val="left" w:leader="none"/>
              <w:tab w:pos="9384" w:val="left" w:leader="dot"/>
            </w:tabs>
            <w:spacing w:line="240" w:lineRule="auto" w:before="17" w:after="0"/>
            <w:ind w:left="1997" w:right="0" w:hanging="661"/>
            <w:jc w:val="left"/>
          </w:pPr>
          <w:hyperlink w:history="true" w:anchor="_bookmark25">
            <w:r>
              <w:rPr/>
              <w:t>Reasons</w:t>
            </w:r>
            <w:r>
              <w:rPr>
                <w:spacing w:val="-3"/>
              </w:rPr>
              <w:t> </w:t>
            </w:r>
            <w:r>
              <w:rPr/>
              <w:t>for</w:t>
            </w:r>
            <w:r>
              <w:rPr>
                <w:spacing w:val="-4"/>
              </w:rPr>
              <w:t> </w:t>
            </w:r>
            <w:r>
              <w:rPr/>
              <w:t>not</w:t>
            </w:r>
            <w:r>
              <w:rPr>
                <w:spacing w:val="-3"/>
              </w:rPr>
              <w:t> </w:t>
            </w:r>
            <w:r>
              <w:rPr/>
              <w:t>reaching</w:t>
            </w:r>
            <w:r>
              <w:rPr>
                <w:spacing w:val="-2"/>
              </w:rPr>
              <w:t> </w:t>
            </w:r>
            <w:r>
              <w:rPr/>
              <w:t>a</w:t>
            </w:r>
            <w:r>
              <w:rPr>
                <w:spacing w:val="-2"/>
              </w:rPr>
              <w:t> settlement</w:t>
            </w:r>
            <w:r>
              <w:rPr/>
              <w:tab/>
            </w:r>
            <w:r>
              <w:rPr>
                <w:spacing w:val="-5"/>
              </w:rPr>
              <w:t>60</w:t>
            </w:r>
          </w:hyperlink>
        </w:p>
        <w:p>
          <w:pPr>
            <w:pStyle w:val="TOC2"/>
            <w:numPr>
              <w:ilvl w:val="1"/>
              <w:numId w:val="1"/>
            </w:numPr>
            <w:tabs>
              <w:tab w:pos="1997" w:val="left" w:leader="none"/>
              <w:tab w:pos="1998" w:val="left" w:leader="none"/>
              <w:tab w:pos="9384" w:val="left" w:leader="dot"/>
            </w:tabs>
            <w:spacing w:line="240" w:lineRule="auto" w:before="17" w:after="0"/>
            <w:ind w:left="1997" w:right="0" w:hanging="661"/>
            <w:jc w:val="left"/>
          </w:pPr>
          <w:hyperlink w:history="true" w:anchor="_bookmark26">
            <w:r>
              <w:rPr/>
              <w:t>Importance</w:t>
            </w:r>
            <w:r>
              <w:rPr>
                <w:spacing w:val="-4"/>
              </w:rPr>
              <w:t> </w:t>
            </w:r>
            <w:r>
              <w:rPr/>
              <w:t>of</w:t>
            </w:r>
            <w:r>
              <w:rPr>
                <w:spacing w:val="-2"/>
              </w:rPr>
              <w:t> </w:t>
            </w:r>
            <w:r>
              <w:rPr/>
              <w:t>Acas</w:t>
            </w:r>
            <w:r>
              <w:rPr>
                <w:spacing w:val="-4"/>
              </w:rPr>
              <w:t> </w:t>
            </w:r>
            <w:r>
              <w:rPr/>
              <w:t>in</w:t>
            </w:r>
            <w:r>
              <w:rPr>
                <w:spacing w:val="-2"/>
              </w:rPr>
              <w:t> </w:t>
            </w:r>
            <w:r>
              <w:rPr/>
              <w:t>resolving</w:t>
            </w:r>
            <w:r>
              <w:rPr>
                <w:spacing w:val="-3"/>
              </w:rPr>
              <w:t> </w:t>
            </w:r>
            <w:r>
              <w:rPr/>
              <w:t>the</w:t>
            </w:r>
            <w:r>
              <w:rPr>
                <w:spacing w:val="-3"/>
              </w:rPr>
              <w:t> </w:t>
            </w:r>
            <w:r>
              <w:rPr>
                <w:spacing w:val="-2"/>
              </w:rPr>
              <w:t>dispute</w:t>
            </w:r>
            <w:r>
              <w:rPr/>
              <w:tab/>
            </w:r>
            <w:r>
              <w:rPr>
                <w:spacing w:val="-5"/>
              </w:rPr>
              <w:t>60</w:t>
            </w:r>
          </w:hyperlink>
        </w:p>
        <w:p>
          <w:pPr>
            <w:pStyle w:val="TOC2"/>
            <w:numPr>
              <w:ilvl w:val="1"/>
              <w:numId w:val="1"/>
            </w:numPr>
            <w:tabs>
              <w:tab w:pos="1997" w:val="left" w:leader="none"/>
              <w:tab w:pos="1998" w:val="left" w:leader="none"/>
              <w:tab w:pos="9384" w:val="left" w:leader="dot"/>
            </w:tabs>
            <w:spacing w:line="240" w:lineRule="auto" w:before="17" w:after="0"/>
            <w:ind w:left="1997" w:right="0" w:hanging="661"/>
            <w:jc w:val="left"/>
          </w:pPr>
          <w:hyperlink w:history="true" w:anchor="_bookmark27">
            <w:r>
              <w:rPr/>
              <w:t>Satisfaction</w:t>
            </w:r>
            <w:r>
              <w:rPr>
                <w:spacing w:val="-3"/>
              </w:rPr>
              <w:t> </w:t>
            </w:r>
            <w:r>
              <w:rPr/>
              <w:t>with</w:t>
            </w:r>
            <w:r>
              <w:rPr>
                <w:spacing w:val="-3"/>
              </w:rPr>
              <w:t> </w:t>
            </w:r>
            <w:r>
              <w:rPr/>
              <w:t>the</w:t>
            </w:r>
            <w:r>
              <w:rPr>
                <w:spacing w:val="-5"/>
              </w:rPr>
              <w:t> </w:t>
            </w:r>
            <w:r>
              <w:rPr/>
              <w:t>outcome</w:t>
            </w:r>
            <w:r>
              <w:rPr>
                <w:spacing w:val="-3"/>
              </w:rPr>
              <w:t> </w:t>
            </w:r>
            <w:r>
              <w:rPr/>
              <w:t>of</w:t>
            </w:r>
            <w:r>
              <w:rPr>
                <w:spacing w:val="-3"/>
              </w:rPr>
              <w:t> </w:t>
            </w:r>
            <w:r>
              <w:rPr>
                <w:spacing w:val="-5"/>
              </w:rPr>
              <w:t>EC</w:t>
            </w:r>
            <w:r>
              <w:rPr/>
              <w:tab/>
            </w:r>
            <w:r>
              <w:rPr>
                <w:spacing w:val="-5"/>
              </w:rPr>
              <w:t>62</w:t>
            </w:r>
          </w:hyperlink>
        </w:p>
        <w:p>
          <w:pPr>
            <w:pStyle w:val="TOC2"/>
            <w:numPr>
              <w:ilvl w:val="1"/>
              <w:numId w:val="1"/>
            </w:numPr>
            <w:tabs>
              <w:tab w:pos="1997" w:val="left" w:leader="none"/>
              <w:tab w:pos="1998" w:val="left" w:leader="none"/>
              <w:tab w:pos="9385" w:val="left" w:leader="dot"/>
            </w:tabs>
            <w:spacing w:line="240" w:lineRule="auto" w:before="17" w:after="0"/>
            <w:ind w:left="1997" w:right="0" w:hanging="661"/>
            <w:jc w:val="left"/>
          </w:pPr>
          <w:hyperlink w:history="true" w:anchor="_bookmark28">
            <w:r>
              <w:rPr/>
              <w:t>Satisfaction</w:t>
            </w:r>
            <w:r>
              <w:rPr>
                <w:spacing w:val="-3"/>
              </w:rPr>
              <w:t> </w:t>
            </w:r>
            <w:r>
              <w:rPr/>
              <w:t>with</w:t>
            </w:r>
            <w:r>
              <w:rPr>
                <w:spacing w:val="-4"/>
              </w:rPr>
              <w:t> </w:t>
            </w:r>
            <w:r>
              <w:rPr/>
              <w:t>the</w:t>
            </w:r>
            <w:r>
              <w:rPr>
                <w:spacing w:val="-4"/>
              </w:rPr>
              <w:t> </w:t>
            </w:r>
            <w:r>
              <w:rPr/>
              <w:t>service</w:t>
            </w:r>
            <w:r>
              <w:rPr>
                <w:spacing w:val="-4"/>
              </w:rPr>
              <w:t> </w:t>
            </w:r>
            <w:r>
              <w:rPr/>
              <w:t>received</w:t>
            </w:r>
            <w:r>
              <w:rPr>
                <w:spacing w:val="-3"/>
              </w:rPr>
              <w:t> </w:t>
            </w:r>
            <w:r>
              <w:rPr/>
              <w:t>from</w:t>
            </w:r>
            <w:r>
              <w:rPr>
                <w:spacing w:val="-3"/>
              </w:rPr>
              <w:t> </w:t>
            </w:r>
            <w:r>
              <w:rPr>
                <w:spacing w:val="-4"/>
              </w:rPr>
              <w:t>Acas</w:t>
            </w:r>
            <w:r>
              <w:rPr/>
              <w:tab/>
            </w:r>
            <w:r>
              <w:rPr>
                <w:spacing w:val="-5"/>
              </w:rPr>
              <w:t>63</w:t>
            </w:r>
          </w:hyperlink>
        </w:p>
        <w:p>
          <w:pPr>
            <w:pStyle w:val="TOC2"/>
            <w:numPr>
              <w:ilvl w:val="1"/>
              <w:numId w:val="1"/>
            </w:numPr>
            <w:tabs>
              <w:tab w:pos="1997" w:val="left" w:leader="none"/>
              <w:tab w:pos="1998" w:val="left" w:leader="none"/>
              <w:tab w:pos="9385" w:val="left" w:leader="dot"/>
            </w:tabs>
            <w:spacing w:line="240" w:lineRule="auto" w:before="17" w:after="0"/>
            <w:ind w:left="1997" w:right="0" w:hanging="661"/>
            <w:jc w:val="left"/>
          </w:pPr>
          <w:hyperlink w:history="true" w:anchor="_TOC_250006">
            <w:r>
              <w:rPr/>
              <w:t>Perceived</w:t>
            </w:r>
            <w:r>
              <w:rPr>
                <w:spacing w:val="-4"/>
              </w:rPr>
              <w:t> </w:t>
            </w:r>
            <w:r>
              <w:rPr/>
              <w:t>benefits</w:t>
            </w:r>
            <w:r>
              <w:rPr>
                <w:spacing w:val="-4"/>
              </w:rPr>
              <w:t> </w:t>
            </w:r>
            <w:r>
              <w:rPr/>
              <w:t>of</w:t>
            </w:r>
            <w:r>
              <w:rPr>
                <w:spacing w:val="-4"/>
              </w:rPr>
              <w:t> </w:t>
            </w:r>
            <w:r>
              <w:rPr>
                <w:spacing w:val="-5"/>
              </w:rPr>
              <w:t>EC</w:t>
            </w:r>
            <w:r>
              <w:rPr/>
              <w:tab/>
            </w:r>
            <w:r>
              <w:rPr>
                <w:spacing w:val="-5"/>
              </w:rPr>
              <w:t>69</w:t>
            </w:r>
          </w:hyperlink>
        </w:p>
        <w:p>
          <w:pPr>
            <w:pStyle w:val="TOC2"/>
            <w:numPr>
              <w:ilvl w:val="1"/>
              <w:numId w:val="1"/>
            </w:numPr>
            <w:tabs>
              <w:tab w:pos="1997" w:val="left" w:leader="none"/>
              <w:tab w:pos="1998" w:val="left" w:leader="none"/>
              <w:tab w:pos="9384" w:val="left" w:leader="dot"/>
            </w:tabs>
            <w:spacing w:line="240" w:lineRule="auto" w:before="16" w:after="0"/>
            <w:ind w:left="1997" w:right="0" w:hanging="661"/>
            <w:jc w:val="left"/>
          </w:pPr>
          <w:hyperlink w:history="true" w:anchor="_bookmark29">
            <w:r>
              <w:rPr/>
              <w:t>Non-financial</w:t>
            </w:r>
            <w:r>
              <w:rPr>
                <w:spacing w:val="-5"/>
              </w:rPr>
              <w:t> </w:t>
            </w:r>
            <w:r>
              <w:rPr/>
              <w:t>benefits</w:t>
            </w:r>
            <w:r>
              <w:rPr>
                <w:spacing w:val="-4"/>
              </w:rPr>
              <w:t> </w:t>
            </w:r>
            <w:r>
              <w:rPr/>
              <w:t>to</w:t>
            </w:r>
            <w:r>
              <w:rPr>
                <w:spacing w:val="-5"/>
              </w:rPr>
              <w:t> </w:t>
            </w:r>
            <w:r>
              <w:rPr/>
              <w:t>the</w:t>
            </w:r>
            <w:r>
              <w:rPr>
                <w:spacing w:val="-4"/>
              </w:rPr>
              <w:t> </w:t>
            </w:r>
            <w:r>
              <w:rPr>
                <w:spacing w:val="-2"/>
              </w:rPr>
              <w:t>employer</w:t>
            </w:r>
            <w:r>
              <w:rPr/>
              <w:tab/>
            </w:r>
            <w:r>
              <w:rPr>
                <w:spacing w:val="-5"/>
              </w:rPr>
              <w:t>70</w:t>
            </w:r>
          </w:hyperlink>
        </w:p>
        <w:p>
          <w:pPr>
            <w:pStyle w:val="TOC2"/>
            <w:numPr>
              <w:ilvl w:val="1"/>
              <w:numId w:val="1"/>
            </w:numPr>
            <w:tabs>
              <w:tab w:pos="2217" w:val="left" w:leader="none"/>
              <w:tab w:pos="2218" w:val="left" w:leader="none"/>
              <w:tab w:pos="9384" w:val="left" w:leader="dot"/>
            </w:tabs>
            <w:spacing w:line="240" w:lineRule="auto" w:before="18" w:after="0"/>
            <w:ind w:left="2217" w:right="0" w:hanging="881"/>
            <w:jc w:val="left"/>
          </w:pPr>
          <w:hyperlink w:history="true" w:anchor="_bookmark30">
            <w:r>
              <w:rPr/>
              <w:t>Future</w:t>
            </w:r>
            <w:r>
              <w:rPr>
                <w:spacing w:val="-4"/>
              </w:rPr>
              <w:t> </w:t>
            </w:r>
            <w:r>
              <w:rPr/>
              <w:t>use</w:t>
            </w:r>
            <w:r>
              <w:rPr>
                <w:spacing w:val="-3"/>
              </w:rPr>
              <w:t> </w:t>
            </w:r>
            <w:r>
              <w:rPr/>
              <w:t>of</w:t>
            </w:r>
            <w:r>
              <w:rPr>
                <w:spacing w:val="-1"/>
              </w:rPr>
              <w:t> </w:t>
            </w:r>
            <w:r>
              <w:rPr>
                <w:spacing w:val="-4"/>
              </w:rPr>
              <w:t>Acas</w:t>
            </w:r>
            <w:r>
              <w:rPr/>
              <w:tab/>
            </w:r>
            <w:r>
              <w:rPr>
                <w:spacing w:val="-5"/>
              </w:rPr>
              <w:t>70</w:t>
            </w:r>
          </w:hyperlink>
        </w:p>
        <w:p>
          <w:pPr>
            <w:pStyle w:val="TOC1"/>
            <w:numPr>
              <w:ilvl w:val="0"/>
              <w:numId w:val="1"/>
            </w:numPr>
            <w:tabs>
              <w:tab w:pos="1779" w:val="left" w:leader="none"/>
              <w:tab w:pos="9326" w:val="left" w:leader="dot"/>
            </w:tabs>
            <w:spacing w:line="240" w:lineRule="auto" w:before="200" w:after="0"/>
            <w:ind w:left="1778" w:right="0" w:hanging="442"/>
            <w:jc w:val="left"/>
          </w:pPr>
          <w:hyperlink w:history="true" w:anchor="_TOC_250005">
            <w:r>
              <w:rPr/>
              <w:t>EMPLOYMENT</w:t>
            </w:r>
            <w:r>
              <w:rPr>
                <w:spacing w:val="-19"/>
              </w:rPr>
              <w:t> </w:t>
            </w:r>
            <w:r>
              <w:rPr/>
              <w:t>TRIBUNAL</w:t>
            </w:r>
            <w:r>
              <w:rPr>
                <w:spacing w:val="-18"/>
              </w:rPr>
              <w:t> </w:t>
            </w:r>
            <w:r>
              <w:rPr/>
              <w:t>CLAIM</w:t>
            </w:r>
            <w:r>
              <w:rPr>
                <w:spacing w:val="-19"/>
              </w:rPr>
              <w:t> </w:t>
            </w:r>
            <w:r>
              <w:rPr/>
              <w:t>DECISION-</w:t>
            </w:r>
            <w:r>
              <w:rPr>
                <w:spacing w:val="-2"/>
              </w:rPr>
              <w:t>MAKING</w:t>
            </w:r>
            <w:r>
              <w:rPr/>
              <w:tab/>
            </w:r>
            <w:r>
              <w:rPr>
                <w:spacing w:val="-5"/>
              </w:rPr>
              <w:t>72</w:t>
            </w:r>
          </w:hyperlink>
        </w:p>
        <w:p>
          <w:pPr>
            <w:pStyle w:val="TOC2"/>
            <w:numPr>
              <w:ilvl w:val="1"/>
              <w:numId w:val="1"/>
            </w:numPr>
            <w:tabs>
              <w:tab w:pos="1997" w:val="left" w:leader="none"/>
              <w:tab w:pos="1998" w:val="left" w:leader="none"/>
            </w:tabs>
            <w:spacing w:line="256" w:lineRule="auto" w:before="97" w:after="0"/>
            <w:ind w:left="1997" w:right="1554" w:hanging="660"/>
            <w:jc w:val="left"/>
          </w:pPr>
          <w:r>
            <w:rPr/>
            <w:t>Submission</w:t>
          </w:r>
          <w:r>
            <w:rPr>
              <w:spacing w:val="-4"/>
            </w:rPr>
            <w:t> </w:t>
          </w:r>
          <w:r>
            <w:rPr/>
            <w:t>(and</w:t>
          </w:r>
          <w:r>
            <w:rPr>
              <w:spacing w:val="-4"/>
            </w:rPr>
            <w:t> </w:t>
          </w:r>
          <w:r>
            <w:rPr/>
            <w:t>intention</w:t>
          </w:r>
          <w:r>
            <w:rPr>
              <w:spacing w:val="-4"/>
            </w:rPr>
            <w:t> </w:t>
          </w:r>
          <w:r>
            <w:rPr/>
            <w:t>of</w:t>
          </w:r>
          <w:r>
            <w:rPr>
              <w:spacing w:val="-5"/>
            </w:rPr>
            <w:t> </w:t>
          </w:r>
          <w:r>
            <w:rPr/>
            <w:t>submission)</w:t>
          </w:r>
          <w:r>
            <w:rPr>
              <w:spacing w:val="-4"/>
            </w:rPr>
            <w:t> </w:t>
          </w:r>
          <w:r>
            <w:rPr/>
            <w:t>of</w:t>
          </w:r>
          <w:r>
            <w:rPr>
              <w:spacing w:val="-4"/>
            </w:rPr>
            <w:t> </w:t>
          </w:r>
          <w:r>
            <w:rPr/>
            <w:t>an</w:t>
          </w:r>
          <w:r>
            <w:rPr>
              <w:spacing w:val="-5"/>
            </w:rPr>
            <w:t> </w:t>
          </w:r>
          <w:r>
            <w:rPr/>
            <w:t>Employment</w:t>
          </w:r>
          <w:r>
            <w:rPr>
              <w:spacing w:val="-5"/>
            </w:rPr>
            <w:t> </w:t>
          </w:r>
          <w:r>
            <w:rPr/>
            <w:t>Tribunal</w:t>
          </w:r>
          <w:r>
            <w:rPr>
              <w:spacing w:val="-6"/>
            </w:rPr>
            <w:t> </w:t>
          </w:r>
          <w:r>
            <w:rPr/>
            <w:t>claim </w:t>
          </w:r>
          <w:r>
            <w:rPr>
              <w:spacing w:val="-6"/>
            </w:rPr>
            <w:t>72</w:t>
          </w:r>
        </w:p>
        <w:p>
          <w:pPr>
            <w:pStyle w:val="TOC2"/>
            <w:numPr>
              <w:ilvl w:val="1"/>
              <w:numId w:val="1"/>
            </w:numPr>
            <w:tabs>
              <w:tab w:pos="1997" w:val="left" w:leader="none"/>
              <w:tab w:pos="1998" w:val="left" w:leader="none"/>
              <w:tab w:pos="9384" w:val="left" w:leader="dot"/>
            </w:tabs>
            <w:spacing w:line="243" w:lineRule="exact" w:before="0" w:after="0"/>
            <w:ind w:left="1997" w:right="0" w:hanging="661"/>
            <w:jc w:val="left"/>
          </w:pPr>
          <w:hyperlink w:history="true" w:anchor="_bookmark31">
            <w:r>
              <w:rPr/>
              <w:t>Decision-making</w:t>
            </w:r>
            <w:r>
              <w:rPr>
                <w:spacing w:val="-8"/>
              </w:rPr>
              <w:t> </w:t>
            </w:r>
            <w:r>
              <w:rPr/>
              <w:t>around</w:t>
            </w:r>
            <w:r>
              <w:rPr>
                <w:spacing w:val="-5"/>
              </w:rPr>
              <w:t> </w:t>
            </w:r>
            <w:r>
              <w:rPr/>
              <w:t>the</w:t>
            </w:r>
            <w:r>
              <w:rPr>
                <w:spacing w:val="-7"/>
              </w:rPr>
              <w:t> </w:t>
            </w:r>
            <w:r>
              <w:rPr/>
              <w:t>submission</w:t>
            </w:r>
            <w:r>
              <w:rPr>
                <w:spacing w:val="-5"/>
              </w:rPr>
              <w:t> </w:t>
            </w:r>
            <w:r>
              <w:rPr/>
              <w:t>of</w:t>
            </w:r>
            <w:r>
              <w:rPr>
                <w:spacing w:val="-6"/>
              </w:rPr>
              <w:t> </w:t>
            </w:r>
            <w:r>
              <w:rPr/>
              <w:t>Employment</w:t>
            </w:r>
            <w:r>
              <w:rPr>
                <w:spacing w:val="-5"/>
              </w:rPr>
              <w:t> </w:t>
            </w:r>
            <w:r>
              <w:rPr/>
              <w:t>Tribunal</w:t>
            </w:r>
            <w:r>
              <w:rPr>
                <w:spacing w:val="-6"/>
              </w:rPr>
              <w:t> </w:t>
            </w:r>
            <w:r>
              <w:rPr>
                <w:spacing w:val="-2"/>
              </w:rPr>
              <w:t>claims</w:t>
            </w:r>
            <w:r>
              <w:rPr/>
              <w:tab/>
            </w:r>
            <w:r>
              <w:rPr>
                <w:spacing w:val="-5"/>
              </w:rPr>
              <w:t>73</w:t>
            </w:r>
          </w:hyperlink>
        </w:p>
        <w:p>
          <w:pPr>
            <w:pStyle w:val="TOC2"/>
            <w:numPr>
              <w:ilvl w:val="1"/>
              <w:numId w:val="1"/>
            </w:numPr>
            <w:tabs>
              <w:tab w:pos="1998" w:val="left" w:leader="none"/>
              <w:tab w:pos="9385" w:val="left" w:leader="dot"/>
            </w:tabs>
            <w:spacing w:line="256" w:lineRule="auto" w:before="17" w:after="121"/>
            <w:ind w:left="1337" w:right="1484" w:hanging="1"/>
            <w:jc w:val="left"/>
          </w:pPr>
          <w:hyperlink w:history="true" w:anchor="_bookmark32">
            <w:r>
              <w:rPr/>
              <w:t>Decision-making around the non-submission of Employment Tribunal</w:t>
            </w:r>
          </w:hyperlink>
          <w:r>
            <w:rPr>
              <w:spacing w:val="70"/>
            </w:rPr>
            <w:t> </w:t>
          </w:r>
          <w:hyperlink w:history="true" w:anchor="_bookmark32">
            <w:r>
              <w:rPr>
                <w:spacing w:val="-2"/>
              </w:rPr>
              <w:t>c</w:t>
            </w:r>
          </w:hyperlink>
          <w:hyperlink w:history="true" w:anchor="_bookmark32">
            <w:r>
              <w:rPr>
                <w:spacing w:val="-2"/>
              </w:rPr>
              <w:t>laims</w:t>
            </w:r>
            <w:r>
              <w:rPr/>
              <w:tab/>
              <w:tab/>
            </w:r>
            <w:r>
              <w:rPr>
                <w:spacing w:val="-5"/>
              </w:rPr>
              <w:t>7</w:t>
            </w:r>
            <w:r>
              <w:rPr>
                <w:spacing w:val="-5"/>
              </w:rPr>
              <w:t>4</w:t>
            </w:r>
          </w:hyperlink>
        </w:p>
        <w:p>
          <w:pPr>
            <w:pStyle w:val="TOC2"/>
            <w:numPr>
              <w:ilvl w:val="1"/>
              <w:numId w:val="1"/>
            </w:numPr>
            <w:tabs>
              <w:tab w:pos="1997" w:val="left" w:leader="none"/>
              <w:tab w:pos="1998" w:val="left" w:leader="none"/>
              <w:tab w:pos="9384" w:val="left" w:leader="dot"/>
            </w:tabs>
            <w:spacing w:line="240" w:lineRule="auto" w:before="79" w:after="0"/>
            <w:ind w:left="1997" w:right="0" w:hanging="661"/>
            <w:jc w:val="left"/>
          </w:pPr>
          <w:hyperlink w:history="true" w:anchor="_bookmark33">
            <w:r>
              <w:rPr/>
              <w:t>Likely</w:t>
            </w:r>
            <w:r>
              <w:rPr>
                <w:spacing w:val="-4"/>
              </w:rPr>
              <w:t> </w:t>
            </w:r>
            <w:r>
              <w:rPr/>
              <w:t>action</w:t>
            </w:r>
            <w:r>
              <w:rPr>
                <w:spacing w:val="-3"/>
              </w:rPr>
              <w:t> </w:t>
            </w:r>
            <w:r>
              <w:rPr/>
              <w:t>in</w:t>
            </w:r>
            <w:r>
              <w:rPr>
                <w:spacing w:val="-4"/>
              </w:rPr>
              <w:t> </w:t>
            </w:r>
            <w:r>
              <w:rPr/>
              <w:t>absence</w:t>
            </w:r>
            <w:r>
              <w:rPr>
                <w:spacing w:val="-4"/>
              </w:rPr>
              <w:t> </w:t>
            </w:r>
            <w:r>
              <w:rPr/>
              <w:t>of</w:t>
            </w:r>
            <w:r>
              <w:rPr>
                <w:spacing w:val="-3"/>
              </w:rPr>
              <w:t> </w:t>
            </w:r>
            <w:r>
              <w:rPr>
                <w:spacing w:val="-5"/>
              </w:rPr>
              <w:t>EC</w:t>
            </w:r>
            <w:r>
              <w:rPr/>
              <w:tab/>
            </w:r>
            <w:r>
              <w:rPr>
                <w:spacing w:val="-5"/>
              </w:rPr>
              <w:t>75</w:t>
            </w:r>
          </w:hyperlink>
        </w:p>
        <w:p>
          <w:pPr>
            <w:pStyle w:val="TOC2"/>
            <w:numPr>
              <w:ilvl w:val="1"/>
              <w:numId w:val="1"/>
            </w:numPr>
            <w:tabs>
              <w:tab w:pos="1997" w:val="left" w:leader="none"/>
              <w:tab w:pos="1998" w:val="left" w:leader="none"/>
              <w:tab w:pos="9384" w:val="left" w:leader="dot"/>
            </w:tabs>
            <w:spacing w:line="240" w:lineRule="auto" w:before="16" w:after="0"/>
            <w:ind w:left="1997" w:right="0" w:hanging="661"/>
            <w:jc w:val="left"/>
          </w:pPr>
          <w:hyperlink w:history="true" w:anchor="_bookmark34">
            <w:r>
              <w:rPr/>
              <w:t>Feelings</w:t>
            </w:r>
            <w:r>
              <w:rPr>
                <w:spacing w:val="-5"/>
              </w:rPr>
              <w:t> </w:t>
            </w:r>
            <w:r>
              <w:rPr/>
              <w:t>around</w:t>
            </w:r>
            <w:r>
              <w:rPr>
                <w:spacing w:val="-3"/>
              </w:rPr>
              <w:t> </w:t>
            </w:r>
            <w:r>
              <w:rPr/>
              <w:t>the</w:t>
            </w:r>
            <w:r>
              <w:rPr>
                <w:spacing w:val="-3"/>
              </w:rPr>
              <w:t> </w:t>
            </w:r>
            <w:r>
              <w:rPr/>
              <w:t>decision</w:t>
            </w:r>
            <w:r>
              <w:rPr>
                <w:spacing w:val="-3"/>
              </w:rPr>
              <w:t> </w:t>
            </w:r>
            <w:r>
              <w:rPr/>
              <w:t>not</w:t>
            </w:r>
            <w:r>
              <w:rPr>
                <w:spacing w:val="-2"/>
              </w:rPr>
              <w:t> </w:t>
            </w:r>
            <w:r>
              <w:rPr/>
              <w:t>to</w:t>
            </w:r>
            <w:r>
              <w:rPr>
                <w:spacing w:val="-4"/>
              </w:rPr>
              <w:t> </w:t>
            </w:r>
            <w:r>
              <w:rPr/>
              <w:t>take</w:t>
            </w:r>
            <w:r>
              <w:rPr>
                <w:spacing w:val="-4"/>
              </w:rPr>
              <w:t> </w:t>
            </w:r>
            <w:r>
              <w:rPr/>
              <w:t>part</w:t>
            </w:r>
            <w:r>
              <w:rPr>
                <w:spacing w:val="-2"/>
              </w:rPr>
              <w:t> </w:t>
            </w:r>
            <w:r>
              <w:rPr/>
              <w:t>in</w:t>
            </w:r>
            <w:r>
              <w:rPr>
                <w:spacing w:val="-3"/>
              </w:rPr>
              <w:t> </w:t>
            </w:r>
            <w:r>
              <w:rPr>
                <w:spacing w:val="-5"/>
              </w:rPr>
              <w:t>EC</w:t>
            </w:r>
            <w:r>
              <w:rPr/>
              <w:tab/>
            </w:r>
            <w:r>
              <w:rPr>
                <w:spacing w:val="-5"/>
              </w:rPr>
              <w:t>76</w:t>
            </w:r>
          </w:hyperlink>
        </w:p>
        <w:p>
          <w:pPr>
            <w:pStyle w:val="TOC1"/>
            <w:numPr>
              <w:ilvl w:val="0"/>
              <w:numId w:val="1"/>
            </w:numPr>
            <w:tabs>
              <w:tab w:pos="1779" w:val="left" w:leader="none"/>
              <w:tab w:pos="9325" w:val="left" w:leader="dot"/>
            </w:tabs>
            <w:spacing w:line="240" w:lineRule="auto" w:before="200" w:after="0"/>
            <w:ind w:left="1337" w:right="1486" w:firstLine="0"/>
            <w:jc w:val="left"/>
          </w:pPr>
          <w:hyperlink w:history="true" w:anchor="_bookmark35">
            <w:r>
              <w:rPr/>
              <w:t>INTRODUCTION TO THE EVALUATION OF CONCILIATION IN</w:t>
            </w:r>
          </w:hyperlink>
          <w:r>
            <w:rPr/>
            <w:t> </w:t>
          </w:r>
          <w:hyperlink w:history="true" w:anchor="_bookmark35">
            <w:r>
              <w:rPr/>
              <w:t>EMPLOYMENT TRIBUNAL APPLICATIONS (‘POST-ET1</w:t>
            </w:r>
          </w:hyperlink>
          <w:r>
            <w:rPr/>
            <w:t> </w:t>
          </w:r>
          <w:hyperlink w:history="true" w:anchor="_bookmark35">
            <w:r>
              <w:rPr>
                <w:spacing w:val="-2"/>
              </w:rPr>
              <w:t>C</w:t>
            </w:r>
          </w:hyperlink>
          <w:hyperlink w:history="true" w:anchor="_bookmark35">
            <w:r>
              <w:rPr>
                <w:spacing w:val="-2"/>
              </w:rPr>
              <w:t>ONCILIATION’)</w:t>
            </w:r>
            <w:r>
              <w:rPr/>
              <w:tab/>
            </w:r>
            <w:r>
              <w:rPr>
                <w:spacing w:val="-6"/>
              </w:rPr>
              <w:t>7</w:t>
            </w:r>
            <w:r>
              <w:rPr>
                <w:spacing w:val="-6"/>
              </w:rPr>
              <w:t>7</w:t>
            </w:r>
          </w:hyperlink>
        </w:p>
        <w:p>
          <w:pPr>
            <w:pStyle w:val="TOC1"/>
            <w:numPr>
              <w:ilvl w:val="0"/>
              <w:numId w:val="1"/>
            </w:numPr>
            <w:tabs>
              <w:tab w:pos="1779" w:val="left" w:leader="none"/>
              <w:tab w:pos="9326" w:val="left" w:leader="dot"/>
            </w:tabs>
            <w:spacing w:line="240" w:lineRule="auto" w:before="200" w:after="0"/>
            <w:ind w:left="1778" w:right="0" w:hanging="442"/>
            <w:jc w:val="left"/>
          </w:pPr>
          <w:hyperlink w:history="true" w:anchor="_TOC_250004">
            <w:r>
              <w:rPr/>
              <w:t>PROFILE</w:t>
            </w:r>
            <w:r>
              <w:rPr>
                <w:spacing w:val="-10"/>
              </w:rPr>
              <w:t> </w:t>
            </w:r>
            <w:r>
              <w:rPr/>
              <w:t>OF</w:t>
            </w:r>
            <w:r>
              <w:rPr>
                <w:spacing w:val="-10"/>
              </w:rPr>
              <w:t> </w:t>
            </w:r>
            <w:r>
              <w:rPr/>
              <w:t>PARTIES</w:t>
            </w:r>
            <w:r>
              <w:rPr>
                <w:spacing w:val="-10"/>
              </w:rPr>
              <w:t> </w:t>
            </w:r>
            <w:r>
              <w:rPr/>
              <w:t>AT</w:t>
            </w:r>
            <w:r>
              <w:rPr>
                <w:spacing w:val="-10"/>
              </w:rPr>
              <w:t> </w:t>
            </w:r>
            <w:r>
              <w:rPr/>
              <w:t>POST-ET1</w:t>
            </w:r>
            <w:r>
              <w:rPr>
                <w:spacing w:val="-10"/>
              </w:rPr>
              <w:t> </w:t>
            </w:r>
            <w:r>
              <w:rPr>
                <w:spacing w:val="-2"/>
              </w:rPr>
              <w:t>CONCILIATION</w:t>
            </w:r>
            <w:r>
              <w:rPr/>
              <w:tab/>
            </w:r>
            <w:r>
              <w:rPr>
                <w:spacing w:val="-5"/>
              </w:rPr>
              <w:t>78</w:t>
            </w:r>
          </w:hyperlink>
        </w:p>
        <w:p>
          <w:pPr>
            <w:pStyle w:val="TOC2"/>
            <w:numPr>
              <w:ilvl w:val="1"/>
              <w:numId w:val="1"/>
            </w:numPr>
            <w:tabs>
              <w:tab w:pos="1997" w:val="left" w:leader="none"/>
              <w:tab w:pos="1998" w:val="left" w:leader="none"/>
              <w:tab w:pos="9385" w:val="left" w:leader="dot"/>
            </w:tabs>
            <w:spacing w:line="240" w:lineRule="auto" w:before="97" w:after="0"/>
            <w:ind w:left="1997" w:right="0" w:hanging="661"/>
            <w:jc w:val="left"/>
          </w:pPr>
          <w:hyperlink w:history="true" w:anchor="_TOC_250003">
            <w:r>
              <w:rPr/>
              <w:t>Profile</w:t>
            </w:r>
            <w:r>
              <w:rPr>
                <w:spacing w:val="-4"/>
              </w:rPr>
              <w:t> </w:t>
            </w:r>
            <w:r>
              <w:rPr/>
              <w:t>of</w:t>
            </w:r>
            <w:r>
              <w:rPr>
                <w:spacing w:val="-2"/>
              </w:rPr>
              <w:t> participants</w:t>
            </w:r>
            <w:r>
              <w:rPr/>
              <w:tab/>
            </w:r>
            <w:r>
              <w:rPr>
                <w:spacing w:val="-5"/>
              </w:rPr>
              <w:t>79</w:t>
            </w:r>
          </w:hyperlink>
        </w:p>
        <w:p>
          <w:pPr>
            <w:pStyle w:val="TOC2"/>
            <w:numPr>
              <w:ilvl w:val="1"/>
              <w:numId w:val="1"/>
            </w:numPr>
            <w:tabs>
              <w:tab w:pos="1997" w:val="left" w:leader="none"/>
              <w:tab w:pos="1998" w:val="left" w:leader="none"/>
              <w:tab w:pos="9384" w:val="left" w:leader="dot"/>
            </w:tabs>
            <w:spacing w:line="240" w:lineRule="auto" w:before="17" w:after="0"/>
            <w:ind w:left="1997" w:right="0" w:hanging="661"/>
            <w:jc w:val="left"/>
          </w:pPr>
          <w:hyperlink w:history="true" w:anchor="_bookmark36">
            <w:r>
              <w:rPr/>
              <w:t>Employer</w:t>
            </w:r>
            <w:r>
              <w:rPr>
                <w:spacing w:val="-5"/>
              </w:rPr>
              <w:t> </w:t>
            </w:r>
            <w:r>
              <w:rPr>
                <w:spacing w:val="-2"/>
              </w:rPr>
              <w:t>characteristics</w:t>
            </w:r>
            <w:r>
              <w:rPr/>
              <w:tab/>
            </w:r>
            <w:r>
              <w:rPr>
                <w:spacing w:val="-5"/>
              </w:rPr>
              <w:t>81</w:t>
            </w:r>
          </w:hyperlink>
        </w:p>
        <w:p>
          <w:pPr>
            <w:pStyle w:val="TOC2"/>
            <w:numPr>
              <w:ilvl w:val="1"/>
              <w:numId w:val="1"/>
            </w:numPr>
            <w:tabs>
              <w:tab w:pos="1997" w:val="left" w:leader="none"/>
              <w:tab w:pos="1998" w:val="left" w:leader="none"/>
              <w:tab w:pos="9385" w:val="left" w:leader="dot"/>
            </w:tabs>
            <w:spacing w:line="240" w:lineRule="auto" w:before="17" w:after="0"/>
            <w:ind w:left="1997" w:right="0" w:hanging="661"/>
            <w:jc w:val="left"/>
          </w:pPr>
          <w:hyperlink w:history="true" w:anchor="_bookmark37">
            <w:r>
              <w:rPr/>
              <w:t>Profile</w:t>
            </w:r>
            <w:r>
              <w:rPr>
                <w:spacing w:val="-4"/>
              </w:rPr>
              <w:t> </w:t>
            </w:r>
            <w:r>
              <w:rPr/>
              <w:t>of</w:t>
            </w:r>
            <w:r>
              <w:rPr>
                <w:spacing w:val="-2"/>
              </w:rPr>
              <w:t> representatives</w:t>
            </w:r>
            <w:r>
              <w:rPr/>
              <w:tab/>
            </w:r>
            <w:r>
              <w:rPr>
                <w:spacing w:val="-5"/>
              </w:rPr>
              <w:t>82</w:t>
            </w:r>
          </w:hyperlink>
        </w:p>
        <w:p>
          <w:pPr>
            <w:pStyle w:val="TOC2"/>
            <w:numPr>
              <w:ilvl w:val="1"/>
              <w:numId w:val="1"/>
            </w:numPr>
            <w:tabs>
              <w:tab w:pos="1997" w:val="left" w:leader="none"/>
              <w:tab w:pos="1998" w:val="left" w:leader="none"/>
              <w:tab w:pos="9384" w:val="left" w:leader="dot"/>
            </w:tabs>
            <w:spacing w:line="240" w:lineRule="auto" w:before="17" w:after="0"/>
            <w:ind w:left="1997" w:right="0" w:hanging="661"/>
            <w:jc w:val="left"/>
          </w:pPr>
          <w:hyperlink w:history="true" w:anchor="_bookmark38">
            <w:r>
              <w:rPr/>
              <w:t>Case</w:t>
            </w:r>
            <w:r>
              <w:rPr>
                <w:spacing w:val="-2"/>
              </w:rPr>
              <w:t> characteristics</w:t>
            </w:r>
            <w:r>
              <w:rPr/>
              <w:tab/>
            </w:r>
            <w:r>
              <w:rPr>
                <w:spacing w:val="-5"/>
              </w:rPr>
              <w:t>85</w:t>
            </w:r>
          </w:hyperlink>
        </w:p>
        <w:p>
          <w:pPr>
            <w:pStyle w:val="TOC2"/>
            <w:numPr>
              <w:ilvl w:val="1"/>
              <w:numId w:val="1"/>
            </w:numPr>
            <w:tabs>
              <w:tab w:pos="1997" w:val="left" w:leader="none"/>
              <w:tab w:pos="1998" w:val="left" w:leader="none"/>
              <w:tab w:pos="9384" w:val="left" w:leader="dot"/>
            </w:tabs>
            <w:spacing w:line="240" w:lineRule="auto" w:before="17" w:after="0"/>
            <w:ind w:left="1997" w:right="0" w:hanging="661"/>
            <w:jc w:val="left"/>
          </w:pPr>
          <w:hyperlink w:history="true" w:anchor="_bookmark39">
            <w:r>
              <w:rPr/>
              <w:t>Comparison</w:t>
            </w:r>
            <w:r>
              <w:rPr>
                <w:spacing w:val="-3"/>
              </w:rPr>
              <w:t> </w:t>
            </w:r>
            <w:r>
              <w:rPr/>
              <w:t>of</w:t>
            </w:r>
            <w:r>
              <w:rPr>
                <w:spacing w:val="-3"/>
              </w:rPr>
              <w:t> </w:t>
            </w:r>
            <w:r>
              <w:rPr/>
              <w:t>profiles</w:t>
            </w:r>
            <w:r>
              <w:rPr>
                <w:spacing w:val="-2"/>
              </w:rPr>
              <w:t> </w:t>
            </w:r>
            <w:r>
              <w:rPr/>
              <w:t>at</w:t>
            </w:r>
            <w:r>
              <w:rPr>
                <w:spacing w:val="-3"/>
              </w:rPr>
              <w:t> </w:t>
            </w:r>
            <w:r>
              <w:rPr/>
              <w:t>ET</w:t>
            </w:r>
            <w:r>
              <w:rPr>
                <w:spacing w:val="-2"/>
              </w:rPr>
              <w:t> </w:t>
            </w:r>
            <w:r>
              <w:rPr/>
              <w:t>stage</w:t>
            </w:r>
            <w:r>
              <w:rPr>
                <w:spacing w:val="-5"/>
              </w:rPr>
              <w:t> </w:t>
            </w:r>
            <w:r>
              <w:rPr/>
              <w:t>and</w:t>
            </w:r>
            <w:r>
              <w:rPr>
                <w:spacing w:val="-3"/>
              </w:rPr>
              <w:t> </w:t>
            </w:r>
            <w:r>
              <w:rPr/>
              <w:t>EC</w:t>
            </w:r>
            <w:r>
              <w:rPr>
                <w:spacing w:val="-3"/>
              </w:rPr>
              <w:t> </w:t>
            </w:r>
            <w:r>
              <w:rPr>
                <w:spacing w:val="-4"/>
              </w:rPr>
              <w:t>stage</w:t>
            </w:r>
            <w:r>
              <w:rPr/>
              <w:tab/>
            </w:r>
            <w:r>
              <w:rPr>
                <w:spacing w:val="-5"/>
              </w:rPr>
              <w:t>86</w:t>
            </w:r>
          </w:hyperlink>
        </w:p>
        <w:p>
          <w:pPr>
            <w:pStyle w:val="TOC1"/>
            <w:numPr>
              <w:ilvl w:val="0"/>
              <w:numId w:val="1"/>
            </w:numPr>
            <w:tabs>
              <w:tab w:pos="1779" w:val="left" w:leader="none"/>
              <w:tab w:pos="9325" w:val="left" w:leader="dot"/>
            </w:tabs>
            <w:spacing w:line="240" w:lineRule="auto" w:before="200" w:after="0"/>
            <w:ind w:left="1778" w:right="0" w:hanging="442"/>
            <w:jc w:val="left"/>
          </w:pPr>
          <w:hyperlink w:history="true" w:anchor="_TOC_250002">
            <w:r>
              <w:rPr/>
              <w:t>ACAS</w:t>
            </w:r>
            <w:r>
              <w:rPr>
                <w:spacing w:val="-12"/>
              </w:rPr>
              <w:t> </w:t>
            </w:r>
            <w:r>
              <w:rPr/>
              <w:t>INVOLVEMENT</w:t>
            </w:r>
            <w:r>
              <w:rPr>
                <w:spacing w:val="-12"/>
              </w:rPr>
              <w:t> </w:t>
            </w:r>
            <w:r>
              <w:rPr/>
              <w:t>FOLLOWING</w:t>
            </w:r>
            <w:r>
              <w:rPr>
                <w:spacing w:val="-13"/>
              </w:rPr>
              <w:t> </w:t>
            </w:r>
            <w:r>
              <w:rPr/>
              <w:t>ET</w:t>
            </w:r>
            <w:r>
              <w:rPr>
                <w:spacing w:val="-12"/>
              </w:rPr>
              <w:t> </w:t>
            </w:r>
            <w:r>
              <w:rPr>
                <w:spacing w:val="-2"/>
              </w:rPr>
              <w:t>APPLICATION</w:t>
            </w:r>
            <w:r>
              <w:rPr/>
              <w:tab/>
            </w:r>
            <w:r>
              <w:rPr>
                <w:spacing w:val="-5"/>
              </w:rPr>
              <w:t>88</w:t>
            </w:r>
          </w:hyperlink>
        </w:p>
        <w:p>
          <w:pPr>
            <w:pStyle w:val="TOC2"/>
            <w:numPr>
              <w:ilvl w:val="1"/>
              <w:numId w:val="1"/>
            </w:numPr>
            <w:tabs>
              <w:tab w:pos="1997" w:val="left" w:leader="none"/>
              <w:tab w:pos="1998" w:val="left" w:leader="none"/>
              <w:tab w:pos="9385" w:val="left" w:leader="dot"/>
            </w:tabs>
            <w:spacing w:line="240" w:lineRule="auto" w:before="97" w:after="0"/>
            <w:ind w:left="1997" w:right="0" w:hanging="661"/>
            <w:jc w:val="left"/>
          </w:pPr>
          <w:hyperlink w:history="true" w:anchor="_TOC_250001">
            <w:r>
              <w:rPr/>
              <w:t>Initial</w:t>
            </w:r>
            <w:r>
              <w:rPr>
                <w:spacing w:val="-5"/>
              </w:rPr>
              <w:t> </w:t>
            </w:r>
            <w:r>
              <w:rPr/>
              <w:t>contact</w:t>
            </w:r>
            <w:r>
              <w:rPr>
                <w:spacing w:val="-4"/>
              </w:rPr>
              <w:t> </w:t>
            </w:r>
            <w:r>
              <w:rPr/>
              <w:t>with</w:t>
            </w:r>
            <w:r>
              <w:rPr>
                <w:spacing w:val="-3"/>
              </w:rPr>
              <w:t> </w:t>
            </w:r>
            <w:r>
              <w:rPr>
                <w:spacing w:val="-4"/>
              </w:rPr>
              <w:t>Acas</w:t>
            </w:r>
            <w:r>
              <w:rPr/>
              <w:tab/>
            </w:r>
            <w:r>
              <w:rPr>
                <w:spacing w:val="-5"/>
              </w:rPr>
              <w:t>88</w:t>
            </w:r>
          </w:hyperlink>
        </w:p>
        <w:p>
          <w:pPr>
            <w:pStyle w:val="TOC2"/>
            <w:numPr>
              <w:ilvl w:val="1"/>
              <w:numId w:val="1"/>
            </w:numPr>
            <w:tabs>
              <w:tab w:pos="1997" w:val="left" w:leader="none"/>
              <w:tab w:pos="1998" w:val="left" w:leader="none"/>
              <w:tab w:pos="9384" w:val="left" w:leader="dot"/>
            </w:tabs>
            <w:spacing w:line="240" w:lineRule="auto" w:before="16" w:after="0"/>
            <w:ind w:left="1997" w:right="0" w:hanging="661"/>
            <w:jc w:val="left"/>
          </w:pPr>
          <w:hyperlink w:history="true" w:anchor="_bookmark40">
            <w:r>
              <w:rPr/>
              <w:t>Uptake</w:t>
            </w:r>
            <w:r>
              <w:rPr>
                <w:spacing w:val="-4"/>
              </w:rPr>
              <w:t> </w:t>
            </w:r>
            <w:r>
              <w:rPr/>
              <w:t>of</w:t>
            </w:r>
            <w:r>
              <w:rPr>
                <w:spacing w:val="-4"/>
              </w:rPr>
              <w:t> </w:t>
            </w:r>
            <w:r>
              <w:rPr/>
              <w:t>post-ET1</w:t>
            </w:r>
            <w:r>
              <w:rPr>
                <w:spacing w:val="-2"/>
              </w:rPr>
              <w:t> conciliation</w:t>
            </w:r>
            <w:r>
              <w:rPr/>
              <w:tab/>
            </w:r>
            <w:r>
              <w:rPr>
                <w:spacing w:val="-5"/>
              </w:rPr>
              <w:t>91</w:t>
            </w:r>
          </w:hyperlink>
        </w:p>
        <w:p>
          <w:pPr>
            <w:pStyle w:val="TOC2"/>
            <w:numPr>
              <w:ilvl w:val="1"/>
              <w:numId w:val="1"/>
            </w:numPr>
            <w:tabs>
              <w:tab w:pos="1997" w:val="left" w:leader="none"/>
              <w:tab w:pos="1998" w:val="left" w:leader="none"/>
              <w:tab w:pos="9384" w:val="left" w:leader="dot"/>
            </w:tabs>
            <w:spacing w:line="240" w:lineRule="auto" w:before="18" w:after="0"/>
            <w:ind w:left="1997" w:right="0" w:hanging="661"/>
            <w:jc w:val="left"/>
          </w:pPr>
          <w:hyperlink w:history="true" w:anchor="_bookmark41">
            <w:r>
              <w:rPr/>
              <w:t>Reasons</w:t>
            </w:r>
            <w:r>
              <w:rPr>
                <w:spacing w:val="-4"/>
              </w:rPr>
              <w:t> </w:t>
            </w:r>
            <w:r>
              <w:rPr/>
              <w:t>for</w:t>
            </w:r>
            <w:r>
              <w:rPr>
                <w:spacing w:val="-5"/>
              </w:rPr>
              <w:t> </w:t>
            </w:r>
            <w:r>
              <w:rPr/>
              <w:t>not</w:t>
            </w:r>
            <w:r>
              <w:rPr>
                <w:spacing w:val="-5"/>
              </w:rPr>
              <w:t> </w:t>
            </w:r>
            <w:r>
              <w:rPr/>
              <w:t>participating</w:t>
            </w:r>
            <w:r>
              <w:rPr>
                <w:spacing w:val="-3"/>
              </w:rPr>
              <w:t> </w:t>
            </w:r>
            <w:r>
              <w:rPr/>
              <w:t>in</w:t>
            </w:r>
            <w:r>
              <w:rPr>
                <w:spacing w:val="-4"/>
              </w:rPr>
              <w:t> </w:t>
            </w:r>
            <w:r>
              <w:rPr/>
              <w:t>post-ET1</w:t>
            </w:r>
            <w:r>
              <w:rPr>
                <w:spacing w:val="-3"/>
              </w:rPr>
              <w:t> </w:t>
            </w:r>
            <w:r>
              <w:rPr>
                <w:spacing w:val="-2"/>
              </w:rPr>
              <w:t>conciliation</w:t>
            </w:r>
            <w:r>
              <w:rPr/>
              <w:tab/>
            </w:r>
            <w:r>
              <w:rPr>
                <w:spacing w:val="-5"/>
              </w:rPr>
              <w:t>92</w:t>
            </w:r>
          </w:hyperlink>
        </w:p>
        <w:p>
          <w:pPr>
            <w:pStyle w:val="TOC2"/>
            <w:numPr>
              <w:ilvl w:val="1"/>
              <w:numId w:val="1"/>
            </w:numPr>
            <w:tabs>
              <w:tab w:pos="1997" w:val="left" w:leader="none"/>
              <w:tab w:pos="1998" w:val="left" w:leader="none"/>
              <w:tab w:pos="9384" w:val="left" w:leader="dot"/>
            </w:tabs>
            <w:spacing w:line="240" w:lineRule="auto" w:before="17" w:after="0"/>
            <w:ind w:left="1997" w:right="0" w:hanging="661"/>
            <w:jc w:val="left"/>
          </w:pPr>
          <w:hyperlink w:history="true" w:anchor="_bookmark42">
            <w:r>
              <w:rPr/>
              <w:t>Determinants</w:t>
            </w:r>
            <w:r>
              <w:rPr>
                <w:spacing w:val="-3"/>
              </w:rPr>
              <w:t> </w:t>
            </w:r>
            <w:r>
              <w:rPr/>
              <w:t>of</w:t>
            </w:r>
            <w:r>
              <w:rPr>
                <w:spacing w:val="-4"/>
              </w:rPr>
              <w:t> </w:t>
            </w:r>
            <w:r>
              <w:rPr/>
              <w:t>taking</w:t>
            </w:r>
            <w:r>
              <w:rPr>
                <w:spacing w:val="-4"/>
              </w:rPr>
              <w:t> </w:t>
            </w:r>
            <w:r>
              <w:rPr/>
              <w:t>part</w:t>
            </w:r>
            <w:r>
              <w:rPr>
                <w:spacing w:val="-3"/>
              </w:rPr>
              <w:t> </w:t>
            </w:r>
            <w:r>
              <w:rPr/>
              <w:t>in</w:t>
            </w:r>
            <w:r>
              <w:rPr>
                <w:spacing w:val="-3"/>
              </w:rPr>
              <w:t> </w:t>
            </w:r>
            <w:r>
              <w:rPr/>
              <w:t>post-ET1</w:t>
            </w:r>
            <w:r>
              <w:rPr>
                <w:spacing w:val="-3"/>
              </w:rPr>
              <w:t> </w:t>
            </w:r>
            <w:r>
              <w:rPr>
                <w:spacing w:val="-2"/>
              </w:rPr>
              <w:t>conciliation</w:t>
            </w:r>
            <w:r>
              <w:rPr/>
              <w:tab/>
            </w:r>
            <w:r>
              <w:rPr>
                <w:spacing w:val="-5"/>
              </w:rPr>
              <w:t>92</w:t>
            </w:r>
          </w:hyperlink>
        </w:p>
        <w:p>
          <w:pPr>
            <w:pStyle w:val="TOC1"/>
            <w:numPr>
              <w:ilvl w:val="0"/>
              <w:numId w:val="1"/>
            </w:numPr>
            <w:tabs>
              <w:tab w:pos="1779" w:val="left" w:leader="none"/>
              <w:tab w:pos="9326" w:val="left" w:leader="dot"/>
            </w:tabs>
            <w:spacing w:line="240" w:lineRule="auto" w:before="200" w:after="0"/>
            <w:ind w:left="1778" w:right="0" w:hanging="442"/>
            <w:jc w:val="left"/>
          </w:pPr>
          <w:hyperlink w:history="true" w:anchor="_bookmark43">
            <w:r>
              <w:rPr/>
              <w:t>THE</w:t>
            </w:r>
            <w:r>
              <w:rPr>
                <w:spacing w:val="-13"/>
              </w:rPr>
              <w:t> </w:t>
            </w:r>
            <w:r>
              <w:rPr/>
              <w:t>POST-ET1</w:t>
            </w:r>
            <w:r>
              <w:rPr>
                <w:spacing w:val="-13"/>
              </w:rPr>
              <w:t> </w:t>
            </w:r>
            <w:r>
              <w:rPr/>
              <w:t>CONCILIATION</w:t>
            </w:r>
            <w:r>
              <w:rPr>
                <w:spacing w:val="-13"/>
              </w:rPr>
              <w:t> </w:t>
            </w:r>
            <w:r>
              <w:rPr>
                <w:spacing w:val="-2"/>
              </w:rPr>
              <w:t>EXPERIENCE</w:t>
            </w:r>
            <w:r>
              <w:rPr/>
              <w:tab/>
            </w:r>
            <w:r>
              <w:rPr>
                <w:spacing w:val="-5"/>
              </w:rPr>
              <w:t>95</w:t>
            </w:r>
          </w:hyperlink>
        </w:p>
        <w:p>
          <w:pPr>
            <w:pStyle w:val="TOC2"/>
            <w:numPr>
              <w:ilvl w:val="1"/>
              <w:numId w:val="1"/>
            </w:numPr>
            <w:tabs>
              <w:tab w:pos="1997" w:val="left" w:leader="none"/>
              <w:tab w:pos="1998" w:val="left" w:leader="none"/>
              <w:tab w:pos="9384" w:val="left" w:leader="dot"/>
            </w:tabs>
            <w:spacing w:line="240" w:lineRule="auto" w:before="97" w:after="0"/>
            <w:ind w:left="1997" w:right="0" w:hanging="661"/>
            <w:jc w:val="left"/>
          </w:pPr>
          <w:hyperlink w:history="true" w:anchor="_bookmark44">
            <w:r>
              <w:rPr/>
              <w:t>Contact</w:t>
            </w:r>
            <w:r>
              <w:rPr>
                <w:spacing w:val="-3"/>
              </w:rPr>
              <w:t> </w:t>
            </w:r>
            <w:r>
              <w:rPr/>
              <w:t>with</w:t>
            </w:r>
            <w:r>
              <w:rPr>
                <w:spacing w:val="-2"/>
              </w:rPr>
              <w:t> </w:t>
            </w:r>
            <w:r>
              <w:rPr/>
              <w:t>the</w:t>
            </w:r>
            <w:r>
              <w:rPr>
                <w:spacing w:val="-3"/>
              </w:rPr>
              <w:t> </w:t>
            </w:r>
            <w:r>
              <w:rPr>
                <w:spacing w:val="-2"/>
              </w:rPr>
              <w:t>conciliator</w:t>
            </w:r>
            <w:r>
              <w:rPr/>
              <w:tab/>
            </w:r>
            <w:r>
              <w:rPr>
                <w:spacing w:val="-5"/>
              </w:rPr>
              <w:t>95</w:t>
            </w:r>
          </w:hyperlink>
        </w:p>
        <w:p>
          <w:pPr>
            <w:pStyle w:val="TOC2"/>
            <w:numPr>
              <w:ilvl w:val="1"/>
              <w:numId w:val="1"/>
            </w:numPr>
            <w:tabs>
              <w:tab w:pos="1997" w:val="left" w:leader="none"/>
              <w:tab w:pos="1998" w:val="left" w:leader="none"/>
              <w:tab w:pos="9385" w:val="left" w:leader="dot"/>
            </w:tabs>
            <w:spacing w:line="240" w:lineRule="auto" w:before="16" w:after="0"/>
            <w:ind w:left="1997" w:right="0" w:hanging="661"/>
            <w:jc w:val="left"/>
          </w:pPr>
          <w:hyperlink w:history="true" w:anchor="_bookmark45">
            <w:r>
              <w:rPr/>
              <w:t>Perceptions</w:t>
            </w:r>
            <w:r>
              <w:rPr>
                <w:spacing w:val="-3"/>
              </w:rPr>
              <w:t> </w:t>
            </w:r>
            <w:r>
              <w:rPr/>
              <w:t>of</w:t>
            </w:r>
            <w:r>
              <w:rPr>
                <w:spacing w:val="-3"/>
              </w:rPr>
              <w:t> </w:t>
            </w:r>
            <w:r>
              <w:rPr/>
              <w:t>the</w:t>
            </w:r>
            <w:r>
              <w:rPr>
                <w:spacing w:val="-3"/>
              </w:rPr>
              <w:t> </w:t>
            </w:r>
            <w:r>
              <w:rPr>
                <w:spacing w:val="-2"/>
              </w:rPr>
              <w:t>conciliator</w:t>
            </w:r>
            <w:r>
              <w:rPr/>
              <w:tab/>
            </w:r>
            <w:r>
              <w:rPr>
                <w:spacing w:val="-5"/>
              </w:rPr>
              <w:t>98</w:t>
            </w:r>
          </w:hyperlink>
        </w:p>
        <w:p>
          <w:pPr>
            <w:pStyle w:val="TOC2"/>
            <w:numPr>
              <w:ilvl w:val="1"/>
              <w:numId w:val="1"/>
            </w:numPr>
            <w:tabs>
              <w:tab w:pos="1997" w:val="left" w:leader="none"/>
              <w:tab w:pos="1998" w:val="left" w:leader="none"/>
              <w:tab w:pos="9257" w:val="left" w:leader="dot"/>
            </w:tabs>
            <w:spacing w:line="240" w:lineRule="auto" w:before="18" w:after="0"/>
            <w:ind w:left="1997" w:right="0" w:hanging="661"/>
            <w:jc w:val="left"/>
          </w:pPr>
          <w:hyperlink w:history="true" w:anchor="_bookmark46">
            <w:r>
              <w:rPr/>
              <w:t>Overall</w:t>
            </w:r>
            <w:r>
              <w:rPr>
                <w:spacing w:val="-7"/>
              </w:rPr>
              <w:t> </w:t>
            </w:r>
            <w:r>
              <w:rPr/>
              <w:t>satisfaction</w:t>
            </w:r>
            <w:r>
              <w:rPr>
                <w:spacing w:val="-4"/>
              </w:rPr>
              <w:t> </w:t>
            </w:r>
            <w:r>
              <w:rPr/>
              <w:t>with</w:t>
            </w:r>
            <w:r>
              <w:rPr>
                <w:spacing w:val="-3"/>
              </w:rPr>
              <w:t> </w:t>
            </w:r>
            <w:r>
              <w:rPr/>
              <w:t>the</w:t>
            </w:r>
            <w:r>
              <w:rPr>
                <w:spacing w:val="-5"/>
              </w:rPr>
              <w:t> </w:t>
            </w:r>
            <w:r>
              <w:rPr/>
              <w:t>service</w:t>
            </w:r>
            <w:r>
              <w:rPr>
                <w:spacing w:val="-4"/>
              </w:rPr>
              <w:t> </w:t>
            </w:r>
            <w:r>
              <w:rPr/>
              <w:t>received</w:t>
            </w:r>
            <w:r>
              <w:rPr>
                <w:spacing w:val="-3"/>
              </w:rPr>
              <w:t> </w:t>
            </w:r>
            <w:r>
              <w:rPr/>
              <w:t>from</w:t>
            </w:r>
            <w:r>
              <w:rPr>
                <w:spacing w:val="-4"/>
              </w:rPr>
              <w:t> Acas</w:t>
            </w:r>
            <w:r>
              <w:rPr/>
              <w:tab/>
            </w:r>
            <w:r>
              <w:rPr>
                <w:spacing w:val="-5"/>
              </w:rPr>
              <w:t>102</w:t>
            </w:r>
          </w:hyperlink>
        </w:p>
        <w:p>
          <w:pPr>
            <w:pStyle w:val="TOC1"/>
            <w:numPr>
              <w:ilvl w:val="0"/>
              <w:numId w:val="1"/>
            </w:numPr>
            <w:tabs>
              <w:tab w:pos="1779" w:val="left" w:leader="none"/>
              <w:tab w:pos="9169" w:val="left" w:leader="dot"/>
            </w:tabs>
            <w:spacing w:line="240" w:lineRule="auto" w:before="200" w:after="0"/>
            <w:ind w:left="1778" w:right="0" w:hanging="442"/>
            <w:jc w:val="left"/>
          </w:pPr>
          <w:hyperlink w:history="true" w:anchor="_bookmark47">
            <w:r>
              <w:rPr/>
              <w:t>DETAILS</w:t>
            </w:r>
            <w:r>
              <w:rPr>
                <w:spacing w:val="-8"/>
              </w:rPr>
              <w:t> </w:t>
            </w:r>
            <w:r>
              <w:rPr/>
              <w:t>OF</w:t>
            </w:r>
            <w:r>
              <w:rPr>
                <w:spacing w:val="-7"/>
              </w:rPr>
              <w:t> </w:t>
            </w:r>
            <w:r>
              <w:rPr/>
              <w:t>ET</w:t>
            </w:r>
            <w:r>
              <w:rPr>
                <w:spacing w:val="-7"/>
              </w:rPr>
              <w:t> </w:t>
            </w:r>
            <w:r>
              <w:rPr/>
              <w:t>CASE</w:t>
            </w:r>
            <w:r>
              <w:rPr>
                <w:spacing w:val="-7"/>
              </w:rPr>
              <w:t> </w:t>
            </w:r>
            <w:r>
              <w:rPr>
                <w:spacing w:val="-2"/>
              </w:rPr>
              <w:t>OUTCOMES</w:t>
            </w:r>
            <w:r>
              <w:rPr/>
              <w:tab/>
            </w:r>
            <w:r>
              <w:rPr>
                <w:spacing w:val="-5"/>
              </w:rPr>
              <w:t>104</w:t>
            </w:r>
          </w:hyperlink>
        </w:p>
        <w:p>
          <w:pPr>
            <w:pStyle w:val="TOC2"/>
            <w:numPr>
              <w:ilvl w:val="1"/>
              <w:numId w:val="1"/>
            </w:numPr>
            <w:tabs>
              <w:tab w:pos="1997" w:val="left" w:leader="none"/>
              <w:tab w:pos="1998" w:val="left" w:leader="none"/>
              <w:tab w:pos="9257" w:val="left" w:leader="dot"/>
            </w:tabs>
            <w:spacing w:line="240" w:lineRule="auto" w:before="97" w:after="0"/>
            <w:ind w:left="1997" w:right="0" w:hanging="661"/>
            <w:jc w:val="left"/>
          </w:pPr>
          <w:hyperlink w:history="true" w:anchor="_bookmark48">
            <w:r>
              <w:rPr/>
              <w:t>Case</w:t>
            </w:r>
            <w:r>
              <w:rPr>
                <w:spacing w:val="-3"/>
              </w:rPr>
              <w:t> </w:t>
            </w:r>
            <w:r>
              <w:rPr>
                <w:spacing w:val="-2"/>
              </w:rPr>
              <w:t>outcomes</w:t>
            </w:r>
            <w:r>
              <w:rPr/>
              <w:tab/>
            </w:r>
            <w:r>
              <w:rPr>
                <w:spacing w:val="-5"/>
              </w:rPr>
              <w:t>105</w:t>
            </w:r>
          </w:hyperlink>
        </w:p>
        <w:p>
          <w:pPr>
            <w:pStyle w:val="TOC2"/>
            <w:numPr>
              <w:ilvl w:val="1"/>
              <w:numId w:val="1"/>
            </w:numPr>
            <w:tabs>
              <w:tab w:pos="1997" w:val="left" w:leader="none"/>
              <w:tab w:pos="1998" w:val="left" w:leader="none"/>
              <w:tab w:pos="9257" w:val="left" w:leader="dot"/>
            </w:tabs>
            <w:spacing w:line="240" w:lineRule="auto" w:before="16" w:after="0"/>
            <w:ind w:left="1997" w:right="0" w:hanging="661"/>
            <w:jc w:val="left"/>
          </w:pPr>
          <w:hyperlink w:history="true" w:anchor="_bookmark49">
            <w:r>
              <w:rPr/>
              <w:t>Drivers</w:t>
            </w:r>
            <w:r>
              <w:rPr>
                <w:spacing w:val="-3"/>
              </w:rPr>
              <w:t> </w:t>
            </w:r>
            <w:r>
              <w:rPr/>
              <w:t>of</w:t>
            </w:r>
            <w:r>
              <w:rPr>
                <w:spacing w:val="-3"/>
              </w:rPr>
              <w:t> </w:t>
            </w:r>
            <w:r>
              <w:rPr/>
              <w:t>successful</w:t>
            </w:r>
            <w:r>
              <w:rPr>
                <w:spacing w:val="-4"/>
              </w:rPr>
              <w:t> </w:t>
            </w:r>
            <w:r>
              <w:rPr/>
              <w:t>case</w:t>
            </w:r>
            <w:r>
              <w:rPr>
                <w:spacing w:val="-3"/>
              </w:rPr>
              <w:t> </w:t>
            </w:r>
            <w:r>
              <w:rPr>
                <w:spacing w:val="-2"/>
              </w:rPr>
              <w:t>outcome</w:t>
            </w:r>
            <w:r>
              <w:rPr/>
              <w:tab/>
            </w:r>
            <w:r>
              <w:rPr>
                <w:spacing w:val="-5"/>
              </w:rPr>
              <w:t>105</w:t>
            </w:r>
          </w:hyperlink>
        </w:p>
        <w:p>
          <w:pPr>
            <w:pStyle w:val="TOC2"/>
            <w:numPr>
              <w:ilvl w:val="1"/>
              <w:numId w:val="1"/>
            </w:numPr>
            <w:tabs>
              <w:tab w:pos="1997" w:val="left" w:leader="none"/>
              <w:tab w:pos="1998" w:val="left" w:leader="none"/>
              <w:tab w:pos="9257" w:val="left" w:leader="dot"/>
            </w:tabs>
            <w:spacing w:line="240" w:lineRule="auto" w:before="17" w:after="0"/>
            <w:ind w:left="1997" w:right="0" w:hanging="661"/>
            <w:jc w:val="left"/>
          </w:pPr>
          <w:hyperlink w:history="true" w:anchor="_bookmark50">
            <w:r>
              <w:rPr/>
              <w:t>Settlement</w:t>
            </w:r>
            <w:r>
              <w:rPr>
                <w:spacing w:val="-6"/>
              </w:rPr>
              <w:t> </w:t>
            </w:r>
            <w:r>
              <w:rPr>
                <w:spacing w:val="-2"/>
              </w:rPr>
              <w:t>details</w:t>
            </w:r>
            <w:r>
              <w:rPr/>
              <w:tab/>
            </w:r>
            <w:r>
              <w:rPr>
                <w:spacing w:val="-5"/>
              </w:rPr>
              <w:t>108</w:t>
            </w:r>
          </w:hyperlink>
        </w:p>
        <w:p>
          <w:pPr>
            <w:pStyle w:val="TOC2"/>
            <w:numPr>
              <w:ilvl w:val="1"/>
              <w:numId w:val="1"/>
            </w:numPr>
            <w:tabs>
              <w:tab w:pos="1997" w:val="left" w:leader="none"/>
              <w:tab w:pos="1998" w:val="left" w:leader="none"/>
              <w:tab w:pos="9257" w:val="left" w:leader="dot"/>
            </w:tabs>
            <w:spacing w:line="240" w:lineRule="auto" w:before="17" w:after="0"/>
            <w:ind w:left="1997" w:right="0" w:hanging="661"/>
            <w:jc w:val="left"/>
          </w:pPr>
          <w:hyperlink w:history="true" w:anchor="_bookmark51">
            <w:r>
              <w:rPr/>
              <w:t>Settlement</w:t>
            </w:r>
            <w:r>
              <w:rPr>
                <w:spacing w:val="-6"/>
              </w:rPr>
              <w:t> </w:t>
            </w:r>
            <w:r>
              <w:rPr>
                <w:spacing w:val="-2"/>
              </w:rPr>
              <w:t>details</w:t>
            </w:r>
            <w:r>
              <w:rPr/>
              <w:tab/>
            </w:r>
            <w:r>
              <w:rPr>
                <w:spacing w:val="-5"/>
              </w:rPr>
              <w:t>109</w:t>
            </w:r>
          </w:hyperlink>
        </w:p>
        <w:p>
          <w:pPr>
            <w:pStyle w:val="TOC2"/>
            <w:numPr>
              <w:ilvl w:val="1"/>
              <w:numId w:val="1"/>
            </w:numPr>
            <w:tabs>
              <w:tab w:pos="1997" w:val="left" w:leader="none"/>
              <w:tab w:pos="1998" w:val="left" w:leader="none"/>
              <w:tab w:pos="9257" w:val="left" w:leader="dot"/>
            </w:tabs>
            <w:spacing w:line="240" w:lineRule="auto" w:before="17" w:after="0"/>
            <w:ind w:left="1997" w:right="0" w:hanging="661"/>
            <w:jc w:val="left"/>
          </w:pPr>
          <w:hyperlink w:history="true" w:anchor="_bookmark52">
            <w:r>
              <w:rPr/>
              <w:t>Role</w:t>
            </w:r>
            <w:r>
              <w:rPr>
                <w:spacing w:val="-4"/>
              </w:rPr>
              <w:t> </w:t>
            </w:r>
            <w:r>
              <w:rPr/>
              <w:t>of</w:t>
            </w:r>
            <w:r>
              <w:rPr>
                <w:spacing w:val="-2"/>
              </w:rPr>
              <w:t> </w:t>
            </w:r>
            <w:r>
              <w:rPr/>
              <w:t>Acas</w:t>
            </w:r>
            <w:r>
              <w:rPr>
                <w:spacing w:val="-2"/>
              </w:rPr>
              <w:t> </w:t>
            </w:r>
            <w:r>
              <w:rPr/>
              <w:t>in</w:t>
            </w:r>
            <w:r>
              <w:rPr>
                <w:spacing w:val="-2"/>
              </w:rPr>
              <w:t> </w:t>
            </w:r>
            <w:r>
              <w:rPr/>
              <w:t>resolving</w:t>
            </w:r>
            <w:r>
              <w:rPr>
                <w:spacing w:val="-2"/>
              </w:rPr>
              <w:t> </w:t>
            </w:r>
            <w:r>
              <w:rPr/>
              <w:t>the</w:t>
            </w:r>
            <w:r>
              <w:rPr>
                <w:spacing w:val="-4"/>
              </w:rPr>
              <w:t> case</w:t>
            </w:r>
            <w:r>
              <w:rPr/>
              <w:tab/>
            </w:r>
            <w:r>
              <w:rPr>
                <w:spacing w:val="-5"/>
              </w:rPr>
              <w:t>109</w:t>
            </w:r>
          </w:hyperlink>
        </w:p>
        <w:p>
          <w:pPr>
            <w:pStyle w:val="TOC2"/>
            <w:numPr>
              <w:ilvl w:val="1"/>
              <w:numId w:val="1"/>
            </w:numPr>
            <w:tabs>
              <w:tab w:pos="1997" w:val="left" w:leader="none"/>
              <w:tab w:pos="1998" w:val="left" w:leader="none"/>
              <w:tab w:pos="9257" w:val="left" w:leader="dot"/>
            </w:tabs>
            <w:spacing w:line="240" w:lineRule="auto" w:before="17" w:after="0"/>
            <w:ind w:left="1997" w:right="0" w:hanging="661"/>
            <w:jc w:val="left"/>
          </w:pPr>
          <w:hyperlink w:history="true" w:anchor="_bookmark53">
            <w:r>
              <w:rPr/>
              <w:t>Reasons</w:t>
            </w:r>
            <w:r>
              <w:rPr>
                <w:spacing w:val="-3"/>
              </w:rPr>
              <w:t> </w:t>
            </w:r>
            <w:r>
              <w:rPr/>
              <w:t>for</w:t>
            </w:r>
            <w:r>
              <w:rPr>
                <w:spacing w:val="-4"/>
              </w:rPr>
              <w:t> </w:t>
            </w:r>
            <w:r>
              <w:rPr/>
              <w:t>case</w:t>
            </w:r>
            <w:r>
              <w:rPr>
                <w:spacing w:val="-3"/>
              </w:rPr>
              <w:t> </w:t>
            </w:r>
            <w:r>
              <w:rPr>
                <w:spacing w:val="-2"/>
              </w:rPr>
              <w:t>withdrawals</w:t>
            </w:r>
            <w:r>
              <w:rPr/>
              <w:tab/>
            </w:r>
            <w:r>
              <w:rPr>
                <w:spacing w:val="-5"/>
              </w:rPr>
              <w:t>111</w:t>
            </w:r>
          </w:hyperlink>
        </w:p>
        <w:p>
          <w:pPr>
            <w:pStyle w:val="TOC2"/>
            <w:numPr>
              <w:ilvl w:val="1"/>
              <w:numId w:val="1"/>
            </w:numPr>
            <w:tabs>
              <w:tab w:pos="1997" w:val="left" w:leader="none"/>
              <w:tab w:pos="1998" w:val="left" w:leader="none"/>
              <w:tab w:pos="9257" w:val="left" w:leader="dot"/>
            </w:tabs>
            <w:spacing w:line="240" w:lineRule="auto" w:before="17" w:after="0"/>
            <w:ind w:left="1997" w:right="0" w:hanging="661"/>
            <w:jc w:val="left"/>
          </w:pPr>
          <w:hyperlink w:history="true" w:anchor="_bookmark54">
            <w:r>
              <w:rPr/>
              <w:t>Determining</w:t>
            </w:r>
            <w:r>
              <w:rPr>
                <w:spacing w:val="-5"/>
              </w:rPr>
              <w:t> </w:t>
            </w:r>
            <w:r>
              <w:rPr/>
              <w:t>the</w:t>
            </w:r>
            <w:r>
              <w:rPr>
                <w:spacing w:val="-5"/>
              </w:rPr>
              <w:t> </w:t>
            </w:r>
            <w:r>
              <w:rPr/>
              <w:t>‘Acas</w:t>
            </w:r>
            <w:r>
              <w:rPr>
                <w:spacing w:val="-5"/>
              </w:rPr>
              <w:t> </w:t>
            </w:r>
            <w:r>
              <w:rPr/>
              <w:t>effect’</w:t>
            </w:r>
            <w:r>
              <w:rPr>
                <w:spacing w:val="-3"/>
              </w:rPr>
              <w:t> </w:t>
            </w:r>
            <w:r>
              <w:rPr/>
              <w:t>in</w:t>
            </w:r>
            <w:r>
              <w:rPr>
                <w:spacing w:val="-3"/>
              </w:rPr>
              <w:t> </w:t>
            </w:r>
            <w:r>
              <w:rPr/>
              <w:t>non-progression</w:t>
            </w:r>
            <w:r>
              <w:rPr>
                <w:spacing w:val="-3"/>
              </w:rPr>
              <w:t> </w:t>
            </w:r>
            <w:r>
              <w:rPr/>
              <w:t>to</w:t>
            </w:r>
            <w:r>
              <w:rPr>
                <w:spacing w:val="-3"/>
              </w:rPr>
              <w:t> </w:t>
            </w:r>
            <w:r>
              <w:rPr/>
              <w:t>an</w:t>
            </w:r>
            <w:r>
              <w:rPr>
                <w:spacing w:val="-4"/>
              </w:rPr>
              <w:t> </w:t>
            </w:r>
            <w:r>
              <w:rPr/>
              <w:t>ET</w:t>
            </w:r>
            <w:r>
              <w:rPr>
                <w:spacing w:val="-4"/>
              </w:rPr>
              <w:t> </w:t>
            </w:r>
            <w:r>
              <w:rPr>
                <w:spacing w:val="-2"/>
              </w:rPr>
              <w:t>hearing</w:t>
            </w:r>
            <w:r>
              <w:rPr/>
              <w:tab/>
            </w:r>
            <w:r>
              <w:rPr>
                <w:spacing w:val="-5"/>
              </w:rPr>
              <w:t>112</w:t>
            </w:r>
          </w:hyperlink>
        </w:p>
        <w:p>
          <w:pPr>
            <w:pStyle w:val="TOC2"/>
            <w:numPr>
              <w:ilvl w:val="1"/>
              <w:numId w:val="1"/>
            </w:numPr>
            <w:tabs>
              <w:tab w:pos="1997" w:val="left" w:leader="none"/>
              <w:tab w:pos="1998" w:val="left" w:leader="none"/>
              <w:tab w:pos="9257" w:val="left" w:leader="dot"/>
            </w:tabs>
            <w:spacing w:line="240" w:lineRule="auto" w:before="16" w:after="0"/>
            <w:ind w:left="1997" w:right="0" w:hanging="661"/>
            <w:jc w:val="left"/>
          </w:pPr>
          <w:hyperlink w:history="true" w:anchor="_bookmark55">
            <w:r>
              <w:rPr/>
              <w:t>ET</w:t>
            </w:r>
            <w:r>
              <w:rPr>
                <w:spacing w:val="-3"/>
              </w:rPr>
              <w:t> </w:t>
            </w:r>
            <w:r>
              <w:rPr>
                <w:spacing w:val="-2"/>
              </w:rPr>
              <w:t>hearings</w:t>
            </w:r>
            <w:r>
              <w:rPr/>
              <w:tab/>
            </w:r>
            <w:r>
              <w:rPr>
                <w:spacing w:val="-5"/>
              </w:rPr>
              <w:t>113</w:t>
            </w:r>
          </w:hyperlink>
        </w:p>
        <w:p>
          <w:pPr>
            <w:pStyle w:val="TOC2"/>
            <w:numPr>
              <w:ilvl w:val="1"/>
              <w:numId w:val="1"/>
            </w:numPr>
            <w:tabs>
              <w:tab w:pos="1997" w:val="left" w:leader="none"/>
              <w:tab w:pos="1998" w:val="left" w:leader="none"/>
              <w:tab w:pos="9257" w:val="left" w:leader="dot"/>
            </w:tabs>
            <w:spacing w:line="240" w:lineRule="auto" w:before="18" w:after="0"/>
            <w:ind w:left="1997" w:right="0" w:hanging="661"/>
            <w:jc w:val="left"/>
          </w:pPr>
          <w:hyperlink w:history="true" w:anchor="_bookmark56">
            <w:r>
              <w:rPr/>
              <w:t>Satisfaction</w:t>
            </w:r>
            <w:r>
              <w:rPr>
                <w:spacing w:val="-3"/>
              </w:rPr>
              <w:t> </w:t>
            </w:r>
            <w:r>
              <w:rPr/>
              <w:t>with</w:t>
            </w:r>
            <w:r>
              <w:rPr>
                <w:spacing w:val="-4"/>
              </w:rPr>
              <w:t> </w:t>
            </w:r>
            <w:r>
              <w:rPr/>
              <w:t>case</w:t>
            </w:r>
            <w:r>
              <w:rPr>
                <w:spacing w:val="-3"/>
              </w:rPr>
              <w:t> </w:t>
            </w:r>
            <w:r>
              <w:rPr>
                <w:spacing w:val="-2"/>
              </w:rPr>
              <w:t>outcome</w:t>
            </w:r>
            <w:r>
              <w:rPr/>
              <w:tab/>
            </w:r>
            <w:r>
              <w:rPr>
                <w:spacing w:val="-5"/>
              </w:rPr>
              <w:t>114</w:t>
            </w:r>
          </w:hyperlink>
        </w:p>
        <w:p>
          <w:pPr>
            <w:pStyle w:val="TOC1"/>
            <w:numPr>
              <w:ilvl w:val="0"/>
              <w:numId w:val="1"/>
            </w:numPr>
            <w:tabs>
              <w:tab w:pos="1779" w:val="left" w:leader="none"/>
              <w:tab w:pos="9169" w:val="left" w:leader="dot"/>
            </w:tabs>
            <w:spacing w:line="240" w:lineRule="auto" w:before="200" w:after="0"/>
            <w:ind w:left="1778" w:right="0" w:hanging="442"/>
            <w:jc w:val="left"/>
          </w:pPr>
          <w:hyperlink w:history="true" w:anchor="_bookmark57">
            <w:r>
              <w:rPr/>
              <w:t>IMPACT</w:t>
            </w:r>
            <w:r>
              <w:rPr>
                <w:spacing w:val="-5"/>
              </w:rPr>
              <w:t> </w:t>
            </w:r>
            <w:r>
              <w:rPr/>
              <w:t>OF</w:t>
            </w:r>
            <w:r>
              <w:rPr>
                <w:spacing w:val="-5"/>
              </w:rPr>
              <w:t> </w:t>
            </w:r>
            <w:r>
              <w:rPr/>
              <w:t>EC</w:t>
            </w:r>
            <w:r>
              <w:rPr>
                <w:spacing w:val="-6"/>
              </w:rPr>
              <w:t> </w:t>
            </w:r>
            <w:r>
              <w:rPr/>
              <w:t>ON</w:t>
            </w:r>
            <w:r>
              <w:rPr>
                <w:spacing w:val="-6"/>
              </w:rPr>
              <w:t> </w:t>
            </w:r>
            <w:r>
              <w:rPr/>
              <w:t>THE</w:t>
            </w:r>
            <w:r>
              <w:rPr>
                <w:spacing w:val="-5"/>
              </w:rPr>
              <w:t> </w:t>
            </w:r>
            <w:r>
              <w:rPr/>
              <w:t>ET</w:t>
            </w:r>
            <w:r>
              <w:rPr>
                <w:spacing w:val="-5"/>
              </w:rPr>
              <w:t> </w:t>
            </w:r>
            <w:r>
              <w:rPr>
                <w:spacing w:val="-2"/>
              </w:rPr>
              <w:t>PROCESS</w:t>
            </w:r>
            <w:r>
              <w:rPr/>
              <w:tab/>
            </w:r>
            <w:r>
              <w:rPr>
                <w:spacing w:val="-5"/>
              </w:rPr>
              <w:t>115</w:t>
            </w:r>
          </w:hyperlink>
        </w:p>
        <w:p>
          <w:pPr>
            <w:pStyle w:val="TOC2"/>
            <w:numPr>
              <w:ilvl w:val="1"/>
              <w:numId w:val="1"/>
            </w:numPr>
            <w:tabs>
              <w:tab w:pos="1997" w:val="left" w:leader="none"/>
              <w:tab w:pos="1998" w:val="left" w:leader="none"/>
              <w:tab w:pos="9257" w:val="left" w:leader="dot"/>
            </w:tabs>
            <w:spacing w:line="240" w:lineRule="auto" w:before="97" w:after="0"/>
            <w:ind w:left="1997" w:right="0" w:hanging="661"/>
            <w:jc w:val="left"/>
          </w:pPr>
          <w:hyperlink w:history="true" w:anchor="_bookmark58">
            <w:r>
              <w:rPr/>
              <w:t>Role</w:t>
            </w:r>
            <w:r>
              <w:rPr>
                <w:spacing w:val="-3"/>
              </w:rPr>
              <w:t> </w:t>
            </w:r>
            <w:r>
              <w:rPr/>
              <w:t>of</w:t>
            </w:r>
            <w:r>
              <w:rPr>
                <w:spacing w:val="-2"/>
              </w:rPr>
              <w:t> </w:t>
            </w:r>
            <w:r>
              <w:rPr/>
              <w:t>EC</w:t>
            </w:r>
            <w:r>
              <w:rPr>
                <w:spacing w:val="-3"/>
              </w:rPr>
              <w:t> </w:t>
            </w:r>
            <w:r>
              <w:rPr/>
              <w:t>in</w:t>
            </w:r>
            <w:r>
              <w:rPr>
                <w:spacing w:val="-2"/>
              </w:rPr>
              <w:t> </w:t>
            </w:r>
            <w:r>
              <w:rPr/>
              <w:t>uptake</w:t>
            </w:r>
            <w:r>
              <w:rPr>
                <w:spacing w:val="-3"/>
              </w:rPr>
              <w:t> </w:t>
            </w:r>
            <w:r>
              <w:rPr/>
              <w:t>of</w:t>
            </w:r>
            <w:r>
              <w:rPr>
                <w:spacing w:val="-3"/>
              </w:rPr>
              <w:t> </w:t>
            </w:r>
            <w:r>
              <w:rPr/>
              <w:t>post-ET1</w:t>
            </w:r>
            <w:r>
              <w:rPr>
                <w:spacing w:val="-1"/>
              </w:rPr>
              <w:t> </w:t>
            </w:r>
            <w:r>
              <w:rPr>
                <w:spacing w:val="-2"/>
              </w:rPr>
              <w:t>conciliation</w:t>
            </w:r>
            <w:r>
              <w:rPr/>
              <w:tab/>
            </w:r>
            <w:r>
              <w:rPr>
                <w:spacing w:val="-5"/>
              </w:rPr>
              <w:t>116</w:t>
            </w:r>
          </w:hyperlink>
        </w:p>
        <w:p>
          <w:pPr>
            <w:pStyle w:val="TOC2"/>
            <w:numPr>
              <w:ilvl w:val="1"/>
              <w:numId w:val="1"/>
            </w:numPr>
            <w:tabs>
              <w:tab w:pos="1997" w:val="left" w:leader="none"/>
              <w:tab w:pos="1998" w:val="left" w:leader="none"/>
              <w:tab w:pos="9257" w:val="left" w:leader="dot"/>
            </w:tabs>
            <w:spacing w:line="240" w:lineRule="auto" w:before="16" w:after="0"/>
            <w:ind w:left="1997" w:right="0" w:hanging="661"/>
            <w:jc w:val="left"/>
          </w:pPr>
          <w:hyperlink w:history="true" w:anchor="_bookmark59">
            <w:r>
              <w:rPr/>
              <w:t>Perceptions</w:t>
            </w:r>
            <w:r>
              <w:rPr>
                <w:spacing w:val="-3"/>
              </w:rPr>
              <w:t> </w:t>
            </w:r>
            <w:r>
              <w:rPr/>
              <w:t>of</w:t>
            </w:r>
            <w:r>
              <w:rPr>
                <w:spacing w:val="-3"/>
              </w:rPr>
              <w:t> </w:t>
            </w:r>
            <w:r>
              <w:rPr/>
              <w:t>the</w:t>
            </w:r>
            <w:r>
              <w:rPr>
                <w:spacing w:val="-3"/>
              </w:rPr>
              <w:t> </w:t>
            </w:r>
            <w:r>
              <w:rPr>
                <w:spacing w:val="-2"/>
              </w:rPr>
              <w:t>conciliator</w:t>
            </w:r>
            <w:r>
              <w:rPr/>
              <w:tab/>
            </w:r>
            <w:r>
              <w:rPr>
                <w:spacing w:val="-5"/>
              </w:rPr>
              <w:t>116</w:t>
            </w:r>
          </w:hyperlink>
        </w:p>
        <w:p>
          <w:pPr>
            <w:pStyle w:val="TOC2"/>
            <w:numPr>
              <w:ilvl w:val="1"/>
              <w:numId w:val="1"/>
            </w:numPr>
            <w:tabs>
              <w:tab w:pos="1997" w:val="left" w:leader="none"/>
              <w:tab w:pos="1998" w:val="left" w:leader="none"/>
              <w:tab w:pos="9257" w:val="left" w:leader="dot"/>
            </w:tabs>
            <w:spacing w:line="240" w:lineRule="auto" w:before="17" w:after="0"/>
            <w:ind w:left="1997" w:right="0" w:hanging="661"/>
            <w:jc w:val="left"/>
          </w:pPr>
          <w:hyperlink w:history="true" w:anchor="_bookmark60">
            <w:r>
              <w:rPr/>
              <w:t>Parties’</w:t>
            </w:r>
            <w:r>
              <w:rPr>
                <w:spacing w:val="-5"/>
              </w:rPr>
              <w:t> </w:t>
            </w:r>
            <w:r>
              <w:rPr/>
              <w:t>own</w:t>
            </w:r>
            <w:r>
              <w:rPr>
                <w:spacing w:val="-3"/>
              </w:rPr>
              <w:t> </w:t>
            </w:r>
            <w:r>
              <w:rPr/>
              <w:t>perceptions</w:t>
            </w:r>
            <w:r>
              <w:rPr>
                <w:spacing w:val="-2"/>
              </w:rPr>
              <w:t> </w:t>
            </w:r>
            <w:r>
              <w:rPr/>
              <w:t>of</w:t>
            </w:r>
            <w:r>
              <w:rPr>
                <w:spacing w:val="-3"/>
              </w:rPr>
              <w:t> </w:t>
            </w:r>
            <w:r>
              <w:rPr/>
              <w:t>the</w:t>
            </w:r>
            <w:r>
              <w:rPr>
                <w:spacing w:val="-3"/>
              </w:rPr>
              <w:t> </w:t>
            </w:r>
            <w:r>
              <w:rPr/>
              <w:t>role</w:t>
            </w:r>
            <w:r>
              <w:rPr>
                <w:spacing w:val="-4"/>
              </w:rPr>
              <w:t> </w:t>
            </w:r>
            <w:r>
              <w:rPr/>
              <w:t>of</w:t>
            </w:r>
            <w:r>
              <w:rPr>
                <w:spacing w:val="-3"/>
              </w:rPr>
              <w:t> </w:t>
            </w:r>
            <w:r>
              <w:rPr/>
              <w:t>EC</w:t>
            </w:r>
            <w:r>
              <w:rPr>
                <w:spacing w:val="-3"/>
              </w:rPr>
              <w:t> </w:t>
            </w:r>
            <w:r>
              <w:rPr/>
              <w:t>on</w:t>
            </w:r>
            <w:r>
              <w:rPr>
                <w:spacing w:val="-3"/>
              </w:rPr>
              <w:t> </w:t>
            </w:r>
            <w:r>
              <w:rPr/>
              <w:t>the</w:t>
            </w:r>
            <w:r>
              <w:rPr>
                <w:spacing w:val="-3"/>
              </w:rPr>
              <w:t> </w:t>
            </w:r>
            <w:r>
              <w:rPr/>
              <w:t>post-ET1</w:t>
            </w:r>
            <w:r>
              <w:rPr>
                <w:spacing w:val="-3"/>
              </w:rPr>
              <w:t> </w:t>
            </w:r>
            <w:r>
              <w:rPr>
                <w:spacing w:val="-2"/>
              </w:rPr>
              <w:t>process</w:t>
            </w:r>
            <w:r>
              <w:rPr/>
              <w:tab/>
            </w:r>
            <w:r>
              <w:rPr>
                <w:spacing w:val="-5"/>
              </w:rPr>
              <w:t>118</w:t>
            </w:r>
          </w:hyperlink>
        </w:p>
        <w:p>
          <w:pPr>
            <w:pStyle w:val="TOC2"/>
            <w:numPr>
              <w:ilvl w:val="1"/>
              <w:numId w:val="1"/>
            </w:numPr>
            <w:tabs>
              <w:tab w:pos="1997" w:val="left" w:leader="none"/>
              <w:tab w:pos="1998" w:val="left" w:leader="none"/>
              <w:tab w:pos="9257" w:val="left" w:leader="dot"/>
            </w:tabs>
            <w:spacing w:line="240" w:lineRule="auto" w:before="18" w:after="0"/>
            <w:ind w:left="1997" w:right="0" w:hanging="661"/>
            <w:jc w:val="left"/>
          </w:pPr>
          <w:hyperlink w:history="true" w:anchor="_bookmark61">
            <w:r>
              <w:rPr/>
              <w:t>The</w:t>
            </w:r>
            <w:r>
              <w:rPr>
                <w:spacing w:val="-4"/>
              </w:rPr>
              <w:t> </w:t>
            </w:r>
            <w:r>
              <w:rPr/>
              <w:t>use</w:t>
            </w:r>
            <w:r>
              <w:rPr>
                <w:spacing w:val="-2"/>
              </w:rPr>
              <w:t> </w:t>
            </w:r>
            <w:r>
              <w:rPr/>
              <w:t>of</w:t>
            </w:r>
            <w:r>
              <w:rPr>
                <w:spacing w:val="-2"/>
              </w:rPr>
              <w:t> </w:t>
            </w:r>
            <w:r>
              <w:rPr/>
              <w:t>EC</w:t>
            </w:r>
            <w:r>
              <w:rPr>
                <w:spacing w:val="-3"/>
              </w:rPr>
              <w:t> </w:t>
            </w:r>
            <w:r>
              <w:rPr/>
              <w:t>and</w:t>
            </w:r>
            <w:r>
              <w:rPr>
                <w:spacing w:val="-2"/>
              </w:rPr>
              <w:t> </w:t>
            </w:r>
            <w:r>
              <w:rPr/>
              <w:t>ET1</w:t>
            </w:r>
            <w:r>
              <w:rPr>
                <w:spacing w:val="-2"/>
              </w:rPr>
              <w:t> </w:t>
            </w:r>
            <w:r>
              <w:rPr/>
              <w:t>conciliation</w:t>
            </w:r>
            <w:r>
              <w:rPr>
                <w:spacing w:val="-1"/>
              </w:rPr>
              <w:t> </w:t>
            </w:r>
            <w:r>
              <w:rPr>
                <w:spacing w:val="-2"/>
              </w:rPr>
              <w:t>outcomes</w:t>
            </w:r>
            <w:r>
              <w:rPr/>
              <w:tab/>
            </w:r>
            <w:r>
              <w:rPr>
                <w:spacing w:val="-5"/>
              </w:rPr>
              <w:t>120</w:t>
            </w:r>
          </w:hyperlink>
        </w:p>
        <w:p>
          <w:pPr>
            <w:pStyle w:val="TOC2"/>
            <w:numPr>
              <w:ilvl w:val="1"/>
              <w:numId w:val="1"/>
            </w:numPr>
            <w:tabs>
              <w:tab w:pos="1997" w:val="left" w:leader="none"/>
              <w:tab w:pos="1998" w:val="left" w:leader="none"/>
              <w:tab w:pos="9257" w:val="left" w:leader="dot"/>
            </w:tabs>
            <w:spacing w:line="240" w:lineRule="auto" w:before="16" w:after="0"/>
            <w:ind w:left="1997" w:right="0" w:hanging="661"/>
            <w:jc w:val="left"/>
          </w:pPr>
          <w:hyperlink w:history="true" w:anchor="_bookmark62">
            <w:r>
              <w:rPr/>
              <w:t>Prior</w:t>
            </w:r>
            <w:r>
              <w:rPr>
                <w:spacing w:val="-6"/>
              </w:rPr>
              <w:t> </w:t>
            </w:r>
            <w:r>
              <w:rPr/>
              <w:t>use</w:t>
            </w:r>
            <w:r>
              <w:rPr>
                <w:spacing w:val="-4"/>
              </w:rPr>
              <w:t> </w:t>
            </w:r>
            <w:r>
              <w:rPr/>
              <w:t>of</w:t>
            </w:r>
            <w:r>
              <w:rPr>
                <w:spacing w:val="-3"/>
              </w:rPr>
              <w:t> </w:t>
            </w:r>
            <w:r>
              <w:rPr/>
              <w:t>EC</w:t>
            </w:r>
            <w:r>
              <w:rPr>
                <w:spacing w:val="-4"/>
              </w:rPr>
              <w:t> </w:t>
            </w:r>
            <w:r>
              <w:rPr/>
              <w:t>and</w:t>
            </w:r>
            <w:r>
              <w:rPr>
                <w:spacing w:val="-4"/>
              </w:rPr>
              <w:t> </w:t>
            </w:r>
            <w:r>
              <w:rPr/>
              <w:t>satisfaction</w:t>
            </w:r>
            <w:r>
              <w:rPr>
                <w:spacing w:val="-4"/>
              </w:rPr>
              <w:t> </w:t>
            </w:r>
            <w:r>
              <w:rPr/>
              <w:t>with</w:t>
            </w:r>
            <w:r>
              <w:rPr>
                <w:spacing w:val="-3"/>
              </w:rPr>
              <w:t> </w:t>
            </w:r>
            <w:r>
              <w:rPr/>
              <w:t>the</w:t>
            </w:r>
            <w:r>
              <w:rPr>
                <w:spacing w:val="-4"/>
              </w:rPr>
              <w:t> </w:t>
            </w:r>
            <w:r>
              <w:rPr/>
              <w:t>post-ET1</w:t>
            </w:r>
            <w:r>
              <w:rPr>
                <w:spacing w:val="-4"/>
              </w:rPr>
              <w:t> </w:t>
            </w:r>
            <w:r>
              <w:rPr/>
              <w:t>conciliation</w:t>
            </w:r>
            <w:r>
              <w:rPr>
                <w:spacing w:val="-3"/>
              </w:rPr>
              <w:t> </w:t>
            </w:r>
            <w:r>
              <w:rPr>
                <w:spacing w:val="-2"/>
              </w:rPr>
              <w:t>service</w:t>
            </w:r>
            <w:r>
              <w:rPr/>
              <w:tab/>
            </w:r>
            <w:r>
              <w:rPr>
                <w:spacing w:val="-5"/>
              </w:rPr>
              <w:t>120</w:t>
            </w:r>
          </w:hyperlink>
        </w:p>
        <w:p>
          <w:pPr>
            <w:pStyle w:val="TOC1"/>
            <w:numPr>
              <w:ilvl w:val="0"/>
              <w:numId w:val="1"/>
            </w:numPr>
            <w:tabs>
              <w:tab w:pos="1779" w:val="left" w:leader="none"/>
              <w:tab w:pos="9169" w:val="left" w:leader="dot"/>
            </w:tabs>
            <w:spacing w:line="240" w:lineRule="auto" w:before="200" w:after="0"/>
            <w:ind w:left="1337" w:right="1486" w:hanging="1"/>
            <w:jc w:val="left"/>
          </w:pPr>
          <w:hyperlink w:history="true" w:anchor="_bookmark63">
            <w:r>
              <w:rPr/>
              <w:t>CONSEQUENCES OF POST-ET1 CONCILIATION AND FUTURE</w:t>
            </w:r>
          </w:hyperlink>
          <w:r>
            <w:rPr/>
            <w:t> </w:t>
          </w:r>
          <w:hyperlink w:history="true" w:anchor="_bookmark63">
            <w:r>
              <w:rPr/>
              <w:t>AC</w:t>
            </w:r>
          </w:hyperlink>
          <w:hyperlink w:history="true" w:anchor="_bookmark63">
            <w:r>
              <w:rPr/>
              <w:t>AS</w:t>
            </w:r>
            <w:r>
              <w:rPr>
                <w:spacing w:val="-8"/>
              </w:rPr>
              <w:t> </w:t>
            </w:r>
            <w:r>
              <w:rPr>
                <w:spacing w:val="-2"/>
              </w:rPr>
              <w:t>USAGE</w:t>
            </w:r>
            <w:r>
              <w:rPr/>
              <w:tab/>
            </w:r>
            <w:r>
              <w:rPr>
                <w:spacing w:val="-5"/>
              </w:rPr>
              <w:t>12</w:t>
            </w:r>
            <w:r>
              <w:rPr>
                <w:spacing w:val="-5"/>
              </w:rPr>
              <w:t>2</w:t>
            </w:r>
          </w:hyperlink>
        </w:p>
        <w:p>
          <w:pPr>
            <w:pStyle w:val="TOC2"/>
            <w:numPr>
              <w:ilvl w:val="1"/>
              <w:numId w:val="1"/>
            </w:numPr>
            <w:tabs>
              <w:tab w:pos="1997" w:val="left" w:leader="none"/>
              <w:tab w:pos="1998" w:val="left" w:leader="none"/>
              <w:tab w:pos="9257" w:val="left" w:leader="dot"/>
            </w:tabs>
            <w:spacing w:line="240" w:lineRule="auto" w:before="97" w:after="0"/>
            <w:ind w:left="1997" w:right="0" w:hanging="661"/>
            <w:jc w:val="left"/>
          </w:pPr>
          <w:hyperlink w:history="true" w:anchor="_bookmark64">
            <w:r>
              <w:rPr/>
              <w:t>Provision</w:t>
            </w:r>
            <w:r>
              <w:rPr>
                <w:spacing w:val="-4"/>
              </w:rPr>
              <w:t> </w:t>
            </w:r>
            <w:r>
              <w:rPr/>
              <w:t>of</w:t>
            </w:r>
            <w:r>
              <w:rPr>
                <w:spacing w:val="-3"/>
              </w:rPr>
              <w:t> </w:t>
            </w:r>
            <w:r>
              <w:rPr/>
              <w:t>information</w:t>
            </w:r>
            <w:r>
              <w:rPr>
                <w:spacing w:val="-3"/>
              </w:rPr>
              <w:t> </w:t>
            </w:r>
            <w:r>
              <w:rPr/>
              <w:t>by</w:t>
            </w:r>
            <w:r>
              <w:rPr>
                <w:spacing w:val="-4"/>
              </w:rPr>
              <w:t> </w:t>
            </w:r>
            <w:r>
              <w:rPr/>
              <w:t>the</w:t>
            </w:r>
            <w:r>
              <w:rPr>
                <w:spacing w:val="-4"/>
              </w:rPr>
              <w:t> </w:t>
            </w:r>
            <w:r>
              <w:rPr>
                <w:spacing w:val="-2"/>
              </w:rPr>
              <w:t>conciliator</w:t>
            </w:r>
            <w:r>
              <w:rPr/>
              <w:tab/>
            </w:r>
            <w:r>
              <w:rPr>
                <w:spacing w:val="-5"/>
              </w:rPr>
              <w:t>122</w:t>
            </w:r>
          </w:hyperlink>
        </w:p>
        <w:p>
          <w:pPr>
            <w:pStyle w:val="TOC2"/>
            <w:numPr>
              <w:ilvl w:val="1"/>
              <w:numId w:val="1"/>
            </w:numPr>
            <w:tabs>
              <w:tab w:pos="1997" w:val="left" w:leader="none"/>
              <w:tab w:pos="1998" w:val="left" w:leader="none"/>
              <w:tab w:pos="9257" w:val="left" w:leader="dot"/>
            </w:tabs>
            <w:spacing w:line="240" w:lineRule="auto" w:before="18" w:after="0"/>
            <w:ind w:left="1997" w:right="0" w:hanging="661"/>
            <w:jc w:val="left"/>
          </w:pPr>
          <w:hyperlink w:history="true" w:anchor="_bookmark65">
            <w:r>
              <w:rPr/>
              <w:t>Implementation</w:t>
            </w:r>
            <w:r>
              <w:rPr>
                <w:spacing w:val="-4"/>
              </w:rPr>
              <w:t> </w:t>
            </w:r>
            <w:r>
              <w:rPr/>
              <w:t>of</w:t>
            </w:r>
            <w:r>
              <w:rPr>
                <w:spacing w:val="-4"/>
              </w:rPr>
              <w:t> </w:t>
            </w:r>
            <w:r>
              <w:rPr/>
              <w:t>new</w:t>
            </w:r>
            <w:r>
              <w:rPr>
                <w:spacing w:val="-4"/>
              </w:rPr>
              <w:t> </w:t>
            </w:r>
            <w:r>
              <w:rPr>
                <w:spacing w:val="-2"/>
              </w:rPr>
              <w:t>procedures</w:t>
            </w:r>
            <w:r>
              <w:rPr/>
              <w:tab/>
            </w:r>
            <w:r>
              <w:rPr>
                <w:spacing w:val="-5"/>
              </w:rPr>
              <w:t>123</w:t>
            </w:r>
          </w:hyperlink>
        </w:p>
        <w:p>
          <w:pPr>
            <w:pStyle w:val="TOC2"/>
            <w:numPr>
              <w:ilvl w:val="1"/>
              <w:numId w:val="1"/>
            </w:numPr>
            <w:tabs>
              <w:tab w:pos="1997" w:val="left" w:leader="none"/>
              <w:tab w:pos="1998" w:val="left" w:leader="none"/>
              <w:tab w:pos="9257" w:val="left" w:leader="dot"/>
            </w:tabs>
            <w:spacing w:line="240" w:lineRule="auto" w:before="16" w:after="0"/>
            <w:ind w:left="1997" w:right="0" w:hanging="661"/>
            <w:jc w:val="left"/>
          </w:pPr>
          <w:hyperlink w:history="true" w:anchor="_bookmark66">
            <w:r>
              <w:rPr/>
              <w:t>Future</w:t>
            </w:r>
            <w:r>
              <w:rPr>
                <w:spacing w:val="-4"/>
              </w:rPr>
              <w:t> </w:t>
            </w:r>
            <w:r>
              <w:rPr/>
              <w:t>use</w:t>
            </w:r>
            <w:r>
              <w:rPr>
                <w:spacing w:val="-4"/>
              </w:rPr>
              <w:t> </w:t>
            </w:r>
            <w:r>
              <w:rPr/>
              <w:t>of</w:t>
            </w:r>
            <w:r>
              <w:rPr>
                <w:spacing w:val="-2"/>
              </w:rPr>
              <w:t> </w:t>
            </w:r>
            <w:r>
              <w:rPr/>
              <w:t>Acas</w:t>
            </w:r>
            <w:r>
              <w:rPr>
                <w:spacing w:val="-3"/>
              </w:rPr>
              <w:t> </w:t>
            </w:r>
            <w:r>
              <w:rPr/>
              <w:t>conciliation</w:t>
            </w:r>
            <w:r>
              <w:rPr>
                <w:spacing w:val="-2"/>
              </w:rPr>
              <w:t> services</w:t>
            </w:r>
            <w:r>
              <w:rPr/>
              <w:tab/>
            </w:r>
            <w:r>
              <w:rPr>
                <w:spacing w:val="-5"/>
              </w:rPr>
              <w:t>123</w:t>
            </w:r>
          </w:hyperlink>
        </w:p>
        <w:p>
          <w:pPr>
            <w:pStyle w:val="TOC1"/>
            <w:numPr>
              <w:ilvl w:val="0"/>
              <w:numId w:val="1"/>
            </w:numPr>
            <w:tabs>
              <w:tab w:pos="1779" w:val="left" w:leader="none"/>
              <w:tab w:pos="9169" w:val="left" w:leader="dot"/>
            </w:tabs>
            <w:spacing w:line="240" w:lineRule="auto" w:before="200" w:after="0"/>
            <w:ind w:left="1337" w:right="1486" w:firstLine="0"/>
            <w:jc w:val="left"/>
          </w:pPr>
          <w:hyperlink w:history="true" w:anchor="_TOC_250000">
            <w:r>
              <w:rPr/>
              <w:t>ACAS INDIVIDUAL CONCILIATION 2019 – CONCLUSIONS ACROSS</w:t>
            </w:r>
            <w:r>
              <w:rPr>
                <w:spacing w:val="-10"/>
              </w:rPr>
              <w:t> </w:t>
            </w:r>
            <w:r>
              <w:rPr/>
              <w:t>BOTH</w:t>
            </w:r>
            <w:r>
              <w:rPr>
                <w:spacing w:val="-10"/>
              </w:rPr>
              <w:t> </w:t>
            </w:r>
            <w:r>
              <w:rPr>
                <w:spacing w:val="-2"/>
              </w:rPr>
              <w:t>EVALUATIONS</w:t>
            </w:r>
            <w:r>
              <w:rPr/>
              <w:tab/>
            </w:r>
            <w:r>
              <w:rPr>
                <w:spacing w:val="-5"/>
              </w:rPr>
              <w:t>12</w:t>
            </w:r>
            <w:r>
              <w:rPr>
                <w:spacing w:val="-5"/>
              </w:rPr>
              <w:t>6</w:t>
            </w:r>
          </w:hyperlink>
        </w:p>
        <w:p>
          <w:pPr>
            <w:pStyle w:val="TOC1"/>
            <w:numPr>
              <w:ilvl w:val="0"/>
              <w:numId w:val="1"/>
            </w:numPr>
            <w:tabs>
              <w:tab w:pos="1779" w:val="left" w:leader="none"/>
              <w:tab w:pos="9169" w:val="left" w:leader="dot"/>
            </w:tabs>
            <w:spacing w:line="240" w:lineRule="auto" w:before="200" w:after="0"/>
            <w:ind w:left="1778" w:right="0" w:hanging="442"/>
            <w:jc w:val="left"/>
          </w:pPr>
          <w:hyperlink w:history="true" w:anchor="_bookmark67">
            <w:r>
              <w:rPr>
                <w:spacing w:val="-2"/>
              </w:rPr>
              <w:t>ENDNOTES</w:t>
            </w:r>
            <w:r>
              <w:rPr/>
              <w:tab/>
            </w:r>
            <w:r>
              <w:rPr>
                <w:spacing w:val="-5"/>
              </w:rPr>
              <w:t>132</w:t>
            </w:r>
          </w:hyperlink>
        </w:p>
      </w:sdtContent>
    </w:sdt>
    <w:p>
      <w:pPr>
        <w:spacing w:after="0" w:line="240" w:lineRule="auto"/>
        <w:jc w:val="left"/>
        <w:sectPr>
          <w:type w:val="continuous"/>
          <w:pgSz w:w="11910" w:h="16840"/>
          <w:pgMar w:header="0" w:footer="996" w:top="1379" w:bottom="1563" w:left="460" w:right="320"/>
        </w:sectPr>
      </w:pPr>
    </w:p>
    <w:p>
      <w:pPr>
        <w:pStyle w:val="Heading2"/>
        <w:numPr>
          <w:ilvl w:val="0"/>
          <w:numId w:val="2"/>
        </w:numPr>
        <w:tabs>
          <w:tab w:pos="1696" w:val="left" w:leader="none"/>
        </w:tabs>
        <w:spacing w:line="240" w:lineRule="auto" w:before="82" w:after="0"/>
        <w:ind w:left="1695" w:right="0" w:hanging="359"/>
        <w:jc w:val="left"/>
      </w:pPr>
      <w:bookmarkStart w:name="1. PREFACE" w:id="1"/>
      <w:bookmarkEnd w:id="1"/>
      <w:r>
        <w:rPr>
          <w:b w:val="0"/>
        </w:rPr>
      </w:r>
      <w:bookmarkStart w:name="_bookmark0" w:id="2"/>
      <w:bookmarkEnd w:id="2"/>
      <w:r>
        <w:rPr>
          <w:spacing w:val="-2"/>
        </w:rPr>
        <w:t>P</w:t>
      </w:r>
      <w:r>
        <w:rPr>
          <w:spacing w:val="-2"/>
        </w:rPr>
        <w:t>REFACE</w:t>
      </w:r>
    </w:p>
    <w:p>
      <w:pPr>
        <w:pStyle w:val="BodyText"/>
        <w:rPr>
          <w:b/>
          <w:sz w:val="34"/>
        </w:rPr>
      </w:pPr>
    </w:p>
    <w:p>
      <w:pPr>
        <w:pStyle w:val="BodyText"/>
        <w:spacing w:line="256" w:lineRule="auto" w:before="227"/>
        <w:ind w:left="1337" w:right="1473"/>
        <w:jc w:val="both"/>
      </w:pPr>
      <w:r>
        <w:rPr/>
        <w:t>This report details the outcomes of two evaluations, covering the services Acas offers</w:t>
      </w:r>
      <w:r>
        <w:rPr>
          <w:spacing w:val="-8"/>
        </w:rPr>
        <w:t> </w:t>
      </w:r>
      <w:r>
        <w:rPr/>
        <w:t>users</w:t>
      </w:r>
      <w:r>
        <w:rPr>
          <w:spacing w:val="-9"/>
        </w:rPr>
        <w:t> </w:t>
      </w:r>
      <w:r>
        <w:rPr/>
        <w:t>of</w:t>
      </w:r>
      <w:r>
        <w:rPr>
          <w:spacing w:val="-8"/>
        </w:rPr>
        <w:t> </w:t>
      </w:r>
      <w:r>
        <w:rPr/>
        <w:t>its</w:t>
      </w:r>
      <w:r>
        <w:rPr>
          <w:spacing w:val="-8"/>
        </w:rPr>
        <w:t> </w:t>
      </w:r>
      <w:r>
        <w:rPr/>
        <w:t>Individual</w:t>
      </w:r>
      <w:r>
        <w:rPr>
          <w:spacing w:val="-9"/>
        </w:rPr>
        <w:t> </w:t>
      </w:r>
      <w:r>
        <w:rPr/>
        <w:t>Conciliation</w:t>
      </w:r>
      <w:r>
        <w:rPr>
          <w:spacing w:val="-7"/>
        </w:rPr>
        <w:t> </w:t>
      </w:r>
      <w:r>
        <w:rPr/>
        <w:t>service</w:t>
      </w:r>
      <w:r>
        <w:rPr>
          <w:spacing w:val="-9"/>
        </w:rPr>
        <w:t> </w:t>
      </w:r>
      <w:r>
        <w:rPr/>
        <w:t>–</w:t>
      </w:r>
      <w:r>
        <w:rPr>
          <w:spacing w:val="-8"/>
        </w:rPr>
        <w:t> </w:t>
      </w:r>
      <w:r>
        <w:rPr/>
        <w:t>Early</w:t>
      </w:r>
      <w:r>
        <w:rPr>
          <w:spacing w:val="-8"/>
        </w:rPr>
        <w:t> </w:t>
      </w:r>
      <w:r>
        <w:rPr/>
        <w:t>Conciliation</w:t>
      </w:r>
      <w:r>
        <w:rPr>
          <w:spacing w:val="-7"/>
        </w:rPr>
        <w:t> </w:t>
      </w:r>
      <w:r>
        <w:rPr/>
        <w:t>(EC)</w:t>
      </w:r>
      <w:r>
        <w:rPr>
          <w:spacing w:val="-8"/>
        </w:rPr>
        <w:t> </w:t>
      </w:r>
      <w:r>
        <w:rPr/>
        <w:t>and</w:t>
      </w:r>
      <w:r>
        <w:rPr>
          <w:spacing w:val="-8"/>
        </w:rPr>
        <w:t> </w:t>
      </w:r>
      <w:r>
        <w:rPr/>
        <w:t>post- ET1</w:t>
      </w:r>
      <w:r>
        <w:rPr>
          <w:spacing w:val="-6"/>
        </w:rPr>
        <w:t> </w:t>
      </w:r>
      <w:r>
        <w:rPr/>
        <w:t>Conciliation.</w:t>
      </w:r>
      <w:r>
        <w:rPr>
          <w:spacing w:val="-4"/>
        </w:rPr>
        <w:t> </w:t>
      </w:r>
      <w:r>
        <w:rPr/>
        <w:t>The</w:t>
      </w:r>
      <w:r>
        <w:rPr>
          <w:spacing w:val="-5"/>
        </w:rPr>
        <w:t> </w:t>
      </w:r>
      <w:r>
        <w:rPr/>
        <w:t>surveys</w:t>
      </w:r>
      <w:r>
        <w:rPr>
          <w:spacing w:val="-4"/>
        </w:rPr>
        <w:t> </w:t>
      </w:r>
      <w:r>
        <w:rPr/>
        <w:t>are</w:t>
      </w:r>
      <w:r>
        <w:rPr>
          <w:spacing w:val="-6"/>
        </w:rPr>
        <w:t> </w:t>
      </w:r>
      <w:r>
        <w:rPr/>
        <w:t>the</w:t>
      </w:r>
      <w:r>
        <w:rPr>
          <w:spacing w:val="-5"/>
        </w:rPr>
        <w:t> </w:t>
      </w:r>
      <w:r>
        <w:rPr/>
        <w:t>second</w:t>
      </w:r>
      <w:r>
        <w:rPr>
          <w:spacing w:val="-5"/>
        </w:rPr>
        <w:t> </w:t>
      </w:r>
      <w:r>
        <w:rPr/>
        <w:t>wave</w:t>
      </w:r>
      <w:r>
        <w:rPr>
          <w:spacing w:val="-5"/>
        </w:rPr>
        <w:t> </w:t>
      </w:r>
      <w:r>
        <w:rPr/>
        <w:t>of</w:t>
      </w:r>
      <w:r>
        <w:rPr>
          <w:spacing w:val="-5"/>
        </w:rPr>
        <w:t> </w:t>
      </w:r>
      <w:r>
        <w:rPr/>
        <w:t>service</w:t>
      </w:r>
      <w:r>
        <w:rPr>
          <w:spacing w:val="-5"/>
        </w:rPr>
        <w:t> </w:t>
      </w:r>
      <w:r>
        <w:rPr/>
        <w:t>evaluations,</w:t>
      </w:r>
      <w:r>
        <w:rPr>
          <w:spacing w:val="-5"/>
        </w:rPr>
        <w:t> </w:t>
      </w:r>
      <w:r>
        <w:rPr/>
        <w:t>with</w:t>
      </w:r>
      <w:r>
        <w:rPr>
          <w:spacing w:val="-5"/>
        </w:rPr>
        <w:t> </w:t>
      </w:r>
      <w:r>
        <w:rPr/>
        <w:t>the first</w:t>
      </w:r>
      <w:r>
        <w:rPr>
          <w:spacing w:val="-16"/>
        </w:rPr>
        <w:t> </w:t>
      </w:r>
      <w:r>
        <w:rPr/>
        <w:t>wave</w:t>
      </w:r>
      <w:r>
        <w:rPr>
          <w:spacing w:val="-16"/>
        </w:rPr>
        <w:t> </w:t>
      </w:r>
      <w:r>
        <w:rPr/>
        <w:t>of</w:t>
      </w:r>
      <w:r>
        <w:rPr>
          <w:spacing w:val="-16"/>
        </w:rPr>
        <w:t> </w:t>
      </w:r>
      <w:r>
        <w:rPr/>
        <w:t>the</w:t>
      </w:r>
      <w:r>
        <w:rPr>
          <w:spacing w:val="-17"/>
        </w:rPr>
        <w:t> </w:t>
      </w:r>
      <w:r>
        <w:rPr/>
        <w:t>EC</w:t>
      </w:r>
      <w:r>
        <w:rPr>
          <w:spacing w:val="-16"/>
        </w:rPr>
        <w:t> </w:t>
      </w:r>
      <w:r>
        <w:rPr/>
        <w:t>survey</w:t>
      </w:r>
      <w:r>
        <w:rPr>
          <w:spacing w:val="-16"/>
        </w:rPr>
        <w:t> </w:t>
      </w:r>
      <w:r>
        <w:rPr/>
        <w:t>conducted</w:t>
      </w:r>
      <w:r>
        <w:rPr>
          <w:spacing w:val="-16"/>
        </w:rPr>
        <w:t> </w:t>
      </w:r>
      <w:r>
        <w:rPr/>
        <w:t>in</w:t>
      </w:r>
      <w:r>
        <w:rPr>
          <w:spacing w:val="-16"/>
        </w:rPr>
        <w:t> </w:t>
      </w:r>
      <w:r>
        <w:rPr/>
        <w:t>2015</w:t>
      </w:r>
      <w:r>
        <w:rPr>
          <w:spacing w:val="-16"/>
        </w:rPr>
        <w:t> </w:t>
      </w:r>
      <w:r>
        <w:rPr/>
        <w:t>and</w:t>
      </w:r>
      <w:r>
        <w:rPr>
          <w:spacing w:val="-16"/>
        </w:rPr>
        <w:t> </w:t>
      </w:r>
      <w:r>
        <w:rPr/>
        <w:t>the</w:t>
      </w:r>
      <w:r>
        <w:rPr>
          <w:spacing w:val="-17"/>
        </w:rPr>
        <w:t> </w:t>
      </w:r>
      <w:r>
        <w:rPr/>
        <w:t>first</w:t>
      </w:r>
      <w:r>
        <w:rPr>
          <w:spacing w:val="-16"/>
        </w:rPr>
        <w:t> </w:t>
      </w:r>
      <w:r>
        <w:rPr/>
        <w:t>wave</w:t>
      </w:r>
      <w:r>
        <w:rPr>
          <w:spacing w:val="-16"/>
        </w:rPr>
        <w:t> </w:t>
      </w:r>
      <w:r>
        <w:rPr/>
        <w:t>of</w:t>
      </w:r>
      <w:r>
        <w:rPr>
          <w:spacing w:val="-16"/>
        </w:rPr>
        <w:t> </w:t>
      </w:r>
      <w:r>
        <w:rPr/>
        <w:t>post-ET1</w:t>
      </w:r>
      <w:r>
        <w:rPr>
          <w:spacing w:val="-16"/>
        </w:rPr>
        <w:t> </w:t>
      </w:r>
      <w:r>
        <w:rPr/>
        <w:t>survey carried out during 2016.</w:t>
      </w:r>
    </w:p>
    <w:p>
      <w:pPr>
        <w:pStyle w:val="BodyText"/>
        <w:spacing w:before="4"/>
        <w:rPr>
          <w:sz w:val="21"/>
        </w:rPr>
      </w:pPr>
    </w:p>
    <w:p>
      <w:pPr>
        <w:pStyle w:val="BodyText"/>
        <w:spacing w:line="256" w:lineRule="auto"/>
        <w:ind w:left="1337" w:right="1473"/>
        <w:jc w:val="both"/>
      </w:pPr>
      <w:r>
        <w:rPr/>
        <w:t>Both</w:t>
      </w:r>
      <w:r>
        <w:rPr>
          <w:spacing w:val="-3"/>
        </w:rPr>
        <w:t> </w:t>
      </w:r>
      <w:r>
        <w:rPr/>
        <w:t>surveys</w:t>
      </w:r>
      <w:r>
        <w:rPr>
          <w:spacing w:val="-3"/>
        </w:rPr>
        <w:t> </w:t>
      </w:r>
      <w:r>
        <w:rPr/>
        <w:t>cover</w:t>
      </w:r>
      <w:r>
        <w:rPr>
          <w:spacing w:val="-3"/>
        </w:rPr>
        <w:t> </w:t>
      </w:r>
      <w:r>
        <w:rPr/>
        <w:t>user</w:t>
      </w:r>
      <w:r>
        <w:rPr>
          <w:spacing w:val="-3"/>
        </w:rPr>
        <w:t> </w:t>
      </w:r>
      <w:r>
        <w:rPr/>
        <w:t>views</w:t>
      </w:r>
      <w:r>
        <w:rPr>
          <w:spacing w:val="-3"/>
        </w:rPr>
        <w:t> </w:t>
      </w:r>
      <w:r>
        <w:rPr/>
        <w:t>of</w:t>
      </w:r>
      <w:r>
        <w:rPr>
          <w:spacing w:val="-3"/>
        </w:rPr>
        <w:t> </w:t>
      </w:r>
      <w:r>
        <w:rPr/>
        <w:t>the</w:t>
      </w:r>
      <w:r>
        <w:rPr>
          <w:spacing w:val="-4"/>
        </w:rPr>
        <w:t> </w:t>
      </w:r>
      <w:r>
        <w:rPr/>
        <w:t>services,</w:t>
      </w:r>
      <w:r>
        <w:rPr>
          <w:spacing w:val="-2"/>
        </w:rPr>
        <w:t> </w:t>
      </w:r>
      <w:r>
        <w:rPr/>
        <w:t>including</w:t>
      </w:r>
      <w:r>
        <w:rPr>
          <w:spacing w:val="-2"/>
        </w:rPr>
        <w:t> </w:t>
      </w:r>
      <w:r>
        <w:rPr/>
        <w:t>experience</w:t>
      </w:r>
      <w:r>
        <w:rPr>
          <w:spacing w:val="-3"/>
        </w:rPr>
        <w:t> </w:t>
      </w:r>
      <w:r>
        <w:rPr/>
        <w:t>of</w:t>
      </w:r>
      <w:r>
        <w:rPr>
          <w:spacing w:val="-3"/>
        </w:rPr>
        <w:t> </w:t>
      </w:r>
      <w:r>
        <w:rPr/>
        <w:t>the</w:t>
      </w:r>
      <w:r>
        <w:rPr>
          <w:spacing w:val="-5"/>
        </w:rPr>
        <w:t> </w:t>
      </w:r>
      <w:r>
        <w:rPr/>
        <w:t>service, views</w:t>
      </w:r>
      <w:r>
        <w:rPr>
          <w:spacing w:val="-5"/>
        </w:rPr>
        <w:t> </w:t>
      </w:r>
      <w:r>
        <w:rPr/>
        <w:t>of</w:t>
      </w:r>
      <w:r>
        <w:rPr>
          <w:spacing w:val="-5"/>
        </w:rPr>
        <w:t> </w:t>
      </w:r>
      <w:r>
        <w:rPr/>
        <w:t>the</w:t>
      </w:r>
      <w:r>
        <w:rPr>
          <w:spacing w:val="-7"/>
        </w:rPr>
        <w:t> </w:t>
      </w:r>
      <w:r>
        <w:rPr/>
        <w:t>conciliators,</w:t>
      </w:r>
      <w:r>
        <w:rPr>
          <w:spacing w:val="-5"/>
        </w:rPr>
        <w:t> </w:t>
      </w:r>
      <w:r>
        <w:rPr/>
        <w:t>satisfaction</w:t>
      </w:r>
      <w:r>
        <w:rPr>
          <w:spacing w:val="-6"/>
        </w:rPr>
        <w:t> </w:t>
      </w:r>
      <w:r>
        <w:rPr/>
        <w:t>with</w:t>
      </w:r>
      <w:r>
        <w:rPr>
          <w:spacing w:val="-5"/>
        </w:rPr>
        <w:t> </w:t>
      </w:r>
      <w:r>
        <w:rPr/>
        <w:t>the</w:t>
      </w:r>
      <w:r>
        <w:rPr>
          <w:spacing w:val="-6"/>
        </w:rPr>
        <w:t> </w:t>
      </w:r>
      <w:r>
        <w:rPr/>
        <w:t>service</w:t>
      </w:r>
      <w:r>
        <w:rPr>
          <w:spacing w:val="-6"/>
        </w:rPr>
        <w:t> </w:t>
      </w:r>
      <w:r>
        <w:rPr/>
        <w:t>received,</w:t>
      </w:r>
      <w:r>
        <w:rPr>
          <w:spacing w:val="-5"/>
        </w:rPr>
        <w:t> </w:t>
      </w:r>
      <w:r>
        <w:rPr/>
        <w:t>the</w:t>
      </w:r>
      <w:r>
        <w:rPr>
          <w:spacing w:val="-6"/>
        </w:rPr>
        <w:t> </w:t>
      </w:r>
      <w:r>
        <w:rPr/>
        <w:t>outcome</w:t>
      </w:r>
      <w:r>
        <w:rPr>
          <w:spacing w:val="-6"/>
        </w:rPr>
        <w:t> </w:t>
      </w:r>
      <w:r>
        <w:rPr/>
        <w:t>of</w:t>
      </w:r>
      <w:r>
        <w:rPr>
          <w:spacing w:val="-5"/>
        </w:rPr>
        <w:t> </w:t>
      </w:r>
      <w:r>
        <w:rPr/>
        <w:t>the case</w:t>
      </w:r>
      <w:r>
        <w:rPr>
          <w:spacing w:val="-18"/>
        </w:rPr>
        <w:t> </w:t>
      </w:r>
      <w:r>
        <w:rPr/>
        <w:t>and</w:t>
      </w:r>
      <w:r>
        <w:rPr>
          <w:spacing w:val="-18"/>
        </w:rPr>
        <w:t> </w:t>
      </w:r>
      <w:r>
        <w:rPr/>
        <w:t>likelihood</w:t>
      </w:r>
      <w:r>
        <w:rPr>
          <w:spacing w:val="-17"/>
        </w:rPr>
        <w:t> </w:t>
      </w:r>
      <w:r>
        <w:rPr/>
        <w:t>to</w:t>
      </w:r>
      <w:r>
        <w:rPr>
          <w:spacing w:val="-18"/>
        </w:rPr>
        <w:t> </w:t>
      </w:r>
      <w:r>
        <w:rPr/>
        <w:t>use</w:t>
      </w:r>
      <w:r>
        <w:rPr>
          <w:spacing w:val="-17"/>
        </w:rPr>
        <w:t> </w:t>
      </w:r>
      <w:r>
        <w:rPr/>
        <w:t>the</w:t>
      </w:r>
      <w:r>
        <w:rPr>
          <w:spacing w:val="-18"/>
        </w:rPr>
        <w:t> </w:t>
      </w:r>
      <w:r>
        <w:rPr/>
        <w:t>service</w:t>
      </w:r>
      <w:r>
        <w:rPr>
          <w:spacing w:val="-18"/>
        </w:rPr>
        <w:t> </w:t>
      </w:r>
      <w:r>
        <w:rPr/>
        <w:t>again</w:t>
      </w:r>
      <w:r>
        <w:rPr>
          <w:spacing w:val="-17"/>
        </w:rPr>
        <w:t> </w:t>
      </w:r>
      <w:r>
        <w:rPr/>
        <w:t>in</w:t>
      </w:r>
      <w:r>
        <w:rPr>
          <w:spacing w:val="-18"/>
        </w:rPr>
        <w:t> </w:t>
      </w:r>
      <w:r>
        <w:rPr/>
        <w:t>the</w:t>
      </w:r>
      <w:r>
        <w:rPr>
          <w:spacing w:val="-17"/>
        </w:rPr>
        <w:t> </w:t>
      </w:r>
      <w:r>
        <w:rPr/>
        <w:t>future.</w:t>
      </w:r>
      <w:r>
        <w:rPr>
          <w:spacing w:val="-18"/>
        </w:rPr>
        <w:t> </w:t>
      </w:r>
      <w:r>
        <w:rPr/>
        <w:t>Fieldwork</w:t>
      </w:r>
      <w:r>
        <w:rPr>
          <w:spacing w:val="-17"/>
        </w:rPr>
        <w:t> </w:t>
      </w:r>
      <w:r>
        <w:rPr/>
        <w:t>for</w:t>
      </w:r>
      <w:r>
        <w:rPr>
          <w:spacing w:val="-18"/>
        </w:rPr>
        <w:t> </w:t>
      </w:r>
      <w:r>
        <w:rPr/>
        <w:t>both</w:t>
      </w:r>
      <w:r>
        <w:rPr>
          <w:spacing w:val="-18"/>
        </w:rPr>
        <w:t> </w:t>
      </w:r>
      <w:r>
        <w:rPr/>
        <w:t>surveys was carried out in 2019 and data in both cases is weighted to reflect the overall population of cases recorded in Acas’ management information. Full details for fieldwork and weighting can be found in the technical report.</w:t>
      </w:r>
    </w:p>
    <w:p>
      <w:pPr>
        <w:pStyle w:val="BodyText"/>
        <w:spacing w:before="11"/>
        <w:rPr>
          <w:sz w:val="19"/>
        </w:rPr>
      </w:pPr>
    </w:p>
    <w:p>
      <w:pPr>
        <w:pStyle w:val="BodyText"/>
        <w:spacing w:before="1"/>
        <w:ind w:left="1337" w:right="1474"/>
        <w:jc w:val="both"/>
      </w:pPr>
      <w:r>
        <w:rPr/>
        <w:t>Throughout the report reference is made to ‘claimant-side’ and ‘employer-side’ participants. This should be interpreted as the total sample of claimants and their representatives, or employers and their representatives, combined unless otherwise stated.</w:t>
      </w:r>
    </w:p>
    <w:p>
      <w:pPr>
        <w:pStyle w:val="BodyText"/>
      </w:pPr>
    </w:p>
    <w:p>
      <w:pPr>
        <w:pStyle w:val="BodyText"/>
        <w:ind w:left="1336" w:right="1473"/>
        <w:jc w:val="both"/>
      </w:pPr>
      <w:r>
        <w:rPr/>
        <w:t>Typically, results are reported only where they are ‘statistically significant’ – that is, the</w:t>
      </w:r>
      <w:r>
        <w:rPr>
          <w:spacing w:val="-1"/>
        </w:rPr>
        <w:t> </w:t>
      </w:r>
      <w:r>
        <w:rPr/>
        <w:t>difference</w:t>
      </w:r>
      <w:r>
        <w:rPr>
          <w:spacing w:val="-1"/>
        </w:rPr>
        <w:t> </w:t>
      </w:r>
      <w:r>
        <w:rPr/>
        <w:t>between</w:t>
      </w:r>
      <w:r>
        <w:rPr>
          <w:spacing w:val="-1"/>
        </w:rPr>
        <w:t> </w:t>
      </w:r>
      <w:r>
        <w:rPr/>
        <w:t>the</w:t>
      </w:r>
      <w:r>
        <w:rPr>
          <w:spacing w:val="-1"/>
        </w:rPr>
        <w:t> </w:t>
      </w:r>
      <w:r>
        <w:rPr/>
        <w:t>two</w:t>
      </w:r>
      <w:r>
        <w:rPr>
          <w:spacing w:val="-1"/>
        </w:rPr>
        <w:t> </w:t>
      </w:r>
      <w:r>
        <w:rPr/>
        <w:t>figures</w:t>
      </w:r>
      <w:r>
        <w:rPr>
          <w:spacing w:val="-1"/>
        </w:rPr>
        <w:t> </w:t>
      </w:r>
      <w:r>
        <w:rPr/>
        <w:t>is large</w:t>
      </w:r>
      <w:r>
        <w:rPr>
          <w:spacing w:val="-1"/>
        </w:rPr>
        <w:t> </w:t>
      </w:r>
      <w:r>
        <w:rPr/>
        <w:t>enough that</w:t>
      </w:r>
      <w:r>
        <w:rPr>
          <w:spacing w:val="-1"/>
        </w:rPr>
        <w:t> </w:t>
      </w:r>
      <w:r>
        <w:rPr/>
        <w:t>it</w:t>
      </w:r>
      <w:r>
        <w:rPr>
          <w:spacing w:val="-1"/>
        </w:rPr>
        <w:t> </w:t>
      </w:r>
      <w:r>
        <w:rPr/>
        <w:t>is</w:t>
      </w:r>
      <w:r>
        <w:rPr>
          <w:spacing w:val="-1"/>
        </w:rPr>
        <w:t> </w:t>
      </w:r>
      <w:r>
        <w:rPr/>
        <w:t>possible to</w:t>
      </w:r>
      <w:r>
        <w:rPr>
          <w:spacing w:val="-1"/>
        </w:rPr>
        <w:t> </w:t>
      </w:r>
      <w:r>
        <w:rPr/>
        <w:t>say that</w:t>
      </w:r>
      <w:r>
        <w:rPr>
          <w:spacing w:val="-16"/>
        </w:rPr>
        <w:t> </w:t>
      </w:r>
      <w:r>
        <w:rPr/>
        <w:t>this</w:t>
      </w:r>
      <w:r>
        <w:rPr>
          <w:spacing w:val="-15"/>
        </w:rPr>
        <w:t> </w:t>
      </w:r>
      <w:r>
        <w:rPr/>
        <w:t>difference</w:t>
      </w:r>
      <w:r>
        <w:rPr>
          <w:spacing w:val="-15"/>
        </w:rPr>
        <w:t> </w:t>
      </w:r>
      <w:r>
        <w:rPr/>
        <w:t>is</w:t>
      </w:r>
      <w:r>
        <w:rPr>
          <w:spacing w:val="-15"/>
        </w:rPr>
        <w:t> </w:t>
      </w:r>
      <w:r>
        <w:rPr/>
        <w:t>also</w:t>
      </w:r>
      <w:r>
        <w:rPr>
          <w:spacing w:val="-16"/>
        </w:rPr>
        <w:t> </w:t>
      </w:r>
      <w:r>
        <w:rPr/>
        <w:t>highly</w:t>
      </w:r>
      <w:r>
        <w:rPr>
          <w:spacing w:val="-15"/>
        </w:rPr>
        <w:t> </w:t>
      </w:r>
      <w:r>
        <w:rPr/>
        <w:t>likely</w:t>
      </w:r>
      <w:r>
        <w:rPr>
          <w:spacing w:val="-15"/>
        </w:rPr>
        <w:t> </w:t>
      </w:r>
      <w:r>
        <w:rPr/>
        <w:t>to</w:t>
      </w:r>
      <w:r>
        <w:rPr>
          <w:spacing w:val="-15"/>
        </w:rPr>
        <w:t> </w:t>
      </w:r>
      <w:r>
        <w:rPr/>
        <w:t>exist</w:t>
      </w:r>
      <w:r>
        <w:rPr>
          <w:spacing w:val="-16"/>
        </w:rPr>
        <w:t> </w:t>
      </w:r>
      <w:r>
        <w:rPr/>
        <w:t>in</w:t>
      </w:r>
      <w:r>
        <w:rPr>
          <w:spacing w:val="-16"/>
        </w:rPr>
        <w:t> </w:t>
      </w:r>
      <w:r>
        <w:rPr/>
        <w:t>the</w:t>
      </w:r>
      <w:r>
        <w:rPr>
          <w:spacing w:val="-16"/>
        </w:rPr>
        <w:t> </w:t>
      </w:r>
      <w:r>
        <w:rPr/>
        <w:t>wider</w:t>
      </w:r>
      <w:r>
        <w:rPr>
          <w:spacing w:val="-15"/>
        </w:rPr>
        <w:t> </w:t>
      </w:r>
      <w:r>
        <w:rPr/>
        <w:t>population.</w:t>
      </w:r>
      <w:r>
        <w:rPr>
          <w:spacing w:val="-15"/>
        </w:rPr>
        <w:t> </w:t>
      </w:r>
      <w:r>
        <w:rPr/>
        <w:t>This</w:t>
      </w:r>
      <w:r>
        <w:rPr>
          <w:spacing w:val="-14"/>
        </w:rPr>
        <w:t> </w:t>
      </w:r>
      <w:r>
        <w:rPr/>
        <w:t>is</w:t>
      </w:r>
      <w:r>
        <w:rPr>
          <w:spacing w:val="-15"/>
        </w:rPr>
        <w:t> </w:t>
      </w:r>
      <w:r>
        <w:rPr/>
        <w:t>noted in the text by the explicit use of the word ‘significant’ in the commentary and highlighted in tables and charts. Some other, non-significant differences are highlighted where they are pertinent to the discussion – either because they reinforce</w:t>
      </w:r>
      <w:r>
        <w:rPr>
          <w:spacing w:val="-18"/>
        </w:rPr>
        <w:t> </w:t>
      </w:r>
      <w:r>
        <w:rPr/>
        <w:t>important</w:t>
      </w:r>
      <w:r>
        <w:rPr>
          <w:spacing w:val="-18"/>
        </w:rPr>
        <w:t> </w:t>
      </w:r>
      <w:r>
        <w:rPr/>
        <w:t>findings</w:t>
      </w:r>
      <w:r>
        <w:rPr>
          <w:spacing w:val="-17"/>
        </w:rPr>
        <w:t> </w:t>
      </w:r>
      <w:r>
        <w:rPr/>
        <w:t>from</w:t>
      </w:r>
      <w:r>
        <w:rPr>
          <w:spacing w:val="-18"/>
        </w:rPr>
        <w:t> </w:t>
      </w:r>
      <w:r>
        <w:rPr/>
        <w:t>a</w:t>
      </w:r>
      <w:r>
        <w:rPr>
          <w:spacing w:val="-17"/>
        </w:rPr>
        <w:t> </w:t>
      </w:r>
      <w:r>
        <w:rPr/>
        <w:t>previous</w:t>
      </w:r>
      <w:r>
        <w:rPr>
          <w:spacing w:val="-18"/>
        </w:rPr>
        <w:t> </w:t>
      </w:r>
      <w:r>
        <w:rPr/>
        <w:t>study</w:t>
      </w:r>
      <w:r>
        <w:rPr>
          <w:spacing w:val="-18"/>
        </w:rPr>
        <w:t> </w:t>
      </w:r>
      <w:r>
        <w:rPr/>
        <w:t>or</w:t>
      </w:r>
      <w:r>
        <w:rPr>
          <w:spacing w:val="-17"/>
        </w:rPr>
        <w:t> </w:t>
      </w:r>
      <w:r>
        <w:rPr/>
        <w:t>another</w:t>
      </w:r>
      <w:r>
        <w:rPr>
          <w:spacing w:val="-18"/>
        </w:rPr>
        <w:t> </w:t>
      </w:r>
      <w:r>
        <w:rPr/>
        <w:t>question</w:t>
      </w:r>
      <w:r>
        <w:rPr>
          <w:spacing w:val="-17"/>
        </w:rPr>
        <w:t> </w:t>
      </w:r>
      <w:r>
        <w:rPr/>
        <w:t>in</w:t>
      </w:r>
      <w:r>
        <w:rPr>
          <w:spacing w:val="-18"/>
        </w:rPr>
        <w:t> </w:t>
      </w:r>
      <w:r>
        <w:rPr/>
        <w:t>the</w:t>
      </w:r>
      <w:r>
        <w:rPr>
          <w:spacing w:val="-17"/>
        </w:rPr>
        <w:t> </w:t>
      </w:r>
      <w:r>
        <w:rPr/>
        <w:t>survey or because they indicate a notable directional trend that suggests a relationship worth exploring.</w:t>
      </w:r>
    </w:p>
    <w:p>
      <w:pPr>
        <w:pStyle w:val="BodyText"/>
      </w:pPr>
    </w:p>
    <w:p>
      <w:pPr>
        <w:pStyle w:val="BodyText"/>
        <w:ind w:left="1336" w:right="1474"/>
        <w:jc w:val="both"/>
      </w:pPr>
      <w:r>
        <w:rPr/>
        <w:t>Where</w:t>
      </w:r>
      <w:r>
        <w:rPr>
          <w:spacing w:val="-16"/>
        </w:rPr>
        <w:t> </w:t>
      </w:r>
      <w:r>
        <w:rPr/>
        <w:t>percentages</w:t>
      </w:r>
      <w:r>
        <w:rPr>
          <w:spacing w:val="-15"/>
        </w:rPr>
        <w:t> </w:t>
      </w:r>
      <w:r>
        <w:rPr/>
        <w:t>do</w:t>
      </w:r>
      <w:r>
        <w:rPr>
          <w:spacing w:val="-18"/>
        </w:rPr>
        <w:t> </w:t>
      </w:r>
      <w:r>
        <w:rPr/>
        <w:t>not</w:t>
      </w:r>
      <w:r>
        <w:rPr>
          <w:spacing w:val="-16"/>
        </w:rPr>
        <w:t> </w:t>
      </w:r>
      <w:r>
        <w:rPr/>
        <w:t>sum</w:t>
      </w:r>
      <w:r>
        <w:rPr>
          <w:spacing w:val="-17"/>
        </w:rPr>
        <w:t> </w:t>
      </w:r>
      <w:r>
        <w:rPr/>
        <w:t>to</w:t>
      </w:r>
      <w:r>
        <w:rPr>
          <w:spacing w:val="-18"/>
        </w:rPr>
        <w:t> </w:t>
      </w:r>
      <w:r>
        <w:rPr/>
        <w:t>100,</w:t>
      </w:r>
      <w:r>
        <w:rPr>
          <w:spacing w:val="-16"/>
        </w:rPr>
        <w:t> </w:t>
      </w:r>
      <w:r>
        <w:rPr/>
        <w:t>this</w:t>
      </w:r>
      <w:r>
        <w:rPr>
          <w:spacing w:val="-15"/>
        </w:rPr>
        <w:t> </w:t>
      </w:r>
      <w:r>
        <w:rPr/>
        <w:t>may</w:t>
      </w:r>
      <w:r>
        <w:rPr>
          <w:spacing w:val="-15"/>
        </w:rPr>
        <w:t> </w:t>
      </w:r>
      <w:r>
        <w:rPr/>
        <w:t>be</w:t>
      </w:r>
      <w:r>
        <w:rPr>
          <w:spacing w:val="-17"/>
        </w:rPr>
        <w:t> </w:t>
      </w:r>
      <w:r>
        <w:rPr/>
        <w:t>due</w:t>
      </w:r>
      <w:r>
        <w:rPr>
          <w:spacing w:val="-17"/>
        </w:rPr>
        <w:t> </w:t>
      </w:r>
      <w:r>
        <w:rPr/>
        <w:t>to</w:t>
      </w:r>
      <w:r>
        <w:rPr>
          <w:spacing w:val="-17"/>
        </w:rPr>
        <w:t> </w:t>
      </w:r>
      <w:r>
        <w:rPr/>
        <w:t>rounding</w:t>
      </w:r>
      <w:r>
        <w:rPr>
          <w:spacing w:val="-17"/>
        </w:rPr>
        <w:t> </w:t>
      </w:r>
      <w:r>
        <w:rPr/>
        <w:t>of</w:t>
      </w:r>
      <w:r>
        <w:rPr>
          <w:spacing w:val="-16"/>
        </w:rPr>
        <w:t> </w:t>
      </w:r>
      <w:r>
        <w:rPr/>
        <w:t>percentages, the exclusion of “don’t know” categories, or multiple answers.</w:t>
      </w:r>
      <w:r>
        <w:rPr>
          <w:spacing w:val="40"/>
        </w:rPr>
        <w:t> </w:t>
      </w:r>
      <w:r>
        <w:rPr/>
        <w:t>Throughout the volume, an asterisk (*) denotes any value of less than half a per cent.</w:t>
      </w:r>
    </w:p>
    <w:p>
      <w:pPr>
        <w:spacing w:after="0"/>
        <w:jc w:val="both"/>
        <w:sectPr>
          <w:pgSz w:w="11910" w:h="16840"/>
          <w:pgMar w:header="0" w:footer="996" w:top="1340" w:bottom="1180" w:left="460" w:right="320"/>
        </w:sectPr>
      </w:pPr>
    </w:p>
    <w:p>
      <w:pPr>
        <w:pStyle w:val="Heading2"/>
        <w:numPr>
          <w:ilvl w:val="0"/>
          <w:numId w:val="2"/>
        </w:numPr>
        <w:tabs>
          <w:tab w:pos="1696" w:val="left" w:leader="none"/>
        </w:tabs>
        <w:spacing w:line="240" w:lineRule="auto" w:before="82" w:after="0"/>
        <w:ind w:left="1695" w:right="0" w:hanging="359"/>
        <w:jc w:val="left"/>
      </w:pPr>
      <w:bookmarkStart w:name="2.  GLOSSARY" w:id="3"/>
      <w:bookmarkEnd w:id="3"/>
      <w:r>
        <w:rPr>
          <w:b w:val="0"/>
        </w:rPr>
      </w:r>
      <w:bookmarkStart w:name="_bookmark1" w:id="4"/>
      <w:bookmarkEnd w:id="4"/>
      <w:r>
        <w:rPr>
          <w:spacing w:val="-2"/>
        </w:rPr>
        <w:t>G</w:t>
      </w:r>
      <w:r>
        <w:rPr>
          <w:spacing w:val="-2"/>
        </w:rPr>
        <w:t>LOSSARY</w:t>
      </w:r>
    </w:p>
    <w:p>
      <w:pPr>
        <w:pStyle w:val="BodyText"/>
        <w:rPr>
          <w:b/>
          <w:sz w:val="34"/>
        </w:rPr>
      </w:pPr>
    </w:p>
    <w:p>
      <w:pPr>
        <w:pStyle w:val="BodyText"/>
        <w:spacing w:line="259" w:lineRule="auto" w:before="211"/>
        <w:ind w:left="1337" w:right="1473"/>
        <w:jc w:val="both"/>
      </w:pPr>
      <w:r>
        <w:rPr>
          <w:b/>
        </w:rPr>
        <w:t>Individual Conciliation (IC): </w:t>
      </w:r>
      <w:r>
        <w:rPr/>
        <w:t>An umbrella term that takes in both Early Conciliation and Post-ET1 Conciliation as what are effectively one conciliation service delivered at different time points.</w:t>
      </w:r>
      <w:r>
        <w:rPr>
          <w:spacing w:val="40"/>
        </w:rPr>
        <w:t> </w:t>
      </w:r>
      <w:r>
        <w:rPr/>
        <w:t>The word ‘Individual’ is used to distinguish the service from Collective Conciliation (Acas’ longstanding service for resolving collective employment disputes).</w:t>
      </w:r>
    </w:p>
    <w:p>
      <w:pPr>
        <w:pStyle w:val="BodyText"/>
        <w:spacing w:line="259" w:lineRule="auto" w:before="158"/>
        <w:ind w:left="1337" w:right="1472"/>
        <w:jc w:val="both"/>
      </w:pPr>
      <w:r>
        <w:rPr>
          <w:b/>
        </w:rPr>
        <w:t>Early</w:t>
      </w:r>
      <w:r>
        <w:rPr>
          <w:b/>
          <w:spacing w:val="-16"/>
        </w:rPr>
        <w:t> </w:t>
      </w:r>
      <w:r>
        <w:rPr>
          <w:b/>
        </w:rPr>
        <w:t>Conciliation</w:t>
      </w:r>
      <w:r>
        <w:rPr>
          <w:b/>
          <w:spacing w:val="-17"/>
        </w:rPr>
        <w:t> </w:t>
      </w:r>
      <w:r>
        <w:rPr>
          <w:b/>
        </w:rPr>
        <w:t>(EC):</w:t>
      </w:r>
      <w:r>
        <w:rPr>
          <w:b/>
          <w:spacing w:val="-17"/>
        </w:rPr>
        <w:t> </w:t>
      </w:r>
      <w:r>
        <w:rPr/>
        <w:t>Acas</w:t>
      </w:r>
      <w:r>
        <w:rPr>
          <w:spacing w:val="-16"/>
        </w:rPr>
        <w:t> </w:t>
      </w:r>
      <w:r>
        <w:rPr/>
        <w:t>service</w:t>
      </w:r>
      <w:r>
        <w:rPr>
          <w:spacing w:val="-17"/>
        </w:rPr>
        <w:t> </w:t>
      </w:r>
      <w:r>
        <w:rPr/>
        <w:t>introduced</w:t>
      </w:r>
      <w:r>
        <w:rPr>
          <w:spacing w:val="-16"/>
        </w:rPr>
        <w:t> </w:t>
      </w:r>
      <w:r>
        <w:rPr/>
        <w:t>April</w:t>
      </w:r>
      <w:r>
        <w:rPr>
          <w:spacing w:val="-17"/>
        </w:rPr>
        <w:t> </w:t>
      </w:r>
      <w:r>
        <w:rPr/>
        <w:t>2014,</w:t>
      </w:r>
      <w:r>
        <w:rPr>
          <w:spacing w:val="-16"/>
        </w:rPr>
        <w:t> </w:t>
      </w:r>
      <w:r>
        <w:rPr/>
        <w:t>since</w:t>
      </w:r>
      <w:r>
        <w:rPr>
          <w:spacing w:val="-18"/>
        </w:rPr>
        <w:t> </w:t>
      </w:r>
      <w:r>
        <w:rPr/>
        <w:t>when</w:t>
      </w:r>
      <w:r>
        <w:rPr>
          <w:spacing w:val="-16"/>
        </w:rPr>
        <w:t> </w:t>
      </w:r>
      <w:r>
        <w:rPr/>
        <w:t>claimants have</w:t>
      </w:r>
      <w:r>
        <w:rPr>
          <w:spacing w:val="-18"/>
        </w:rPr>
        <w:t> </w:t>
      </w:r>
      <w:r>
        <w:rPr/>
        <w:t>been</w:t>
      </w:r>
      <w:r>
        <w:rPr>
          <w:spacing w:val="-18"/>
        </w:rPr>
        <w:t> </w:t>
      </w:r>
      <w:r>
        <w:rPr/>
        <w:t>required</w:t>
      </w:r>
      <w:r>
        <w:rPr>
          <w:spacing w:val="-17"/>
        </w:rPr>
        <w:t> </w:t>
      </w:r>
      <w:r>
        <w:rPr/>
        <w:t>to</w:t>
      </w:r>
      <w:r>
        <w:rPr>
          <w:spacing w:val="-18"/>
        </w:rPr>
        <w:t> </w:t>
      </w:r>
      <w:r>
        <w:rPr/>
        <w:t>notify</w:t>
      </w:r>
      <w:r>
        <w:rPr>
          <w:spacing w:val="-17"/>
        </w:rPr>
        <w:t> </w:t>
      </w:r>
      <w:r>
        <w:rPr/>
        <w:t>Acas</w:t>
      </w:r>
      <w:r>
        <w:rPr>
          <w:spacing w:val="-18"/>
        </w:rPr>
        <w:t> </w:t>
      </w:r>
      <w:r>
        <w:rPr/>
        <w:t>of</w:t>
      </w:r>
      <w:r>
        <w:rPr>
          <w:spacing w:val="-18"/>
        </w:rPr>
        <w:t> </w:t>
      </w:r>
      <w:r>
        <w:rPr/>
        <w:t>their</w:t>
      </w:r>
      <w:r>
        <w:rPr>
          <w:spacing w:val="-17"/>
        </w:rPr>
        <w:t> </w:t>
      </w:r>
      <w:r>
        <w:rPr/>
        <w:t>intention</w:t>
      </w:r>
      <w:r>
        <w:rPr>
          <w:spacing w:val="-18"/>
        </w:rPr>
        <w:t> </w:t>
      </w:r>
      <w:r>
        <w:rPr/>
        <w:t>to</w:t>
      </w:r>
      <w:r>
        <w:rPr>
          <w:spacing w:val="-17"/>
        </w:rPr>
        <w:t> </w:t>
      </w:r>
      <w:r>
        <w:rPr/>
        <w:t>lodge</w:t>
      </w:r>
      <w:r>
        <w:rPr>
          <w:spacing w:val="-18"/>
        </w:rPr>
        <w:t> </w:t>
      </w:r>
      <w:r>
        <w:rPr/>
        <w:t>an</w:t>
      </w:r>
      <w:r>
        <w:rPr>
          <w:spacing w:val="-17"/>
        </w:rPr>
        <w:t> </w:t>
      </w:r>
      <w:r>
        <w:rPr/>
        <w:t>employment</w:t>
      </w:r>
      <w:r>
        <w:rPr>
          <w:spacing w:val="-18"/>
        </w:rPr>
        <w:t> </w:t>
      </w:r>
      <w:r>
        <w:rPr/>
        <w:t>tribunal claim and will be offered the opportunity to engage the services of an Acas conciliator, who will seek to resolve the dispute without going to court.</w:t>
      </w:r>
    </w:p>
    <w:p>
      <w:pPr>
        <w:pStyle w:val="BodyText"/>
        <w:spacing w:line="259" w:lineRule="auto" w:before="160"/>
        <w:ind w:left="1337" w:right="1474"/>
        <w:jc w:val="both"/>
      </w:pPr>
      <w:r>
        <w:rPr>
          <w:b/>
        </w:rPr>
        <w:t>Post-ET1 conciliation: </w:t>
      </w:r>
      <w:r>
        <w:rPr/>
        <w:t>Acas’ longstanding service for settling individual disputes after a claim has been submitted to an Employment Tribunal.</w:t>
      </w:r>
    </w:p>
    <w:p>
      <w:pPr>
        <w:pStyle w:val="BodyText"/>
        <w:spacing w:before="159"/>
        <w:ind w:left="1337"/>
        <w:jc w:val="both"/>
      </w:pPr>
      <w:r>
        <w:rPr>
          <w:b/>
        </w:rPr>
        <w:t>ET1:</w:t>
      </w:r>
      <w:r>
        <w:rPr>
          <w:b/>
          <w:spacing w:val="-3"/>
        </w:rPr>
        <w:t> </w:t>
      </w:r>
      <w:r>
        <w:rPr/>
        <w:t>The</w:t>
      </w:r>
      <w:r>
        <w:rPr>
          <w:spacing w:val="-3"/>
        </w:rPr>
        <w:t> </w:t>
      </w:r>
      <w:r>
        <w:rPr/>
        <w:t>form</w:t>
      </w:r>
      <w:r>
        <w:rPr>
          <w:spacing w:val="-3"/>
        </w:rPr>
        <w:t> </w:t>
      </w:r>
      <w:r>
        <w:rPr/>
        <w:t>used</w:t>
      </w:r>
      <w:r>
        <w:rPr>
          <w:spacing w:val="-2"/>
        </w:rPr>
        <w:t> </w:t>
      </w:r>
      <w:r>
        <w:rPr/>
        <w:t>to</w:t>
      </w:r>
      <w:r>
        <w:rPr>
          <w:spacing w:val="-4"/>
        </w:rPr>
        <w:t> </w:t>
      </w:r>
      <w:r>
        <w:rPr/>
        <w:t>make</w:t>
      </w:r>
      <w:r>
        <w:rPr>
          <w:spacing w:val="-3"/>
        </w:rPr>
        <w:t> </w:t>
      </w:r>
      <w:r>
        <w:rPr/>
        <w:t>a</w:t>
      </w:r>
      <w:r>
        <w:rPr>
          <w:spacing w:val="-2"/>
        </w:rPr>
        <w:t> </w:t>
      </w:r>
      <w:r>
        <w:rPr/>
        <w:t>claim</w:t>
      </w:r>
      <w:r>
        <w:rPr>
          <w:spacing w:val="-2"/>
        </w:rPr>
        <w:t> </w:t>
      </w:r>
      <w:r>
        <w:rPr/>
        <w:t>to</w:t>
      </w:r>
      <w:r>
        <w:rPr>
          <w:spacing w:val="-2"/>
        </w:rPr>
        <w:t> </w:t>
      </w:r>
      <w:r>
        <w:rPr/>
        <w:t>an</w:t>
      </w:r>
      <w:r>
        <w:rPr>
          <w:spacing w:val="-3"/>
        </w:rPr>
        <w:t> </w:t>
      </w:r>
      <w:r>
        <w:rPr/>
        <w:t>Employment</w:t>
      </w:r>
      <w:r>
        <w:rPr>
          <w:spacing w:val="-1"/>
        </w:rPr>
        <w:t> </w:t>
      </w:r>
      <w:r>
        <w:rPr>
          <w:spacing w:val="-2"/>
        </w:rPr>
        <w:t>Tribunal</w:t>
      </w:r>
    </w:p>
    <w:p>
      <w:pPr>
        <w:pStyle w:val="BodyText"/>
        <w:spacing w:line="259" w:lineRule="auto" w:before="179"/>
        <w:ind w:left="1337" w:right="1473"/>
        <w:jc w:val="both"/>
      </w:pPr>
      <w:r>
        <w:rPr>
          <w:b/>
        </w:rPr>
        <w:t>Employment Tribunal (ET) Fees: </w:t>
      </w:r>
      <w:r>
        <w:rPr/>
        <w:t>Employment Tribunal fees were introduced in July 2013 and declared unlawful by the UK Supreme Court in July 2017.</w:t>
      </w:r>
      <w:r>
        <w:rPr>
          <w:spacing w:val="80"/>
        </w:rPr>
        <w:t> </w:t>
      </w:r>
      <w:r>
        <w:rPr/>
        <w:t>During the intervening period, fees were required to be paid when a claim form was presented to an ET and prior to the hearing of the claim.</w:t>
      </w:r>
    </w:p>
    <w:p>
      <w:pPr>
        <w:pStyle w:val="BodyText"/>
        <w:spacing w:line="259" w:lineRule="auto" w:before="160"/>
        <w:ind w:left="1337" w:right="1477"/>
        <w:jc w:val="both"/>
      </w:pPr>
      <w:r>
        <w:rPr/>
        <w:t>ET fees were payable when EC and Post-ET1 conciliation were last evaluated (in 2015 and 2016, respectively).</w:t>
      </w:r>
    </w:p>
    <w:p>
      <w:pPr>
        <w:pStyle w:val="BodyText"/>
        <w:spacing w:line="259" w:lineRule="auto" w:before="158"/>
        <w:ind w:left="1337" w:right="1475"/>
        <w:jc w:val="both"/>
      </w:pPr>
      <w:r>
        <w:rPr>
          <w:b/>
        </w:rPr>
        <w:t>Track: </w:t>
      </w:r>
      <w:r>
        <w:rPr/>
        <w:t>Acas classification of cases that broadly reflects the old system of ‘three period categories’ whereby ET cases were allocated jurisdictional ‘tracks’:</w:t>
      </w:r>
    </w:p>
    <w:p>
      <w:pPr>
        <w:pStyle w:val="ListParagraph"/>
        <w:numPr>
          <w:ilvl w:val="0"/>
          <w:numId w:val="3"/>
        </w:numPr>
        <w:tabs>
          <w:tab w:pos="2058" w:val="left" w:leader="none"/>
        </w:tabs>
        <w:spacing w:line="256" w:lineRule="auto" w:before="161" w:after="0"/>
        <w:ind w:left="2057" w:right="1472" w:hanging="360"/>
        <w:jc w:val="both"/>
        <w:rPr>
          <w:sz w:val="20"/>
        </w:rPr>
      </w:pPr>
      <w:r>
        <w:rPr>
          <w:sz w:val="20"/>
        </w:rPr>
        <w:t>‘Fast track’ cases involving straightforward questions of fact that can be quickly resolved should the case reach a hearing (e.g. non-payment of </w:t>
      </w:r>
      <w:r>
        <w:rPr>
          <w:spacing w:val="-2"/>
          <w:sz w:val="20"/>
        </w:rPr>
        <w:t>wages)</w:t>
      </w:r>
    </w:p>
    <w:p>
      <w:pPr>
        <w:pStyle w:val="ListParagraph"/>
        <w:numPr>
          <w:ilvl w:val="0"/>
          <w:numId w:val="3"/>
        </w:numPr>
        <w:tabs>
          <w:tab w:pos="2058" w:val="left" w:leader="none"/>
        </w:tabs>
        <w:spacing w:line="256" w:lineRule="auto" w:before="4" w:after="0"/>
        <w:ind w:left="2057" w:right="1471" w:hanging="360"/>
        <w:jc w:val="both"/>
        <w:rPr>
          <w:sz w:val="20"/>
        </w:rPr>
      </w:pPr>
      <w:r>
        <w:rPr>
          <w:sz w:val="20"/>
        </w:rPr>
        <w:t>‘Standard track’ cases involving somewhat more difficult issues and requiring a greater degree of case management (e.g. unfair dismissal)</w:t>
      </w:r>
    </w:p>
    <w:p>
      <w:pPr>
        <w:pStyle w:val="ListParagraph"/>
        <w:numPr>
          <w:ilvl w:val="0"/>
          <w:numId w:val="3"/>
        </w:numPr>
        <w:tabs>
          <w:tab w:pos="2058" w:val="left" w:leader="none"/>
        </w:tabs>
        <w:spacing w:line="256" w:lineRule="auto" w:before="2" w:after="0"/>
        <w:ind w:left="2057" w:right="1476" w:hanging="360"/>
        <w:jc w:val="both"/>
        <w:rPr>
          <w:sz w:val="20"/>
        </w:rPr>
      </w:pPr>
      <w:r>
        <w:rPr>
          <w:sz w:val="20"/>
        </w:rPr>
        <w:t>‘Open track’ cases involving the most legally complex issues and generally requiring the most amount of resource to resolve (e.g. discrimination).</w:t>
      </w:r>
    </w:p>
    <w:p>
      <w:pPr>
        <w:pStyle w:val="BodyText"/>
        <w:spacing w:line="259" w:lineRule="auto" w:before="162"/>
        <w:ind w:left="1337" w:right="1473"/>
        <w:jc w:val="both"/>
      </w:pPr>
      <w:r>
        <w:rPr>
          <w:b/>
        </w:rPr>
        <w:t>Statistically significant differences: </w:t>
      </w:r>
      <w:r>
        <w:rPr/>
        <w:t>Where the difference between figures is large enough that it is possible to say that this is also highly likely to exist in the wider population – noted throughout this report by the explicit use of the word </w:t>
      </w:r>
      <w:r>
        <w:rPr>
          <w:spacing w:val="-2"/>
        </w:rPr>
        <w:t>‘significant’.</w:t>
      </w:r>
    </w:p>
    <w:p>
      <w:pPr>
        <w:pStyle w:val="BodyText"/>
        <w:spacing w:line="259" w:lineRule="auto" w:before="159"/>
        <w:ind w:left="1337" w:right="1474"/>
        <w:jc w:val="both"/>
      </w:pPr>
      <w:r>
        <w:rPr>
          <w:b/>
        </w:rPr>
        <w:t>Binary</w:t>
      </w:r>
      <w:r>
        <w:rPr>
          <w:b/>
          <w:spacing w:val="-10"/>
        </w:rPr>
        <w:t> </w:t>
      </w:r>
      <w:r>
        <w:rPr>
          <w:b/>
        </w:rPr>
        <w:t>logistic</w:t>
      </w:r>
      <w:r>
        <w:rPr>
          <w:b/>
          <w:spacing w:val="-11"/>
        </w:rPr>
        <w:t> </w:t>
      </w:r>
      <w:r>
        <w:rPr>
          <w:b/>
        </w:rPr>
        <w:t>regression</w:t>
      </w:r>
      <w:r>
        <w:rPr>
          <w:b/>
          <w:spacing w:val="-12"/>
        </w:rPr>
        <w:t> </w:t>
      </w:r>
      <w:r>
        <w:rPr>
          <w:b/>
        </w:rPr>
        <w:t>analysis:</w:t>
      </w:r>
      <w:r>
        <w:rPr>
          <w:b/>
          <w:spacing w:val="-11"/>
        </w:rPr>
        <w:t> </w:t>
      </w:r>
      <w:r>
        <w:rPr/>
        <w:t>A</w:t>
      </w:r>
      <w:r>
        <w:rPr>
          <w:spacing w:val="-11"/>
        </w:rPr>
        <w:t> </w:t>
      </w:r>
      <w:r>
        <w:rPr/>
        <w:t>statistical</w:t>
      </w:r>
      <w:r>
        <w:rPr>
          <w:spacing w:val="-12"/>
        </w:rPr>
        <w:t> </w:t>
      </w:r>
      <w:r>
        <w:rPr/>
        <w:t>technique</w:t>
      </w:r>
      <w:r>
        <w:rPr>
          <w:spacing w:val="-12"/>
        </w:rPr>
        <w:t> </w:t>
      </w:r>
      <w:r>
        <w:rPr/>
        <w:t>used</w:t>
      </w:r>
      <w:r>
        <w:rPr>
          <w:spacing w:val="-11"/>
        </w:rPr>
        <w:t> </w:t>
      </w:r>
      <w:r>
        <w:rPr/>
        <w:t>throughout</w:t>
      </w:r>
      <w:r>
        <w:rPr>
          <w:spacing w:val="-11"/>
        </w:rPr>
        <w:t> </w:t>
      </w:r>
      <w:r>
        <w:rPr/>
        <w:t>this study to examine the relationships between a ‘dependent’ variable with multiple ‘independent’ variables (factors which might influence the dependent variable) to identify the most influential measures of association in the data. More detail is available in the technical note.</w:t>
      </w:r>
    </w:p>
    <w:p>
      <w:pPr>
        <w:spacing w:after="0" w:line="259" w:lineRule="auto"/>
        <w:jc w:val="both"/>
        <w:sectPr>
          <w:pgSz w:w="11910" w:h="16840"/>
          <w:pgMar w:header="0" w:footer="996" w:top="1340" w:bottom="1180" w:left="460" w:right="320"/>
        </w:sectPr>
      </w:pPr>
    </w:p>
    <w:p>
      <w:pPr>
        <w:pStyle w:val="Heading2"/>
        <w:numPr>
          <w:ilvl w:val="0"/>
          <w:numId w:val="2"/>
        </w:numPr>
        <w:tabs>
          <w:tab w:pos="1696" w:val="left" w:leader="none"/>
        </w:tabs>
        <w:spacing w:line="240" w:lineRule="auto" w:before="82" w:after="0"/>
        <w:ind w:left="1695" w:right="0" w:hanging="359"/>
        <w:jc w:val="left"/>
      </w:pPr>
      <w:bookmarkStart w:name="3. KEY FINDINGS &amp; TRENDS AT-A-GLANCE" w:id="5"/>
      <w:bookmarkEnd w:id="5"/>
      <w:r>
        <w:rPr>
          <w:b w:val="0"/>
        </w:rPr>
      </w:r>
      <w:bookmarkStart w:name="_bookmark2" w:id="6"/>
      <w:bookmarkEnd w:id="6"/>
      <w:r>
        <w:rPr/>
        <w:t>K</w:t>
      </w:r>
      <w:r>
        <w:rPr/>
        <w:t>EY</w:t>
      </w:r>
      <w:r>
        <w:rPr>
          <w:spacing w:val="-14"/>
        </w:rPr>
        <w:t> </w:t>
      </w:r>
      <w:r>
        <w:rPr/>
        <w:t>FINDINGS</w:t>
      </w:r>
      <w:r>
        <w:rPr>
          <w:spacing w:val="-13"/>
        </w:rPr>
        <w:t> </w:t>
      </w:r>
      <w:r>
        <w:rPr/>
        <w:t>&amp;</w:t>
      </w:r>
      <w:r>
        <w:rPr>
          <w:spacing w:val="-14"/>
        </w:rPr>
        <w:t> </w:t>
      </w:r>
      <w:r>
        <w:rPr/>
        <w:t>TRENDS</w:t>
      </w:r>
      <w:r>
        <w:rPr>
          <w:spacing w:val="-13"/>
        </w:rPr>
        <w:t> </w:t>
      </w:r>
      <w:r>
        <w:rPr/>
        <w:t>AT-A-</w:t>
      </w:r>
      <w:r>
        <w:rPr>
          <w:spacing w:val="-2"/>
        </w:rPr>
        <w:t>GLANCE</w:t>
      </w:r>
    </w:p>
    <w:p>
      <w:pPr>
        <w:pStyle w:val="BodyText"/>
        <w:rPr>
          <w:b/>
          <w:sz w:val="34"/>
        </w:rPr>
      </w:pPr>
    </w:p>
    <w:p>
      <w:pPr>
        <w:pStyle w:val="Heading3"/>
        <w:spacing w:before="228"/>
        <w:jc w:val="left"/>
      </w:pPr>
      <w:r>
        <w:rPr/>
        <w:t>Early</w:t>
      </w:r>
      <w:r>
        <w:rPr>
          <w:spacing w:val="-4"/>
        </w:rPr>
        <w:t> </w:t>
      </w:r>
      <w:r>
        <w:rPr>
          <w:spacing w:val="-2"/>
        </w:rPr>
        <w:t>Conciliation</w:t>
      </w:r>
    </w:p>
    <w:p>
      <w:pPr>
        <w:pStyle w:val="BodyText"/>
        <w:spacing w:before="9"/>
        <w:rPr>
          <w:b/>
          <w:sz w:val="22"/>
        </w:rPr>
      </w:pPr>
    </w:p>
    <w:p>
      <w:pPr>
        <w:pStyle w:val="ListParagraph"/>
        <w:numPr>
          <w:ilvl w:val="0"/>
          <w:numId w:val="4"/>
        </w:numPr>
        <w:tabs>
          <w:tab w:pos="2058" w:val="left" w:leader="none"/>
        </w:tabs>
        <w:spacing w:line="254" w:lineRule="auto" w:before="0" w:after="0"/>
        <w:ind w:left="2057" w:right="1475" w:hanging="360"/>
        <w:jc w:val="both"/>
        <w:rPr>
          <w:sz w:val="20"/>
        </w:rPr>
      </w:pPr>
      <w:r>
        <w:rPr>
          <w:sz w:val="20"/>
        </w:rPr>
        <w:t>Claimant</w:t>
      </w:r>
      <w:r>
        <w:rPr>
          <w:spacing w:val="-3"/>
          <w:sz w:val="20"/>
        </w:rPr>
        <w:t> </w:t>
      </w:r>
      <w:r>
        <w:rPr>
          <w:sz w:val="20"/>
        </w:rPr>
        <w:t>and</w:t>
      </w:r>
      <w:r>
        <w:rPr>
          <w:spacing w:val="-3"/>
          <w:sz w:val="20"/>
        </w:rPr>
        <w:t> </w:t>
      </w:r>
      <w:r>
        <w:rPr>
          <w:sz w:val="20"/>
        </w:rPr>
        <w:t>employer</w:t>
      </w:r>
      <w:r>
        <w:rPr>
          <w:spacing w:val="-3"/>
          <w:sz w:val="20"/>
        </w:rPr>
        <w:t> </w:t>
      </w:r>
      <w:r>
        <w:rPr>
          <w:sz w:val="20"/>
        </w:rPr>
        <w:t>profiles</w:t>
      </w:r>
      <w:r>
        <w:rPr>
          <w:spacing w:val="-3"/>
          <w:sz w:val="20"/>
        </w:rPr>
        <w:t> </w:t>
      </w:r>
      <w:r>
        <w:rPr>
          <w:sz w:val="20"/>
        </w:rPr>
        <w:t>are</w:t>
      </w:r>
      <w:r>
        <w:rPr>
          <w:spacing w:val="-4"/>
          <w:sz w:val="20"/>
        </w:rPr>
        <w:t> </w:t>
      </w:r>
      <w:r>
        <w:rPr>
          <w:sz w:val="20"/>
        </w:rPr>
        <w:t>very</w:t>
      </w:r>
      <w:r>
        <w:rPr>
          <w:spacing w:val="-3"/>
          <w:sz w:val="20"/>
        </w:rPr>
        <w:t> </w:t>
      </w:r>
      <w:r>
        <w:rPr>
          <w:sz w:val="20"/>
        </w:rPr>
        <w:t>similar</w:t>
      </w:r>
      <w:r>
        <w:rPr>
          <w:spacing w:val="-2"/>
          <w:sz w:val="20"/>
        </w:rPr>
        <w:t> </w:t>
      </w:r>
      <w:r>
        <w:rPr>
          <w:sz w:val="20"/>
        </w:rPr>
        <w:t>to</w:t>
      </w:r>
      <w:r>
        <w:rPr>
          <w:spacing w:val="-5"/>
          <w:sz w:val="20"/>
        </w:rPr>
        <w:t> </w:t>
      </w:r>
      <w:r>
        <w:rPr>
          <w:sz w:val="20"/>
        </w:rPr>
        <w:t>that</w:t>
      </w:r>
      <w:r>
        <w:rPr>
          <w:spacing w:val="-4"/>
          <w:sz w:val="20"/>
        </w:rPr>
        <w:t> </w:t>
      </w:r>
      <w:r>
        <w:rPr>
          <w:sz w:val="20"/>
        </w:rPr>
        <w:t>seen</w:t>
      </w:r>
      <w:r>
        <w:rPr>
          <w:spacing w:val="-3"/>
          <w:sz w:val="20"/>
        </w:rPr>
        <w:t> </w:t>
      </w:r>
      <w:r>
        <w:rPr>
          <w:sz w:val="20"/>
        </w:rPr>
        <w:t>in</w:t>
      </w:r>
      <w:r>
        <w:rPr>
          <w:spacing w:val="-4"/>
          <w:sz w:val="20"/>
        </w:rPr>
        <w:t> </w:t>
      </w:r>
      <w:r>
        <w:rPr>
          <w:sz w:val="20"/>
        </w:rPr>
        <w:t>2015</w:t>
      </w:r>
      <w:r>
        <w:rPr>
          <w:spacing w:val="-4"/>
          <w:sz w:val="20"/>
        </w:rPr>
        <w:t> </w:t>
      </w:r>
      <w:r>
        <w:rPr>
          <w:sz w:val="20"/>
        </w:rPr>
        <w:t>–</w:t>
      </w:r>
      <w:r>
        <w:rPr>
          <w:spacing w:val="-4"/>
          <w:sz w:val="20"/>
        </w:rPr>
        <w:t> </w:t>
      </w:r>
      <w:r>
        <w:rPr>
          <w:sz w:val="20"/>
        </w:rPr>
        <w:t>with claimants more likely to be represented in 2019 than they were in 2015.</w:t>
      </w:r>
    </w:p>
    <w:p>
      <w:pPr>
        <w:pStyle w:val="ListParagraph"/>
        <w:numPr>
          <w:ilvl w:val="0"/>
          <w:numId w:val="4"/>
        </w:numPr>
        <w:tabs>
          <w:tab w:pos="2058" w:val="left" w:leader="none"/>
        </w:tabs>
        <w:spacing w:line="254" w:lineRule="auto" w:before="2" w:after="0"/>
        <w:ind w:left="2057" w:right="1473" w:hanging="360"/>
        <w:jc w:val="both"/>
        <w:rPr>
          <w:sz w:val="20"/>
        </w:rPr>
      </w:pPr>
      <w:r>
        <w:rPr>
          <w:sz w:val="20"/>
        </w:rPr>
        <w:t>Employer representatives are more experienced than claimant representatives in dealing with disputes.</w:t>
      </w:r>
    </w:p>
    <w:p>
      <w:pPr>
        <w:pStyle w:val="ListParagraph"/>
        <w:numPr>
          <w:ilvl w:val="0"/>
          <w:numId w:val="4"/>
        </w:numPr>
        <w:tabs>
          <w:tab w:pos="2058" w:val="left" w:leader="none"/>
        </w:tabs>
        <w:spacing w:line="256" w:lineRule="auto" w:before="2" w:after="0"/>
        <w:ind w:left="2057" w:right="1475" w:hanging="360"/>
        <w:jc w:val="both"/>
        <w:rPr>
          <w:sz w:val="20"/>
        </w:rPr>
      </w:pPr>
      <w:r>
        <w:rPr>
          <w:sz w:val="20"/>
        </w:rPr>
        <w:t>Seventy-five</w:t>
      </w:r>
      <w:r>
        <w:rPr>
          <w:spacing w:val="-13"/>
          <w:sz w:val="20"/>
        </w:rPr>
        <w:t> </w:t>
      </w:r>
      <w:r>
        <w:rPr>
          <w:sz w:val="20"/>
        </w:rPr>
        <w:t>per</w:t>
      </w:r>
      <w:r>
        <w:rPr>
          <w:spacing w:val="-13"/>
          <w:sz w:val="20"/>
        </w:rPr>
        <w:t> </w:t>
      </w:r>
      <w:r>
        <w:rPr>
          <w:sz w:val="20"/>
        </w:rPr>
        <w:t>cent</w:t>
      </w:r>
      <w:r>
        <w:rPr>
          <w:spacing w:val="-12"/>
          <w:sz w:val="20"/>
        </w:rPr>
        <w:t> </w:t>
      </w:r>
      <w:r>
        <w:rPr>
          <w:sz w:val="20"/>
        </w:rPr>
        <w:t>of</w:t>
      </w:r>
      <w:r>
        <w:rPr>
          <w:spacing w:val="-12"/>
          <w:sz w:val="20"/>
        </w:rPr>
        <w:t> </w:t>
      </w:r>
      <w:r>
        <w:rPr>
          <w:sz w:val="20"/>
        </w:rPr>
        <w:t>claimant-side</w:t>
      </w:r>
      <w:r>
        <w:rPr>
          <w:spacing w:val="-13"/>
          <w:sz w:val="20"/>
        </w:rPr>
        <w:t> </w:t>
      </w:r>
      <w:r>
        <w:rPr>
          <w:sz w:val="20"/>
        </w:rPr>
        <w:t>participants</w:t>
      </w:r>
      <w:r>
        <w:rPr>
          <w:spacing w:val="-12"/>
          <w:sz w:val="20"/>
        </w:rPr>
        <w:t> </w:t>
      </w:r>
      <w:r>
        <w:rPr>
          <w:sz w:val="20"/>
        </w:rPr>
        <w:t>said</w:t>
      </w:r>
      <w:r>
        <w:rPr>
          <w:spacing w:val="-13"/>
          <w:sz w:val="20"/>
        </w:rPr>
        <w:t> </w:t>
      </w:r>
      <w:r>
        <w:rPr>
          <w:sz w:val="20"/>
        </w:rPr>
        <w:t>that</w:t>
      </w:r>
      <w:r>
        <w:rPr>
          <w:spacing w:val="-12"/>
          <w:sz w:val="20"/>
        </w:rPr>
        <w:t> </w:t>
      </w:r>
      <w:r>
        <w:rPr>
          <w:sz w:val="20"/>
        </w:rPr>
        <w:t>the</w:t>
      </w:r>
      <w:r>
        <w:rPr>
          <w:spacing w:val="-13"/>
          <w:sz w:val="20"/>
        </w:rPr>
        <w:t> </w:t>
      </w:r>
      <w:r>
        <w:rPr>
          <w:sz w:val="20"/>
        </w:rPr>
        <w:t>information provided</w:t>
      </w:r>
      <w:r>
        <w:rPr>
          <w:spacing w:val="-18"/>
          <w:sz w:val="20"/>
        </w:rPr>
        <w:t> </w:t>
      </w:r>
      <w:r>
        <w:rPr>
          <w:sz w:val="20"/>
        </w:rPr>
        <w:t>by</w:t>
      </w:r>
      <w:r>
        <w:rPr>
          <w:spacing w:val="-18"/>
          <w:sz w:val="20"/>
        </w:rPr>
        <w:t> </w:t>
      </w:r>
      <w:r>
        <w:rPr>
          <w:sz w:val="20"/>
        </w:rPr>
        <w:t>Acas</w:t>
      </w:r>
      <w:r>
        <w:rPr>
          <w:spacing w:val="-17"/>
          <w:sz w:val="20"/>
        </w:rPr>
        <w:t> </w:t>
      </w:r>
      <w:r>
        <w:rPr>
          <w:sz w:val="20"/>
        </w:rPr>
        <w:t>at</w:t>
      </w:r>
      <w:r>
        <w:rPr>
          <w:spacing w:val="-18"/>
          <w:sz w:val="20"/>
        </w:rPr>
        <w:t> </w:t>
      </w:r>
      <w:r>
        <w:rPr>
          <w:sz w:val="20"/>
        </w:rPr>
        <w:t>the</w:t>
      </w:r>
      <w:r>
        <w:rPr>
          <w:spacing w:val="-17"/>
          <w:sz w:val="20"/>
        </w:rPr>
        <w:t> </w:t>
      </w:r>
      <w:r>
        <w:rPr>
          <w:sz w:val="20"/>
        </w:rPr>
        <w:t>point</w:t>
      </w:r>
      <w:r>
        <w:rPr>
          <w:spacing w:val="-18"/>
          <w:sz w:val="20"/>
        </w:rPr>
        <w:t> </w:t>
      </w:r>
      <w:r>
        <w:rPr>
          <w:sz w:val="20"/>
        </w:rPr>
        <w:t>they</w:t>
      </w:r>
      <w:r>
        <w:rPr>
          <w:spacing w:val="-18"/>
          <w:sz w:val="20"/>
        </w:rPr>
        <w:t> </w:t>
      </w:r>
      <w:r>
        <w:rPr>
          <w:sz w:val="20"/>
        </w:rPr>
        <w:t>completed</w:t>
      </w:r>
      <w:r>
        <w:rPr>
          <w:spacing w:val="-17"/>
          <w:sz w:val="20"/>
        </w:rPr>
        <w:t> </w:t>
      </w:r>
      <w:r>
        <w:rPr>
          <w:sz w:val="20"/>
        </w:rPr>
        <w:t>the</w:t>
      </w:r>
      <w:r>
        <w:rPr>
          <w:spacing w:val="-18"/>
          <w:sz w:val="20"/>
        </w:rPr>
        <w:t> </w:t>
      </w:r>
      <w:r>
        <w:rPr>
          <w:sz w:val="20"/>
        </w:rPr>
        <w:t>EC</w:t>
      </w:r>
      <w:r>
        <w:rPr>
          <w:spacing w:val="-17"/>
          <w:sz w:val="20"/>
        </w:rPr>
        <w:t> </w:t>
      </w:r>
      <w:r>
        <w:rPr>
          <w:sz w:val="20"/>
        </w:rPr>
        <w:t>notification</w:t>
      </w:r>
      <w:r>
        <w:rPr>
          <w:spacing w:val="-18"/>
          <w:sz w:val="20"/>
        </w:rPr>
        <w:t> </w:t>
      </w:r>
      <w:r>
        <w:rPr>
          <w:sz w:val="20"/>
        </w:rPr>
        <w:t>form</w:t>
      </w:r>
      <w:r>
        <w:rPr>
          <w:spacing w:val="-17"/>
          <w:sz w:val="20"/>
        </w:rPr>
        <w:t> </w:t>
      </w:r>
      <w:r>
        <w:rPr>
          <w:sz w:val="20"/>
        </w:rPr>
        <w:t>helped them to understand how the Early Conciliation process worked.</w:t>
      </w:r>
    </w:p>
    <w:p>
      <w:pPr>
        <w:pStyle w:val="ListParagraph"/>
        <w:numPr>
          <w:ilvl w:val="0"/>
          <w:numId w:val="4"/>
        </w:numPr>
        <w:tabs>
          <w:tab w:pos="2058" w:val="left" w:leader="none"/>
        </w:tabs>
        <w:spacing w:line="254" w:lineRule="auto" w:before="0" w:after="0"/>
        <w:ind w:left="2056" w:right="1476" w:hanging="360"/>
        <w:jc w:val="both"/>
        <w:rPr>
          <w:sz w:val="20"/>
        </w:rPr>
      </w:pPr>
      <w:r>
        <w:rPr>
          <w:sz w:val="20"/>
        </w:rPr>
        <w:t>Eighty-two</w:t>
      </w:r>
      <w:r>
        <w:rPr>
          <w:spacing w:val="-11"/>
          <w:sz w:val="20"/>
        </w:rPr>
        <w:t> </w:t>
      </w:r>
      <w:r>
        <w:rPr>
          <w:sz w:val="20"/>
        </w:rPr>
        <w:t>per</w:t>
      </w:r>
      <w:r>
        <w:rPr>
          <w:spacing w:val="-9"/>
          <w:sz w:val="20"/>
        </w:rPr>
        <w:t> </w:t>
      </w:r>
      <w:r>
        <w:rPr>
          <w:sz w:val="20"/>
        </w:rPr>
        <w:t>cent</w:t>
      </w:r>
      <w:r>
        <w:rPr>
          <w:spacing w:val="-9"/>
          <w:sz w:val="20"/>
        </w:rPr>
        <w:t> </w:t>
      </w:r>
      <w:r>
        <w:rPr>
          <w:sz w:val="20"/>
        </w:rPr>
        <w:t>of</w:t>
      </w:r>
      <w:r>
        <w:rPr>
          <w:spacing w:val="-11"/>
          <w:sz w:val="20"/>
        </w:rPr>
        <w:t> </w:t>
      </w:r>
      <w:r>
        <w:rPr>
          <w:sz w:val="20"/>
        </w:rPr>
        <w:t>claimants</w:t>
      </w:r>
      <w:r>
        <w:rPr>
          <w:spacing w:val="-9"/>
          <w:sz w:val="20"/>
        </w:rPr>
        <w:t> </w:t>
      </w:r>
      <w:r>
        <w:rPr>
          <w:sz w:val="20"/>
        </w:rPr>
        <w:t>rated</w:t>
      </w:r>
      <w:r>
        <w:rPr>
          <w:spacing w:val="-9"/>
          <w:sz w:val="20"/>
        </w:rPr>
        <w:t> </w:t>
      </w:r>
      <w:r>
        <w:rPr>
          <w:sz w:val="20"/>
        </w:rPr>
        <w:t>the</w:t>
      </w:r>
      <w:r>
        <w:rPr>
          <w:spacing w:val="-11"/>
          <w:sz w:val="20"/>
        </w:rPr>
        <w:t> </w:t>
      </w:r>
      <w:r>
        <w:rPr>
          <w:sz w:val="20"/>
        </w:rPr>
        <w:t>ECSO</w:t>
      </w:r>
      <w:r>
        <w:rPr>
          <w:spacing w:val="-10"/>
          <w:sz w:val="20"/>
        </w:rPr>
        <w:t> </w:t>
      </w:r>
      <w:r>
        <w:rPr>
          <w:sz w:val="20"/>
        </w:rPr>
        <w:t>support</w:t>
      </w:r>
      <w:r>
        <w:rPr>
          <w:spacing w:val="-10"/>
          <w:sz w:val="20"/>
        </w:rPr>
        <w:t> </w:t>
      </w:r>
      <w:r>
        <w:rPr>
          <w:sz w:val="20"/>
        </w:rPr>
        <w:t>officer</w:t>
      </w:r>
      <w:r>
        <w:rPr>
          <w:spacing w:val="-9"/>
          <w:sz w:val="20"/>
        </w:rPr>
        <w:t> </w:t>
      </w:r>
      <w:r>
        <w:rPr>
          <w:sz w:val="20"/>
        </w:rPr>
        <w:t>as</w:t>
      </w:r>
      <w:r>
        <w:rPr>
          <w:spacing w:val="-9"/>
          <w:sz w:val="20"/>
        </w:rPr>
        <w:t> </w:t>
      </w:r>
      <w:r>
        <w:rPr>
          <w:sz w:val="20"/>
        </w:rPr>
        <w:t>‘good’</w:t>
      </w:r>
      <w:r>
        <w:rPr>
          <w:spacing w:val="-9"/>
          <w:sz w:val="20"/>
        </w:rPr>
        <w:t> </w:t>
      </w:r>
      <w:r>
        <w:rPr>
          <w:sz w:val="20"/>
        </w:rPr>
        <w:t>at explaining the EC service but this score has fallen seven points from 2015.</w:t>
      </w:r>
    </w:p>
    <w:p>
      <w:pPr>
        <w:pStyle w:val="ListParagraph"/>
        <w:numPr>
          <w:ilvl w:val="0"/>
          <w:numId w:val="4"/>
        </w:numPr>
        <w:tabs>
          <w:tab w:pos="2057" w:val="left" w:leader="none"/>
        </w:tabs>
        <w:spacing w:line="254" w:lineRule="auto" w:before="1" w:after="0"/>
        <w:ind w:left="2056" w:right="1473" w:hanging="360"/>
        <w:jc w:val="both"/>
        <w:rPr>
          <w:sz w:val="20"/>
        </w:rPr>
      </w:pPr>
      <w:r>
        <w:rPr>
          <w:sz w:val="20"/>
        </w:rPr>
        <w:t>Awareness</w:t>
      </w:r>
      <w:r>
        <w:rPr>
          <w:spacing w:val="-10"/>
          <w:sz w:val="20"/>
        </w:rPr>
        <w:t> </w:t>
      </w:r>
      <w:r>
        <w:rPr>
          <w:sz w:val="20"/>
        </w:rPr>
        <w:t>of</w:t>
      </w:r>
      <w:r>
        <w:rPr>
          <w:spacing w:val="-8"/>
          <w:sz w:val="20"/>
        </w:rPr>
        <w:t> </w:t>
      </w:r>
      <w:r>
        <w:rPr>
          <w:sz w:val="20"/>
        </w:rPr>
        <w:t>EC</w:t>
      </w:r>
      <w:r>
        <w:rPr>
          <w:spacing w:val="-8"/>
          <w:sz w:val="20"/>
        </w:rPr>
        <w:t> </w:t>
      </w:r>
      <w:r>
        <w:rPr>
          <w:sz w:val="20"/>
        </w:rPr>
        <w:t>is</w:t>
      </w:r>
      <w:r>
        <w:rPr>
          <w:spacing w:val="-9"/>
          <w:sz w:val="20"/>
        </w:rPr>
        <w:t> </w:t>
      </w:r>
      <w:r>
        <w:rPr>
          <w:sz w:val="20"/>
        </w:rPr>
        <w:t>growing.</w:t>
      </w:r>
      <w:r>
        <w:rPr>
          <w:spacing w:val="-10"/>
          <w:sz w:val="20"/>
        </w:rPr>
        <w:t> </w:t>
      </w:r>
      <w:r>
        <w:rPr>
          <w:sz w:val="20"/>
        </w:rPr>
        <w:t>However,</w:t>
      </w:r>
      <w:r>
        <w:rPr>
          <w:spacing w:val="-9"/>
          <w:sz w:val="20"/>
        </w:rPr>
        <w:t> </w:t>
      </w:r>
      <w:r>
        <w:rPr>
          <w:sz w:val="20"/>
        </w:rPr>
        <w:t>some</w:t>
      </w:r>
      <w:r>
        <w:rPr>
          <w:spacing w:val="-9"/>
          <w:sz w:val="20"/>
        </w:rPr>
        <w:t> </w:t>
      </w:r>
      <w:r>
        <w:rPr>
          <w:sz w:val="20"/>
        </w:rPr>
        <w:t>audiences</w:t>
      </w:r>
      <w:r>
        <w:rPr>
          <w:spacing w:val="-9"/>
          <w:sz w:val="20"/>
        </w:rPr>
        <w:t> </w:t>
      </w:r>
      <w:r>
        <w:rPr>
          <w:sz w:val="20"/>
        </w:rPr>
        <w:t>(younger</w:t>
      </w:r>
      <w:r>
        <w:rPr>
          <w:spacing w:val="-9"/>
          <w:sz w:val="20"/>
        </w:rPr>
        <w:t> </w:t>
      </w:r>
      <w:r>
        <w:rPr>
          <w:sz w:val="20"/>
        </w:rPr>
        <w:t>claimants, smaller employers and first-time reps) are less aware of the service than the overall average and may need more support when dealing with cases.</w:t>
      </w:r>
    </w:p>
    <w:p>
      <w:pPr>
        <w:pStyle w:val="ListParagraph"/>
        <w:numPr>
          <w:ilvl w:val="0"/>
          <w:numId w:val="4"/>
        </w:numPr>
        <w:tabs>
          <w:tab w:pos="2057" w:val="left" w:leader="none"/>
        </w:tabs>
        <w:spacing w:line="256" w:lineRule="auto" w:before="5" w:after="0"/>
        <w:ind w:left="2056" w:right="1474" w:hanging="360"/>
        <w:jc w:val="both"/>
        <w:rPr>
          <w:sz w:val="20"/>
        </w:rPr>
      </w:pPr>
      <w:r>
        <w:rPr>
          <w:sz w:val="20"/>
        </w:rPr>
        <w:t>Around eight in ten survey participants who were in contact with a conciliator were in contact with just one. Seventy-seven per cent of claimant-side and 81 per cent of employer-side EC participants were satisfied with the amount of contact received.</w:t>
      </w:r>
    </w:p>
    <w:p>
      <w:pPr>
        <w:pStyle w:val="ListParagraph"/>
        <w:numPr>
          <w:ilvl w:val="0"/>
          <w:numId w:val="4"/>
        </w:numPr>
        <w:tabs>
          <w:tab w:pos="2057" w:val="left" w:leader="none"/>
        </w:tabs>
        <w:spacing w:line="256" w:lineRule="auto" w:before="0" w:after="0"/>
        <w:ind w:left="2056" w:right="1472" w:hanging="360"/>
        <w:jc w:val="both"/>
        <w:rPr>
          <w:sz w:val="20"/>
        </w:rPr>
      </w:pPr>
      <w:r>
        <w:rPr>
          <w:sz w:val="20"/>
        </w:rPr>
        <w:t>However, 20 per cent and 15 per cent respectively would prefer more contact – rising to 30 per cent for both audiences among those in contact with more than one conciliator</w:t>
      </w:r>
      <w:r>
        <w:rPr>
          <w:spacing w:val="-3"/>
          <w:sz w:val="20"/>
        </w:rPr>
        <w:t> </w:t>
      </w:r>
      <w:r>
        <w:rPr>
          <w:sz w:val="20"/>
        </w:rPr>
        <w:t>(i.e. users whose cases were handled by teams providing cover for conciliator absence or that changed hands between</w:t>
      </w:r>
      <w:r>
        <w:rPr>
          <w:spacing w:val="-18"/>
          <w:sz w:val="20"/>
        </w:rPr>
        <w:t> </w:t>
      </w:r>
      <w:r>
        <w:rPr>
          <w:sz w:val="20"/>
        </w:rPr>
        <w:t>conciliators;</w:t>
      </w:r>
      <w:r>
        <w:rPr>
          <w:spacing w:val="-18"/>
          <w:sz w:val="20"/>
        </w:rPr>
        <w:t> </w:t>
      </w:r>
      <w:r>
        <w:rPr>
          <w:sz w:val="20"/>
        </w:rPr>
        <w:t>this</w:t>
      </w:r>
      <w:r>
        <w:rPr>
          <w:spacing w:val="-17"/>
          <w:sz w:val="20"/>
        </w:rPr>
        <w:t> </w:t>
      </w:r>
      <w:r>
        <w:rPr>
          <w:sz w:val="20"/>
        </w:rPr>
        <w:t>survey</w:t>
      </w:r>
      <w:r>
        <w:rPr>
          <w:spacing w:val="-18"/>
          <w:sz w:val="20"/>
        </w:rPr>
        <w:t> </w:t>
      </w:r>
      <w:r>
        <w:rPr>
          <w:sz w:val="20"/>
        </w:rPr>
        <w:t>pre-dates</w:t>
      </w:r>
      <w:r>
        <w:rPr>
          <w:spacing w:val="-17"/>
          <w:sz w:val="20"/>
        </w:rPr>
        <w:t> </w:t>
      </w:r>
      <w:r>
        <w:rPr>
          <w:sz w:val="20"/>
        </w:rPr>
        <w:t>subsequent</w:t>
      </w:r>
      <w:r>
        <w:rPr>
          <w:spacing w:val="-18"/>
          <w:sz w:val="20"/>
        </w:rPr>
        <w:t> </w:t>
      </w:r>
      <w:r>
        <w:rPr>
          <w:sz w:val="20"/>
        </w:rPr>
        <w:t>pilots</w:t>
      </w:r>
      <w:r>
        <w:rPr>
          <w:spacing w:val="-18"/>
          <w:sz w:val="20"/>
        </w:rPr>
        <w:t> </w:t>
      </w:r>
      <w:r>
        <w:rPr>
          <w:sz w:val="20"/>
        </w:rPr>
        <w:t>of</w:t>
      </w:r>
      <w:r>
        <w:rPr>
          <w:spacing w:val="-17"/>
          <w:sz w:val="20"/>
        </w:rPr>
        <w:t> </w:t>
      </w:r>
      <w:r>
        <w:rPr>
          <w:sz w:val="20"/>
        </w:rPr>
        <w:t>team-based service delivery).</w:t>
      </w:r>
    </w:p>
    <w:p>
      <w:pPr>
        <w:pStyle w:val="ListParagraph"/>
        <w:numPr>
          <w:ilvl w:val="0"/>
          <w:numId w:val="4"/>
        </w:numPr>
        <w:tabs>
          <w:tab w:pos="2058" w:val="left" w:leader="none"/>
        </w:tabs>
        <w:spacing w:line="256" w:lineRule="auto" w:before="0" w:after="0"/>
        <w:ind w:left="2057" w:right="1474" w:hanging="360"/>
        <w:jc w:val="both"/>
        <w:rPr>
          <w:sz w:val="20"/>
        </w:rPr>
      </w:pPr>
      <w:r>
        <w:rPr>
          <w:sz w:val="20"/>
        </w:rPr>
        <w:t>Conciliators are rated very positively across a range of professional competencies</w:t>
      </w:r>
      <w:r>
        <w:rPr>
          <w:spacing w:val="-3"/>
          <w:sz w:val="20"/>
        </w:rPr>
        <w:t> </w:t>
      </w:r>
      <w:r>
        <w:rPr>
          <w:sz w:val="20"/>
        </w:rPr>
        <w:t>and</w:t>
      </w:r>
      <w:r>
        <w:rPr>
          <w:spacing w:val="-4"/>
          <w:sz w:val="20"/>
        </w:rPr>
        <w:t> </w:t>
      </w:r>
      <w:r>
        <w:rPr>
          <w:sz w:val="20"/>
        </w:rPr>
        <w:t>behaviour</w:t>
      </w:r>
      <w:r>
        <w:rPr>
          <w:spacing w:val="-3"/>
          <w:sz w:val="20"/>
        </w:rPr>
        <w:t> </w:t>
      </w:r>
      <w:r>
        <w:rPr>
          <w:sz w:val="20"/>
        </w:rPr>
        <w:t>traits</w:t>
      </w:r>
      <w:r>
        <w:rPr>
          <w:spacing w:val="-4"/>
          <w:sz w:val="20"/>
        </w:rPr>
        <w:t> </w:t>
      </w:r>
      <w:r>
        <w:rPr>
          <w:sz w:val="20"/>
        </w:rPr>
        <w:t>but</w:t>
      </w:r>
      <w:r>
        <w:rPr>
          <w:spacing w:val="-4"/>
          <w:sz w:val="20"/>
        </w:rPr>
        <w:t> </w:t>
      </w:r>
      <w:r>
        <w:rPr>
          <w:sz w:val="20"/>
        </w:rPr>
        <w:t>the</w:t>
      </w:r>
      <w:r>
        <w:rPr>
          <w:spacing w:val="-3"/>
          <w:sz w:val="20"/>
        </w:rPr>
        <w:t> </w:t>
      </w:r>
      <w:r>
        <w:rPr>
          <w:sz w:val="20"/>
        </w:rPr>
        <w:t>proportion</w:t>
      </w:r>
      <w:r>
        <w:rPr>
          <w:spacing w:val="-2"/>
          <w:sz w:val="20"/>
        </w:rPr>
        <w:t> </w:t>
      </w:r>
      <w:r>
        <w:rPr>
          <w:sz w:val="20"/>
        </w:rPr>
        <w:t>of</w:t>
      </w:r>
      <w:r>
        <w:rPr>
          <w:spacing w:val="-4"/>
          <w:sz w:val="20"/>
        </w:rPr>
        <w:t> </w:t>
      </w:r>
      <w:r>
        <w:rPr>
          <w:sz w:val="20"/>
        </w:rPr>
        <w:t>both</w:t>
      </w:r>
      <w:r>
        <w:rPr>
          <w:spacing w:val="-4"/>
          <w:sz w:val="20"/>
        </w:rPr>
        <w:t> </w:t>
      </w:r>
      <w:r>
        <w:rPr>
          <w:sz w:val="20"/>
        </w:rPr>
        <w:t>claimant-side and employer-side EC participants rating conciliators as ‘good’ at outlining the</w:t>
      </w:r>
      <w:r>
        <w:rPr>
          <w:spacing w:val="-5"/>
          <w:sz w:val="20"/>
        </w:rPr>
        <w:t> </w:t>
      </w:r>
      <w:r>
        <w:rPr>
          <w:sz w:val="20"/>
        </w:rPr>
        <w:t>employment</w:t>
      </w:r>
      <w:r>
        <w:rPr>
          <w:spacing w:val="-4"/>
          <w:sz w:val="20"/>
        </w:rPr>
        <w:t> </w:t>
      </w:r>
      <w:r>
        <w:rPr>
          <w:sz w:val="20"/>
        </w:rPr>
        <w:t>law</w:t>
      </w:r>
      <w:r>
        <w:rPr>
          <w:spacing w:val="-4"/>
          <w:sz w:val="20"/>
        </w:rPr>
        <w:t> </w:t>
      </w:r>
      <w:r>
        <w:rPr>
          <w:sz w:val="20"/>
        </w:rPr>
        <w:t>as</w:t>
      </w:r>
      <w:r>
        <w:rPr>
          <w:spacing w:val="-5"/>
          <w:sz w:val="20"/>
        </w:rPr>
        <w:t> </w:t>
      </w:r>
      <w:r>
        <w:rPr>
          <w:sz w:val="20"/>
        </w:rPr>
        <w:t>it</w:t>
      </w:r>
      <w:r>
        <w:rPr>
          <w:spacing w:val="-4"/>
          <w:sz w:val="20"/>
        </w:rPr>
        <w:t> </w:t>
      </w:r>
      <w:r>
        <w:rPr>
          <w:sz w:val="20"/>
        </w:rPr>
        <w:t>applied</w:t>
      </w:r>
      <w:r>
        <w:rPr>
          <w:spacing w:val="-4"/>
          <w:sz w:val="20"/>
        </w:rPr>
        <w:t> </w:t>
      </w:r>
      <w:r>
        <w:rPr>
          <w:sz w:val="20"/>
        </w:rPr>
        <w:t>to</w:t>
      </w:r>
      <w:r>
        <w:rPr>
          <w:spacing w:val="-5"/>
          <w:sz w:val="20"/>
        </w:rPr>
        <w:t> </w:t>
      </w:r>
      <w:r>
        <w:rPr>
          <w:sz w:val="20"/>
        </w:rPr>
        <w:t>their</w:t>
      </w:r>
      <w:r>
        <w:rPr>
          <w:spacing w:val="-5"/>
          <w:sz w:val="20"/>
        </w:rPr>
        <w:t> </w:t>
      </w:r>
      <w:r>
        <w:rPr>
          <w:sz w:val="20"/>
        </w:rPr>
        <w:t>case</w:t>
      </w:r>
      <w:r>
        <w:rPr>
          <w:spacing w:val="-5"/>
          <w:sz w:val="20"/>
        </w:rPr>
        <w:t> </w:t>
      </w:r>
      <w:r>
        <w:rPr>
          <w:sz w:val="20"/>
        </w:rPr>
        <w:t>has</w:t>
      </w:r>
      <w:r>
        <w:rPr>
          <w:spacing w:val="-5"/>
          <w:sz w:val="20"/>
        </w:rPr>
        <w:t> </w:t>
      </w:r>
      <w:r>
        <w:rPr>
          <w:sz w:val="20"/>
        </w:rPr>
        <w:t>fallen</w:t>
      </w:r>
      <w:r>
        <w:rPr>
          <w:spacing w:val="-4"/>
          <w:sz w:val="20"/>
        </w:rPr>
        <w:t> </w:t>
      </w:r>
      <w:r>
        <w:rPr>
          <w:sz w:val="20"/>
        </w:rPr>
        <w:t>sharply</w:t>
      </w:r>
      <w:r>
        <w:rPr>
          <w:spacing w:val="-5"/>
          <w:sz w:val="20"/>
        </w:rPr>
        <w:t> </w:t>
      </w:r>
      <w:r>
        <w:rPr>
          <w:sz w:val="20"/>
        </w:rPr>
        <w:t>(15</w:t>
      </w:r>
      <w:r>
        <w:rPr>
          <w:spacing w:val="-6"/>
          <w:sz w:val="20"/>
        </w:rPr>
        <w:t> </w:t>
      </w:r>
      <w:r>
        <w:rPr>
          <w:sz w:val="20"/>
        </w:rPr>
        <w:t>points and 16 points respectively).</w:t>
      </w:r>
    </w:p>
    <w:p>
      <w:pPr>
        <w:pStyle w:val="ListParagraph"/>
        <w:numPr>
          <w:ilvl w:val="0"/>
          <w:numId w:val="4"/>
        </w:numPr>
        <w:tabs>
          <w:tab w:pos="2058" w:val="left" w:leader="none"/>
        </w:tabs>
        <w:spacing w:line="254" w:lineRule="auto" w:before="0" w:after="0"/>
        <w:ind w:left="2057" w:right="1473" w:hanging="360"/>
        <w:jc w:val="both"/>
        <w:rPr>
          <w:sz w:val="20"/>
        </w:rPr>
      </w:pPr>
      <w:r>
        <w:rPr>
          <w:sz w:val="20"/>
        </w:rPr>
        <w:t>Satisfaction with the service provided by Acas among EC participants remains very high, with eight in ten satisfied on both the claimant and </w:t>
      </w:r>
      <w:r>
        <w:rPr>
          <w:spacing w:val="-2"/>
          <w:sz w:val="20"/>
        </w:rPr>
        <w:t>employer-side.</w:t>
      </w:r>
    </w:p>
    <w:p>
      <w:pPr>
        <w:pStyle w:val="ListParagraph"/>
        <w:numPr>
          <w:ilvl w:val="0"/>
          <w:numId w:val="4"/>
        </w:numPr>
        <w:tabs>
          <w:tab w:pos="2058" w:val="left" w:leader="none"/>
        </w:tabs>
        <w:spacing w:line="256" w:lineRule="auto" w:before="0" w:after="0"/>
        <w:ind w:left="2057" w:right="1474" w:hanging="360"/>
        <w:jc w:val="both"/>
        <w:rPr>
          <w:sz w:val="20"/>
        </w:rPr>
      </w:pPr>
      <w:r>
        <w:rPr>
          <w:sz w:val="20"/>
        </w:rPr>
        <w:t>Employer-side satisfaction with the Acas service has fallen six points since 2015, likely linked to</w:t>
      </w:r>
      <w:r>
        <w:rPr>
          <w:spacing w:val="-1"/>
          <w:sz w:val="20"/>
        </w:rPr>
        <w:t> </w:t>
      </w:r>
      <w:r>
        <w:rPr>
          <w:sz w:val="20"/>
        </w:rPr>
        <w:t>falling satisfaction with EC outcome</w:t>
      </w:r>
      <w:r>
        <w:rPr>
          <w:spacing w:val="-2"/>
          <w:sz w:val="20"/>
        </w:rPr>
        <w:t> </w:t>
      </w:r>
      <w:r>
        <w:rPr>
          <w:sz w:val="20"/>
        </w:rPr>
        <w:t>(down 11</w:t>
      </w:r>
      <w:r>
        <w:rPr>
          <w:spacing w:val="-1"/>
          <w:sz w:val="20"/>
        </w:rPr>
        <w:t> </w:t>
      </w:r>
      <w:r>
        <w:rPr>
          <w:sz w:val="20"/>
        </w:rPr>
        <w:t>points) and fewer COT3 settlements recorded in the survey with this audience (those reaching a settlement typically give better satisfaction scores).</w:t>
      </w:r>
    </w:p>
    <w:p>
      <w:pPr>
        <w:pStyle w:val="ListParagraph"/>
        <w:numPr>
          <w:ilvl w:val="0"/>
          <w:numId w:val="4"/>
        </w:numPr>
        <w:tabs>
          <w:tab w:pos="2058" w:val="left" w:leader="none"/>
        </w:tabs>
        <w:spacing w:line="256" w:lineRule="auto" w:before="0" w:after="0"/>
        <w:ind w:left="2057" w:right="1473" w:hanging="360"/>
        <w:jc w:val="both"/>
        <w:rPr>
          <w:sz w:val="20"/>
        </w:rPr>
      </w:pPr>
      <w:r>
        <w:rPr>
          <w:sz w:val="20"/>
        </w:rPr>
        <w:t>However, regression analysis shows several internal Acas factors can influence the likelihood of a settlement taking place, such as the quality of information given at the notification stage or the frequency and nature of contact with the conciliator(s) during the EC process.</w:t>
      </w:r>
    </w:p>
    <w:p>
      <w:pPr>
        <w:pStyle w:val="ListParagraph"/>
        <w:numPr>
          <w:ilvl w:val="0"/>
          <w:numId w:val="4"/>
        </w:numPr>
        <w:tabs>
          <w:tab w:pos="2058" w:val="left" w:leader="none"/>
        </w:tabs>
        <w:spacing w:line="256" w:lineRule="auto" w:before="0" w:after="0"/>
        <w:ind w:left="2057" w:right="1473" w:hanging="360"/>
        <w:jc w:val="both"/>
        <w:rPr>
          <w:sz w:val="20"/>
        </w:rPr>
      </w:pPr>
      <w:r>
        <w:rPr>
          <w:sz w:val="20"/>
        </w:rPr>
        <w:t>EC participants on the employer-side who were in contact with more than one conciliator (i.e. their cases were handled by teams providing cover for conciliator absence) tend to be less satisfied with the service provided overall</w:t>
      </w:r>
      <w:r>
        <w:rPr>
          <w:spacing w:val="-11"/>
          <w:sz w:val="20"/>
        </w:rPr>
        <w:t> </w:t>
      </w:r>
      <w:r>
        <w:rPr>
          <w:sz w:val="20"/>
        </w:rPr>
        <w:t>than</w:t>
      </w:r>
      <w:r>
        <w:rPr>
          <w:spacing w:val="-11"/>
          <w:sz w:val="20"/>
        </w:rPr>
        <w:t> </w:t>
      </w:r>
      <w:r>
        <w:rPr>
          <w:sz w:val="20"/>
        </w:rPr>
        <w:t>those</w:t>
      </w:r>
      <w:r>
        <w:rPr>
          <w:spacing w:val="-11"/>
          <w:sz w:val="20"/>
        </w:rPr>
        <w:t> </w:t>
      </w:r>
      <w:r>
        <w:rPr>
          <w:sz w:val="20"/>
        </w:rPr>
        <w:t>in</w:t>
      </w:r>
      <w:r>
        <w:rPr>
          <w:spacing w:val="-10"/>
          <w:sz w:val="20"/>
        </w:rPr>
        <w:t> </w:t>
      </w:r>
      <w:r>
        <w:rPr>
          <w:sz w:val="20"/>
        </w:rPr>
        <w:t>contact</w:t>
      </w:r>
      <w:r>
        <w:rPr>
          <w:spacing w:val="-11"/>
          <w:sz w:val="20"/>
        </w:rPr>
        <w:t> </w:t>
      </w:r>
      <w:r>
        <w:rPr>
          <w:sz w:val="20"/>
        </w:rPr>
        <w:t>with</w:t>
      </w:r>
      <w:r>
        <w:rPr>
          <w:spacing w:val="-11"/>
          <w:sz w:val="20"/>
        </w:rPr>
        <w:t> </w:t>
      </w:r>
      <w:r>
        <w:rPr>
          <w:sz w:val="20"/>
        </w:rPr>
        <w:t>just</w:t>
      </w:r>
      <w:r>
        <w:rPr>
          <w:spacing w:val="-10"/>
          <w:sz w:val="20"/>
        </w:rPr>
        <w:t> </w:t>
      </w:r>
      <w:r>
        <w:rPr>
          <w:sz w:val="20"/>
        </w:rPr>
        <w:t>one.</w:t>
      </w:r>
      <w:r>
        <w:rPr>
          <w:spacing w:val="-10"/>
          <w:sz w:val="20"/>
        </w:rPr>
        <w:t> </w:t>
      </w:r>
      <w:r>
        <w:rPr>
          <w:sz w:val="20"/>
        </w:rPr>
        <w:t>This</w:t>
      </w:r>
      <w:r>
        <w:rPr>
          <w:spacing w:val="-10"/>
          <w:sz w:val="20"/>
        </w:rPr>
        <w:t> </w:t>
      </w:r>
      <w:r>
        <w:rPr>
          <w:sz w:val="20"/>
        </w:rPr>
        <w:t>is</w:t>
      </w:r>
      <w:r>
        <w:rPr>
          <w:spacing w:val="-10"/>
          <w:sz w:val="20"/>
        </w:rPr>
        <w:t> </w:t>
      </w:r>
      <w:r>
        <w:rPr>
          <w:sz w:val="20"/>
        </w:rPr>
        <w:t>not</w:t>
      </w:r>
      <w:r>
        <w:rPr>
          <w:spacing w:val="-10"/>
          <w:sz w:val="20"/>
        </w:rPr>
        <w:t> </w:t>
      </w:r>
      <w:r>
        <w:rPr>
          <w:sz w:val="20"/>
        </w:rPr>
        <w:t>the</w:t>
      </w:r>
      <w:r>
        <w:rPr>
          <w:spacing w:val="-12"/>
          <w:sz w:val="20"/>
        </w:rPr>
        <w:t> </w:t>
      </w:r>
      <w:r>
        <w:rPr>
          <w:sz w:val="20"/>
        </w:rPr>
        <w:t>case</w:t>
      </w:r>
      <w:r>
        <w:rPr>
          <w:spacing w:val="-11"/>
          <w:sz w:val="20"/>
        </w:rPr>
        <w:t> </w:t>
      </w:r>
      <w:r>
        <w:rPr>
          <w:sz w:val="20"/>
        </w:rPr>
        <w:t>for</w:t>
      </w:r>
      <w:r>
        <w:rPr>
          <w:spacing w:val="-11"/>
          <w:sz w:val="20"/>
        </w:rPr>
        <w:t> </w:t>
      </w:r>
      <w:r>
        <w:rPr>
          <w:sz w:val="20"/>
        </w:rPr>
        <w:t>claimant- side participants, although both audiences were less satisfied with the </w:t>
      </w:r>
      <w:r>
        <w:rPr>
          <w:i/>
          <w:sz w:val="20"/>
        </w:rPr>
        <w:t>timeliness</w:t>
      </w:r>
      <w:r>
        <w:rPr>
          <w:i/>
          <w:spacing w:val="-1"/>
          <w:sz w:val="20"/>
        </w:rPr>
        <w:t> </w:t>
      </w:r>
      <w:r>
        <w:rPr>
          <w:i/>
          <w:sz w:val="20"/>
        </w:rPr>
        <w:t>of contact </w:t>
      </w:r>
      <w:r>
        <w:rPr>
          <w:sz w:val="20"/>
        </w:rPr>
        <w:t>with conciliators</w:t>
      </w:r>
      <w:r>
        <w:rPr>
          <w:spacing w:val="-1"/>
          <w:sz w:val="20"/>
        </w:rPr>
        <w:t> </w:t>
      </w:r>
      <w:r>
        <w:rPr>
          <w:sz w:val="20"/>
        </w:rPr>
        <w:t>where</w:t>
      </w:r>
      <w:r>
        <w:rPr>
          <w:spacing w:val="-1"/>
          <w:sz w:val="20"/>
        </w:rPr>
        <w:t> </w:t>
      </w:r>
      <w:r>
        <w:rPr>
          <w:sz w:val="20"/>
        </w:rPr>
        <w:t>more</w:t>
      </w:r>
      <w:r>
        <w:rPr>
          <w:spacing w:val="-1"/>
          <w:sz w:val="20"/>
        </w:rPr>
        <w:t> </w:t>
      </w:r>
      <w:r>
        <w:rPr>
          <w:sz w:val="20"/>
        </w:rPr>
        <w:t>than one</w:t>
      </w:r>
      <w:r>
        <w:rPr>
          <w:spacing w:val="-1"/>
          <w:sz w:val="20"/>
        </w:rPr>
        <w:t> </w:t>
      </w:r>
      <w:r>
        <w:rPr>
          <w:sz w:val="20"/>
        </w:rPr>
        <w:t>conciliator was </w:t>
      </w:r>
      <w:r>
        <w:rPr>
          <w:spacing w:val="-4"/>
          <w:sz w:val="20"/>
        </w:rPr>
        <w:t>used.</w:t>
      </w:r>
    </w:p>
    <w:p>
      <w:pPr>
        <w:spacing w:after="0" w:line="256" w:lineRule="auto"/>
        <w:jc w:val="both"/>
        <w:rPr>
          <w:sz w:val="20"/>
        </w:rPr>
        <w:sectPr>
          <w:pgSz w:w="11910" w:h="16840"/>
          <w:pgMar w:header="0" w:footer="996" w:top="1340" w:bottom="1180" w:left="460" w:right="320"/>
        </w:sectPr>
      </w:pPr>
    </w:p>
    <w:p>
      <w:pPr>
        <w:pStyle w:val="ListParagraph"/>
        <w:numPr>
          <w:ilvl w:val="0"/>
          <w:numId w:val="4"/>
        </w:numPr>
        <w:tabs>
          <w:tab w:pos="2058" w:val="left" w:leader="none"/>
        </w:tabs>
        <w:spacing w:line="254" w:lineRule="auto" w:before="79" w:after="0"/>
        <w:ind w:left="2057" w:right="1473" w:hanging="360"/>
        <w:jc w:val="both"/>
        <w:rPr>
          <w:sz w:val="20"/>
        </w:rPr>
      </w:pPr>
      <w:r>
        <w:rPr>
          <w:sz w:val="20"/>
        </w:rPr>
        <w:t>Speed</w:t>
      </w:r>
      <w:r>
        <w:rPr>
          <w:spacing w:val="-1"/>
          <w:sz w:val="20"/>
        </w:rPr>
        <w:t> </w:t>
      </w:r>
      <w:r>
        <w:rPr>
          <w:sz w:val="20"/>
        </w:rPr>
        <w:t>and</w:t>
      </w:r>
      <w:r>
        <w:rPr>
          <w:spacing w:val="-3"/>
          <w:sz w:val="20"/>
        </w:rPr>
        <w:t> </w:t>
      </w:r>
      <w:r>
        <w:rPr>
          <w:sz w:val="20"/>
        </w:rPr>
        <w:t>avoiding</w:t>
      </w:r>
      <w:r>
        <w:rPr>
          <w:spacing w:val="-1"/>
          <w:sz w:val="20"/>
        </w:rPr>
        <w:t> </w:t>
      </w:r>
      <w:r>
        <w:rPr>
          <w:sz w:val="20"/>
        </w:rPr>
        <w:t>a</w:t>
      </w:r>
      <w:r>
        <w:rPr>
          <w:spacing w:val="-1"/>
          <w:sz w:val="20"/>
        </w:rPr>
        <w:t> </w:t>
      </w:r>
      <w:r>
        <w:rPr>
          <w:sz w:val="20"/>
        </w:rPr>
        <w:t>tribunal</w:t>
      </w:r>
      <w:r>
        <w:rPr>
          <w:spacing w:val="-2"/>
          <w:sz w:val="20"/>
        </w:rPr>
        <w:t> </w:t>
      </w:r>
      <w:r>
        <w:rPr>
          <w:sz w:val="20"/>
        </w:rPr>
        <w:t>are</w:t>
      </w:r>
      <w:r>
        <w:rPr>
          <w:spacing w:val="-1"/>
          <w:sz w:val="20"/>
        </w:rPr>
        <w:t> </w:t>
      </w:r>
      <w:r>
        <w:rPr>
          <w:sz w:val="20"/>
        </w:rPr>
        <w:t>seen as</w:t>
      </w:r>
      <w:r>
        <w:rPr>
          <w:spacing w:val="-2"/>
          <w:sz w:val="20"/>
        </w:rPr>
        <w:t> </w:t>
      </w:r>
      <w:r>
        <w:rPr>
          <w:sz w:val="20"/>
        </w:rPr>
        <w:t>key</w:t>
      </w:r>
      <w:r>
        <w:rPr>
          <w:spacing w:val="-2"/>
          <w:sz w:val="20"/>
        </w:rPr>
        <w:t> </w:t>
      </w:r>
      <w:r>
        <w:rPr>
          <w:sz w:val="20"/>
        </w:rPr>
        <w:t>benefits</w:t>
      </w:r>
      <w:r>
        <w:rPr>
          <w:spacing w:val="-2"/>
          <w:sz w:val="20"/>
        </w:rPr>
        <w:t> </w:t>
      </w:r>
      <w:r>
        <w:rPr>
          <w:sz w:val="20"/>
        </w:rPr>
        <w:t>of</w:t>
      </w:r>
      <w:r>
        <w:rPr>
          <w:spacing w:val="-2"/>
          <w:sz w:val="20"/>
        </w:rPr>
        <w:t> </w:t>
      </w:r>
      <w:r>
        <w:rPr>
          <w:sz w:val="20"/>
        </w:rPr>
        <w:t>using</w:t>
      </w:r>
      <w:r>
        <w:rPr>
          <w:spacing w:val="-2"/>
          <w:sz w:val="20"/>
        </w:rPr>
        <w:t> </w:t>
      </w:r>
      <w:r>
        <w:rPr>
          <w:sz w:val="20"/>
        </w:rPr>
        <w:t>EC and</w:t>
      </w:r>
      <w:r>
        <w:rPr>
          <w:spacing w:val="-1"/>
          <w:sz w:val="20"/>
        </w:rPr>
        <w:t> </w:t>
      </w:r>
      <w:r>
        <w:rPr>
          <w:sz w:val="20"/>
        </w:rPr>
        <w:t>the overwhelming</w:t>
      </w:r>
      <w:r>
        <w:rPr>
          <w:spacing w:val="-4"/>
          <w:sz w:val="20"/>
        </w:rPr>
        <w:t> </w:t>
      </w:r>
      <w:r>
        <w:rPr>
          <w:sz w:val="20"/>
        </w:rPr>
        <w:t>majority</w:t>
      </w:r>
      <w:r>
        <w:rPr>
          <w:spacing w:val="-5"/>
          <w:sz w:val="20"/>
        </w:rPr>
        <w:t> </w:t>
      </w:r>
      <w:r>
        <w:rPr>
          <w:sz w:val="20"/>
        </w:rPr>
        <w:t>of</w:t>
      </w:r>
      <w:r>
        <w:rPr>
          <w:spacing w:val="-5"/>
          <w:sz w:val="20"/>
        </w:rPr>
        <w:t> </w:t>
      </w:r>
      <w:r>
        <w:rPr>
          <w:sz w:val="20"/>
        </w:rPr>
        <w:t>survey</w:t>
      </w:r>
      <w:r>
        <w:rPr>
          <w:spacing w:val="-5"/>
          <w:sz w:val="20"/>
        </w:rPr>
        <w:t> </w:t>
      </w:r>
      <w:r>
        <w:rPr>
          <w:sz w:val="20"/>
        </w:rPr>
        <w:t>participants</w:t>
      </w:r>
      <w:r>
        <w:rPr>
          <w:spacing w:val="-5"/>
          <w:sz w:val="20"/>
        </w:rPr>
        <w:t> </w:t>
      </w:r>
      <w:r>
        <w:rPr>
          <w:sz w:val="20"/>
        </w:rPr>
        <w:t>would</w:t>
      </w:r>
      <w:r>
        <w:rPr>
          <w:spacing w:val="-4"/>
          <w:sz w:val="20"/>
        </w:rPr>
        <w:t> </w:t>
      </w:r>
      <w:r>
        <w:rPr>
          <w:sz w:val="20"/>
        </w:rPr>
        <w:t>be</w:t>
      </w:r>
      <w:r>
        <w:rPr>
          <w:spacing w:val="-6"/>
          <w:sz w:val="20"/>
        </w:rPr>
        <w:t> </w:t>
      </w:r>
      <w:r>
        <w:rPr>
          <w:sz w:val="20"/>
        </w:rPr>
        <w:t>prepared</w:t>
      </w:r>
      <w:r>
        <w:rPr>
          <w:spacing w:val="-4"/>
          <w:sz w:val="20"/>
        </w:rPr>
        <w:t> </w:t>
      </w:r>
      <w:r>
        <w:rPr>
          <w:sz w:val="20"/>
        </w:rPr>
        <w:t>to</w:t>
      </w:r>
      <w:r>
        <w:rPr>
          <w:spacing w:val="-6"/>
          <w:sz w:val="20"/>
        </w:rPr>
        <w:t> </w:t>
      </w:r>
      <w:r>
        <w:rPr>
          <w:sz w:val="20"/>
        </w:rPr>
        <w:t>use</w:t>
      </w:r>
      <w:r>
        <w:rPr>
          <w:spacing w:val="-5"/>
          <w:sz w:val="20"/>
        </w:rPr>
        <w:t> </w:t>
      </w:r>
      <w:r>
        <w:rPr>
          <w:sz w:val="20"/>
        </w:rPr>
        <w:t>the service in future if they encountered a similar situation again.</w:t>
      </w:r>
    </w:p>
    <w:p>
      <w:pPr>
        <w:pStyle w:val="ListParagraph"/>
        <w:numPr>
          <w:ilvl w:val="0"/>
          <w:numId w:val="4"/>
        </w:numPr>
        <w:tabs>
          <w:tab w:pos="2058" w:val="left" w:leader="none"/>
        </w:tabs>
        <w:spacing w:line="254" w:lineRule="auto" w:before="4" w:after="0"/>
        <w:ind w:left="2057" w:right="1473" w:hanging="360"/>
        <w:jc w:val="both"/>
        <w:rPr>
          <w:sz w:val="20"/>
        </w:rPr>
      </w:pPr>
      <w:r>
        <w:rPr>
          <w:sz w:val="20"/>
        </w:rPr>
        <w:t>More than eight in ten of those settling reported a financial settlement and almost all had received their payment by the time of the survey (94 per </w:t>
      </w:r>
      <w:r>
        <w:rPr>
          <w:spacing w:val="-2"/>
          <w:sz w:val="20"/>
        </w:rPr>
        <w:t>cent).</w:t>
      </w:r>
    </w:p>
    <w:p>
      <w:pPr>
        <w:pStyle w:val="ListParagraph"/>
        <w:numPr>
          <w:ilvl w:val="0"/>
          <w:numId w:val="4"/>
        </w:numPr>
        <w:tabs>
          <w:tab w:pos="2058" w:val="left" w:leader="none"/>
        </w:tabs>
        <w:spacing w:line="256" w:lineRule="auto" w:before="5" w:after="0"/>
        <w:ind w:left="2057" w:right="1473" w:hanging="360"/>
        <w:jc w:val="both"/>
        <w:rPr>
          <w:sz w:val="20"/>
        </w:rPr>
      </w:pPr>
      <w:r>
        <w:rPr>
          <w:sz w:val="20"/>
        </w:rPr>
        <w:t>Amongst those submitting an ET claim, practical considerations such as EC not</w:t>
      </w:r>
      <w:r>
        <w:rPr>
          <w:spacing w:val="-6"/>
          <w:sz w:val="20"/>
        </w:rPr>
        <w:t> </w:t>
      </w:r>
      <w:r>
        <w:rPr>
          <w:sz w:val="20"/>
        </w:rPr>
        <w:t>resolving</w:t>
      </w:r>
      <w:r>
        <w:rPr>
          <w:spacing w:val="-6"/>
          <w:sz w:val="20"/>
        </w:rPr>
        <w:t> </w:t>
      </w:r>
      <w:r>
        <w:rPr>
          <w:sz w:val="20"/>
        </w:rPr>
        <w:t>the</w:t>
      </w:r>
      <w:r>
        <w:rPr>
          <w:spacing w:val="-6"/>
          <w:sz w:val="20"/>
        </w:rPr>
        <w:t> </w:t>
      </w:r>
      <w:r>
        <w:rPr>
          <w:sz w:val="20"/>
        </w:rPr>
        <w:t>case</w:t>
      </w:r>
      <w:r>
        <w:rPr>
          <w:spacing w:val="-7"/>
          <w:sz w:val="20"/>
        </w:rPr>
        <w:t> </w:t>
      </w:r>
      <w:r>
        <w:rPr>
          <w:sz w:val="20"/>
        </w:rPr>
        <w:t>or</w:t>
      </w:r>
      <w:r>
        <w:rPr>
          <w:spacing w:val="-6"/>
          <w:sz w:val="20"/>
        </w:rPr>
        <w:t> </w:t>
      </w:r>
      <w:r>
        <w:rPr>
          <w:sz w:val="20"/>
        </w:rPr>
        <w:t>the</w:t>
      </w:r>
      <w:r>
        <w:rPr>
          <w:spacing w:val="-7"/>
          <w:sz w:val="20"/>
        </w:rPr>
        <w:t> </w:t>
      </w:r>
      <w:r>
        <w:rPr>
          <w:sz w:val="20"/>
        </w:rPr>
        <w:t>employer</w:t>
      </w:r>
      <w:r>
        <w:rPr>
          <w:spacing w:val="-6"/>
          <w:sz w:val="20"/>
        </w:rPr>
        <w:t> </w:t>
      </w:r>
      <w:r>
        <w:rPr>
          <w:sz w:val="20"/>
        </w:rPr>
        <w:t>not</w:t>
      </w:r>
      <w:r>
        <w:rPr>
          <w:spacing w:val="-7"/>
          <w:sz w:val="20"/>
        </w:rPr>
        <w:t> </w:t>
      </w:r>
      <w:r>
        <w:rPr>
          <w:sz w:val="20"/>
        </w:rPr>
        <w:t>being</w:t>
      </w:r>
      <w:r>
        <w:rPr>
          <w:spacing w:val="-6"/>
          <w:sz w:val="20"/>
        </w:rPr>
        <w:t> </w:t>
      </w:r>
      <w:r>
        <w:rPr>
          <w:sz w:val="20"/>
        </w:rPr>
        <w:t>willing</w:t>
      </w:r>
      <w:r>
        <w:rPr>
          <w:spacing w:val="-6"/>
          <w:sz w:val="20"/>
        </w:rPr>
        <w:t> </w:t>
      </w:r>
      <w:r>
        <w:rPr>
          <w:sz w:val="20"/>
        </w:rPr>
        <w:t>to</w:t>
      </w:r>
      <w:r>
        <w:rPr>
          <w:spacing w:val="-8"/>
          <w:sz w:val="20"/>
        </w:rPr>
        <w:t> </w:t>
      </w:r>
      <w:r>
        <w:rPr>
          <w:sz w:val="20"/>
        </w:rPr>
        <w:t>engage</w:t>
      </w:r>
      <w:r>
        <w:rPr>
          <w:spacing w:val="-6"/>
          <w:sz w:val="20"/>
        </w:rPr>
        <w:t> </w:t>
      </w:r>
      <w:r>
        <w:rPr>
          <w:sz w:val="20"/>
        </w:rPr>
        <w:t>are</w:t>
      </w:r>
      <w:r>
        <w:rPr>
          <w:spacing w:val="-7"/>
          <w:sz w:val="20"/>
        </w:rPr>
        <w:t> </w:t>
      </w:r>
      <w:r>
        <w:rPr>
          <w:sz w:val="20"/>
        </w:rPr>
        <w:t>cited as key reasons for doing so, along</w:t>
      </w:r>
      <w:r>
        <w:rPr>
          <w:spacing w:val="-1"/>
          <w:sz w:val="20"/>
        </w:rPr>
        <w:t> </w:t>
      </w:r>
      <w:r>
        <w:rPr>
          <w:sz w:val="20"/>
        </w:rPr>
        <w:t>with</w:t>
      </w:r>
      <w:r>
        <w:rPr>
          <w:spacing w:val="-1"/>
          <w:sz w:val="20"/>
        </w:rPr>
        <w:t> </w:t>
      </w:r>
      <w:r>
        <w:rPr>
          <w:sz w:val="20"/>
        </w:rPr>
        <w:t>holding the employer to account</w:t>
      </w:r>
      <w:r>
        <w:rPr>
          <w:spacing w:val="-1"/>
          <w:sz w:val="20"/>
        </w:rPr>
        <w:t> </w:t>
      </w:r>
      <w:r>
        <w:rPr>
          <w:sz w:val="20"/>
        </w:rPr>
        <w:t>or recovering</w:t>
      </w:r>
      <w:r>
        <w:rPr>
          <w:spacing w:val="-7"/>
          <w:sz w:val="20"/>
        </w:rPr>
        <w:t> </w:t>
      </w:r>
      <w:r>
        <w:rPr>
          <w:sz w:val="20"/>
        </w:rPr>
        <w:t>money</w:t>
      </w:r>
      <w:r>
        <w:rPr>
          <w:spacing w:val="-8"/>
          <w:sz w:val="20"/>
        </w:rPr>
        <w:t> </w:t>
      </w:r>
      <w:r>
        <w:rPr>
          <w:sz w:val="20"/>
        </w:rPr>
        <w:t>owed.</w:t>
      </w:r>
      <w:r>
        <w:rPr>
          <w:spacing w:val="-8"/>
          <w:sz w:val="20"/>
        </w:rPr>
        <w:t> </w:t>
      </w:r>
      <w:r>
        <w:rPr>
          <w:sz w:val="20"/>
        </w:rPr>
        <w:t>Two</w:t>
      </w:r>
      <w:r>
        <w:rPr>
          <w:spacing w:val="-8"/>
          <w:sz w:val="20"/>
        </w:rPr>
        <w:t> </w:t>
      </w:r>
      <w:r>
        <w:rPr>
          <w:sz w:val="20"/>
        </w:rPr>
        <w:t>in</w:t>
      </w:r>
      <w:r>
        <w:rPr>
          <w:spacing w:val="-8"/>
          <w:sz w:val="20"/>
        </w:rPr>
        <w:t> </w:t>
      </w:r>
      <w:r>
        <w:rPr>
          <w:sz w:val="20"/>
        </w:rPr>
        <w:t>three</w:t>
      </w:r>
      <w:r>
        <w:rPr>
          <w:spacing w:val="-9"/>
          <w:sz w:val="20"/>
        </w:rPr>
        <w:t> </w:t>
      </w:r>
      <w:r>
        <w:rPr>
          <w:sz w:val="20"/>
        </w:rPr>
        <w:t>of</w:t>
      </w:r>
      <w:r>
        <w:rPr>
          <w:spacing w:val="-8"/>
          <w:sz w:val="20"/>
        </w:rPr>
        <w:t> </w:t>
      </w:r>
      <w:r>
        <w:rPr>
          <w:sz w:val="20"/>
        </w:rPr>
        <w:t>this</w:t>
      </w:r>
      <w:r>
        <w:rPr>
          <w:spacing w:val="-8"/>
          <w:sz w:val="20"/>
        </w:rPr>
        <w:t> </w:t>
      </w:r>
      <w:r>
        <w:rPr>
          <w:sz w:val="20"/>
        </w:rPr>
        <w:t>group</w:t>
      </w:r>
      <w:r>
        <w:rPr>
          <w:spacing w:val="-8"/>
          <w:sz w:val="20"/>
        </w:rPr>
        <w:t> </w:t>
      </w:r>
      <w:r>
        <w:rPr>
          <w:sz w:val="20"/>
        </w:rPr>
        <w:t>say</w:t>
      </w:r>
      <w:r>
        <w:rPr>
          <w:spacing w:val="-8"/>
          <w:sz w:val="20"/>
        </w:rPr>
        <w:t> </w:t>
      </w:r>
      <w:r>
        <w:rPr>
          <w:sz w:val="20"/>
        </w:rPr>
        <w:t>Acas</w:t>
      </w:r>
      <w:r>
        <w:rPr>
          <w:spacing w:val="-8"/>
          <w:sz w:val="20"/>
        </w:rPr>
        <w:t> </w:t>
      </w:r>
      <w:r>
        <w:rPr>
          <w:sz w:val="20"/>
        </w:rPr>
        <w:t>could</w:t>
      </w:r>
      <w:r>
        <w:rPr>
          <w:spacing w:val="-8"/>
          <w:sz w:val="20"/>
        </w:rPr>
        <w:t> </w:t>
      </w:r>
      <w:r>
        <w:rPr>
          <w:sz w:val="20"/>
        </w:rPr>
        <w:t>not</w:t>
      </w:r>
      <w:r>
        <w:rPr>
          <w:spacing w:val="-9"/>
          <w:sz w:val="20"/>
        </w:rPr>
        <w:t> </w:t>
      </w:r>
      <w:r>
        <w:rPr>
          <w:sz w:val="20"/>
        </w:rPr>
        <w:t>have done more.</w:t>
      </w:r>
    </w:p>
    <w:p>
      <w:pPr>
        <w:pStyle w:val="ListParagraph"/>
        <w:numPr>
          <w:ilvl w:val="0"/>
          <w:numId w:val="4"/>
        </w:numPr>
        <w:tabs>
          <w:tab w:pos="2057" w:val="left" w:leader="none"/>
        </w:tabs>
        <w:spacing w:line="256" w:lineRule="auto" w:before="0" w:after="0"/>
        <w:ind w:left="2056" w:right="1474" w:hanging="360"/>
        <w:jc w:val="both"/>
        <w:rPr>
          <w:sz w:val="20"/>
        </w:rPr>
      </w:pPr>
      <w:r>
        <w:rPr>
          <w:sz w:val="20"/>
        </w:rPr>
        <w:t>Amongst those claimant-side participants deciding </w:t>
      </w:r>
      <w:r>
        <w:rPr>
          <w:i/>
          <w:sz w:val="20"/>
        </w:rPr>
        <w:t>not </w:t>
      </w:r>
      <w:r>
        <w:rPr>
          <w:sz w:val="20"/>
        </w:rPr>
        <w:t>to go to tribunal, two-thirds say that Acas was a factor in their decision not to proceed to at least some extent.</w:t>
      </w:r>
    </w:p>
    <w:p>
      <w:pPr>
        <w:pStyle w:val="BodyText"/>
        <w:rPr>
          <w:sz w:val="24"/>
        </w:rPr>
      </w:pPr>
    </w:p>
    <w:p>
      <w:pPr>
        <w:pStyle w:val="Heading3"/>
        <w:spacing w:before="183"/>
        <w:ind w:left="39" w:right="183"/>
        <w:jc w:val="center"/>
      </w:pPr>
      <w:r>
        <w:rPr/>
        <w:t>Conciliation</w:t>
      </w:r>
      <w:r>
        <w:rPr>
          <w:spacing w:val="-10"/>
        </w:rPr>
        <w:t> </w:t>
      </w:r>
      <w:r>
        <w:rPr/>
        <w:t>in</w:t>
      </w:r>
      <w:r>
        <w:rPr>
          <w:spacing w:val="-7"/>
        </w:rPr>
        <w:t> </w:t>
      </w:r>
      <w:r>
        <w:rPr/>
        <w:t>Employment</w:t>
      </w:r>
      <w:r>
        <w:rPr>
          <w:spacing w:val="-7"/>
        </w:rPr>
        <w:t> </w:t>
      </w:r>
      <w:r>
        <w:rPr/>
        <w:t>Tribunal</w:t>
      </w:r>
      <w:r>
        <w:rPr>
          <w:spacing w:val="-7"/>
        </w:rPr>
        <w:t> </w:t>
      </w:r>
      <w:r>
        <w:rPr/>
        <w:t>applications</w:t>
      </w:r>
      <w:r>
        <w:rPr>
          <w:spacing w:val="-7"/>
        </w:rPr>
        <w:t> </w:t>
      </w:r>
      <w:r>
        <w:rPr/>
        <w:t>(‘Post-ET1</w:t>
      </w:r>
      <w:r>
        <w:rPr>
          <w:spacing w:val="-7"/>
        </w:rPr>
        <w:t> </w:t>
      </w:r>
      <w:r>
        <w:rPr>
          <w:spacing w:val="-2"/>
        </w:rPr>
        <w:t>Conciliation’)</w:t>
      </w:r>
    </w:p>
    <w:p>
      <w:pPr>
        <w:pStyle w:val="BodyText"/>
        <w:spacing w:before="9"/>
        <w:rPr>
          <w:b/>
          <w:sz w:val="22"/>
        </w:rPr>
      </w:pPr>
    </w:p>
    <w:p>
      <w:pPr>
        <w:pStyle w:val="ListParagraph"/>
        <w:numPr>
          <w:ilvl w:val="0"/>
          <w:numId w:val="4"/>
        </w:numPr>
        <w:tabs>
          <w:tab w:pos="2057" w:val="left" w:leader="none"/>
        </w:tabs>
        <w:spacing w:line="256" w:lineRule="auto" w:before="0" w:after="0"/>
        <w:ind w:left="2056" w:right="1475" w:hanging="360"/>
        <w:jc w:val="both"/>
        <w:rPr>
          <w:sz w:val="20"/>
        </w:rPr>
      </w:pPr>
      <w:r>
        <w:rPr>
          <w:sz w:val="20"/>
        </w:rPr>
        <w:t>Claimant- and employer-side profiles were very similar to the last wave of the</w:t>
      </w:r>
      <w:r>
        <w:rPr>
          <w:spacing w:val="-18"/>
          <w:sz w:val="20"/>
        </w:rPr>
        <w:t> </w:t>
      </w:r>
      <w:r>
        <w:rPr>
          <w:sz w:val="20"/>
        </w:rPr>
        <w:t>survey,</w:t>
      </w:r>
      <w:r>
        <w:rPr>
          <w:spacing w:val="-18"/>
          <w:sz w:val="20"/>
        </w:rPr>
        <w:t> </w:t>
      </w:r>
      <w:r>
        <w:rPr>
          <w:sz w:val="20"/>
        </w:rPr>
        <w:t>with</w:t>
      </w:r>
      <w:r>
        <w:rPr>
          <w:spacing w:val="-17"/>
          <w:sz w:val="20"/>
        </w:rPr>
        <w:t> </w:t>
      </w:r>
      <w:r>
        <w:rPr>
          <w:sz w:val="20"/>
        </w:rPr>
        <w:t>the</w:t>
      </w:r>
      <w:r>
        <w:rPr>
          <w:spacing w:val="-18"/>
          <w:sz w:val="20"/>
        </w:rPr>
        <w:t> </w:t>
      </w:r>
      <w:r>
        <w:rPr>
          <w:sz w:val="20"/>
        </w:rPr>
        <w:t>proportion</w:t>
      </w:r>
      <w:r>
        <w:rPr>
          <w:spacing w:val="-17"/>
          <w:sz w:val="20"/>
        </w:rPr>
        <w:t> </w:t>
      </w:r>
      <w:r>
        <w:rPr>
          <w:sz w:val="20"/>
        </w:rPr>
        <w:t>of</w:t>
      </w:r>
      <w:r>
        <w:rPr>
          <w:spacing w:val="-18"/>
          <w:sz w:val="20"/>
        </w:rPr>
        <w:t> </w:t>
      </w:r>
      <w:r>
        <w:rPr>
          <w:sz w:val="20"/>
        </w:rPr>
        <w:t>employers</w:t>
      </w:r>
      <w:r>
        <w:rPr>
          <w:spacing w:val="-18"/>
          <w:sz w:val="20"/>
        </w:rPr>
        <w:t> </w:t>
      </w:r>
      <w:r>
        <w:rPr>
          <w:sz w:val="20"/>
        </w:rPr>
        <w:t>from</w:t>
      </w:r>
      <w:r>
        <w:rPr>
          <w:spacing w:val="-17"/>
          <w:sz w:val="20"/>
        </w:rPr>
        <w:t> </w:t>
      </w:r>
      <w:r>
        <w:rPr>
          <w:sz w:val="20"/>
        </w:rPr>
        <w:t>larger</w:t>
      </w:r>
      <w:r>
        <w:rPr>
          <w:spacing w:val="-18"/>
          <w:sz w:val="20"/>
        </w:rPr>
        <w:t> </w:t>
      </w:r>
      <w:r>
        <w:rPr>
          <w:sz w:val="20"/>
        </w:rPr>
        <w:t>organisations</w:t>
      </w:r>
      <w:r>
        <w:rPr>
          <w:spacing w:val="-17"/>
          <w:sz w:val="20"/>
        </w:rPr>
        <w:t> </w:t>
      </w:r>
      <w:r>
        <w:rPr>
          <w:sz w:val="20"/>
        </w:rPr>
        <w:t>lower at the ET stage compared with the earlier EC stage – as seen in 2016.</w:t>
      </w:r>
    </w:p>
    <w:p>
      <w:pPr>
        <w:pStyle w:val="ListParagraph"/>
        <w:numPr>
          <w:ilvl w:val="0"/>
          <w:numId w:val="4"/>
        </w:numPr>
        <w:tabs>
          <w:tab w:pos="2057" w:val="left" w:leader="none"/>
        </w:tabs>
        <w:spacing w:line="254" w:lineRule="auto" w:before="0" w:after="0"/>
        <w:ind w:left="2056" w:right="1477" w:hanging="360"/>
        <w:jc w:val="both"/>
        <w:rPr>
          <w:sz w:val="20"/>
        </w:rPr>
      </w:pPr>
      <w:r>
        <w:rPr>
          <w:sz w:val="20"/>
        </w:rPr>
        <w:t>The proportion of smaller organisations involved in post-ET1 conciliation is larger than it was at the 2016 post-ET1 survey.</w:t>
      </w:r>
    </w:p>
    <w:p>
      <w:pPr>
        <w:pStyle w:val="ListParagraph"/>
        <w:numPr>
          <w:ilvl w:val="0"/>
          <w:numId w:val="4"/>
        </w:numPr>
        <w:tabs>
          <w:tab w:pos="2057" w:val="left" w:leader="none"/>
        </w:tabs>
        <w:spacing w:line="256" w:lineRule="auto" w:before="1" w:after="0"/>
        <w:ind w:left="2056" w:right="1476" w:hanging="360"/>
        <w:jc w:val="both"/>
        <w:rPr>
          <w:sz w:val="20"/>
        </w:rPr>
      </w:pPr>
      <w:r>
        <w:rPr>
          <w:sz w:val="20"/>
        </w:rPr>
        <w:t>Overall, representation levels for claimants and employers at post-ET1 conciliation have decreased since 2016, although they remain higher than for EC – this may be linked to an increase in the proportion of fast track cases involved in the ET phase for this wave.</w:t>
      </w:r>
    </w:p>
    <w:p>
      <w:pPr>
        <w:pStyle w:val="ListParagraph"/>
        <w:numPr>
          <w:ilvl w:val="0"/>
          <w:numId w:val="4"/>
        </w:numPr>
        <w:tabs>
          <w:tab w:pos="2057" w:val="left" w:leader="none"/>
        </w:tabs>
        <w:spacing w:line="256" w:lineRule="auto" w:before="0" w:after="0"/>
        <w:ind w:left="2056" w:right="1475" w:hanging="360"/>
        <w:jc w:val="both"/>
        <w:rPr>
          <w:sz w:val="20"/>
        </w:rPr>
      </w:pPr>
      <w:r>
        <w:rPr>
          <w:sz w:val="20"/>
        </w:rPr>
        <w:t>The level of reported service uptake was lower at the post-ET1 stage than it</w:t>
      </w:r>
      <w:r>
        <w:rPr>
          <w:spacing w:val="-8"/>
          <w:sz w:val="20"/>
        </w:rPr>
        <w:t> </w:t>
      </w:r>
      <w:r>
        <w:rPr>
          <w:sz w:val="20"/>
        </w:rPr>
        <w:t>was</w:t>
      </w:r>
      <w:r>
        <w:rPr>
          <w:spacing w:val="-9"/>
          <w:sz w:val="20"/>
        </w:rPr>
        <w:t> </w:t>
      </w:r>
      <w:r>
        <w:rPr>
          <w:sz w:val="20"/>
        </w:rPr>
        <w:t>for</w:t>
      </w:r>
      <w:r>
        <w:rPr>
          <w:spacing w:val="-9"/>
          <w:sz w:val="20"/>
        </w:rPr>
        <w:t> </w:t>
      </w:r>
      <w:r>
        <w:rPr>
          <w:sz w:val="20"/>
        </w:rPr>
        <w:t>EC.</w:t>
      </w:r>
      <w:r>
        <w:rPr>
          <w:spacing w:val="-9"/>
          <w:sz w:val="20"/>
        </w:rPr>
        <w:t> </w:t>
      </w:r>
      <w:r>
        <w:rPr>
          <w:sz w:val="20"/>
        </w:rPr>
        <w:t>Just</w:t>
      </w:r>
      <w:r>
        <w:rPr>
          <w:spacing w:val="-8"/>
          <w:sz w:val="20"/>
        </w:rPr>
        <w:t> </w:t>
      </w:r>
      <w:r>
        <w:rPr>
          <w:sz w:val="20"/>
        </w:rPr>
        <w:t>over</w:t>
      </w:r>
      <w:r>
        <w:rPr>
          <w:spacing w:val="-8"/>
          <w:sz w:val="20"/>
        </w:rPr>
        <w:t> </w:t>
      </w:r>
      <w:r>
        <w:rPr>
          <w:sz w:val="20"/>
        </w:rPr>
        <w:t>half</w:t>
      </w:r>
      <w:r>
        <w:rPr>
          <w:spacing w:val="-7"/>
          <w:sz w:val="20"/>
        </w:rPr>
        <w:t> </w:t>
      </w:r>
      <w:r>
        <w:rPr>
          <w:sz w:val="20"/>
        </w:rPr>
        <w:t>of</w:t>
      </w:r>
      <w:r>
        <w:rPr>
          <w:spacing w:val="-9"/>
          <w:sz w:val="20"/>
        </w:rPr>
        <w:t> </w:t>
      </w:r>
      <w:r>
        <w:rPr>
          <w:sz w:val="20"/>
        </w:rPr>
        <w:t>claimant-side</w:t>
      </w:r>
      <w:r>
        <w:rPr>
          <w:spacing w:val="-8"/>
          <w:sz w:val="20"/>
        </w:rPr>
        <w:t> </w:t>
      </w:r>
      <w:r>
        <w:rPr>
          <w:sz w:val="20"/>
        </w:rPr>
        <w:t>and</w:t>
      </w:r>
      <w:r>
        <w:rPr>
          <w:spacing w:val="-8"/>
          <w:sz w:val="20"/>
        </w:rPr>
        <w:t> </w:t>
      </w:r>
      <w:r>
        <w:rPr>
          <w:sz w:val="20"/>
        </w:rPr>
        <w:t>employer-side</w:t>
      </w:r>
      <w:r>
        <w:rPr>
          <w:spacing w:val="-8"/>
          <w:sz w:val="20"/>
        </w:rPr>
        <w:t> </w:t>
      </w:r>
      <w:r>
        <w:rPr>
          <w:sz w:val="20"/>
        </w:rPr>
        <w:t>participants who had been in contact with Acas since the submission of their ET claim confirmed taking part in conciliation at this point. In EC the comparable figure was 68 per cent, although sampling differences mean comparisons should be made with care and it is possible that reported uptake of post- ET1 conciliation is underestimated due to participant recall</w:t>
      </w:r>
      <w:hyperlink w:history="true" w:anchor="_bookmark68">
        <w:r>
          <w:rPr>
            <w:position w:val="7"/>
            <w:sz w:val="13"/>
          </w:rPr>
          <w:t>1</w:t>
        </w:r>
      </w:hyperlink>
      <w:r>
        <w:rPr>
          <w:sz w:val="20"/>
        </w:rPr>
        <w:t>.</w:t>
      </w:r>
    </w:p>
    <w:p>
      <w:pPr>
        <w:pStyle w:val="ListParagraph"/>
        <w:numPr>
          <w:ilvl w:val="0"/>
          <w:numId w:val="4"/>
        </w:numPr>
        <w:tabs>
          <w:tab w:pos="2058" w:val="left" w:leader="none"/>
        </w:tabs>
        <w:spacing w:line="256" w:lineRule="auto" w:before="0" w:after="0"/>
        <w:ind w:left="2057" w:right="1472" w:hanging="360"/>
        <w:jc w:val="both"/>
        <w:rPr>
          <w:sz w:val="20"/>
        </w:rPr>
      </w:pPr>
      <w:r>
        <w:rPr>
          <w:sz w:val="20"/>
        </w:rPr>
        <w:t>Previous participation in EC (for the same dispute) was identified as an important predictor of participation in post-ET1 conciliation, although this factor had no impact on reported satisfaction with Acas’ services. Recalling receiving an introduction letter</w:t>
      </w:r>
      <w:r>
        <w:rPr>
          <w:spacing w:val="-1"/>
          <w:sz w:val="20"/>
        </w:rPr>
        <w:t> </w:t>
      </w:r>
      <w:r>
        <w:rPr>
          <w:sz w:val="20"/>
        </w:rPr>
        <w:t>from an Acas</w:t>
      </w:r>
      <w:r>
        <w:rPr>
          <w:spacing w:val="-2"/>
          <w:sz w:val="20"/>
        </w:rPr>
        <w:t> </w:t>
      </w:r>
      <w:r>
        <w:rPr>
          <w:sz w:val="20"/>
        </w:rPr>
        <w:t>conciliator was</w:t>
      </w:r>
      <w:r>
        <w:rPr>
          <w:spacing w:val="-1"/>
          <w:sz w:val="20"/>
        </w:rPr>
        <w:t> </w:t>
      </w:r>
      <w:r>
        <w:rPr>
          <w:sz w:val="20"/>
        </w:rPr>
        <w:t>another driver of participation for both audiences.</w:t>
      </w:r>
    </w:p>
    <w:p>
      <w:pPr>
        <w:pStyle w:val="ListParagraph"/>
        <w:numPr>
          <w:ilvl w:val="0"/>
          <w:numId w:val="4"/>
        </w:numPr>
        <w:tabs>
          <w:tab w:pos="2058" w:val="left" w:leader="none"/>
        </w:tabs>
        <w:spacing w:line="256" w:lineRule="auto" w:before="0" w:after="0"/>
        <w:ind w:left="2057" w:right="1473" w:hanging="360"/>
        <w:jc w:val="both"/>
        <w:rPr>
          <w:sz w:val="20"/>
        </w:rPr>
      </w:pPr>
      <w:r>
        <w:rPr>
          <w:sz w:val="20"/>
        </w:rPr>
        <w:t>Most claimant- and employer-side participants had contact with just one Acas conciliator during post-ET1. Telephone remains the most common method</w:t>
      </w:r>
      <w:r>
        <w:rPr>
          <w:spacing w:val="-18"/>
          <w:sz w:val="20"/>
        </w:rPr>
        <w:t> </w:t>
      </w:r>
      <w:r>
        <w:rPr>
          <w:sz w:val="20"/>
        </w:rPr>
        <w:t>of</w:t>
      </w:r>
      <w:r>
        <w:rPr>
          <w:spacing w:val="-18"/>
          <w:sz w:val="20"/>
        </w:rPr>
        <w:t> </w:t>
      </w:r>
      <w:r>
        <w:rPr>
          <w:sz w:val="20"/>
        </w:rPr>
        <w:t>contact</w:t>
      </w:r>
      <w:r>
        <w:rPr>
          <w:spacing w:val="-17"/>
          <w:sz w:val="20"/>
        </w:rPr>
        <w:t> </w:t>
      </w:r>
      <w:r>
        <w:rPr>
          <w:sz w:val="20"/>
        </w:rPr>
        <w:t>with</w:t>
      </w:r>
      <w:r>
        <w:rPr>
          <w:spacing w:val="-18"/>
          <w:sz w:val="20"/>
        </w:rPr>
        <w:t> </w:t>
      </w:r>
      <w:r>
        <w:rPr>
          <w:sz w:val="20"/>
        </w:rPr>
        <w:t>conciliators</w:t>
      </w:r>
      <w:r>
        <w:rPr>
          <w:spacing w:val="-17"/>
          <w:sz w:val="20"/>
        </w:rPr>
        <w:t> </w:t>
      </w:r>
      <w:r>
        <w:rPr>
          <w:sz w:val="20"/>
        </w:rPr>
        <w:t>overall</w:t>
      </w:r>
      <w:r>
        <w:rPr>
          <w:spacing w:val="-18"/>
          <w:sz w:val="20"/>
        </w:rPr>
        <w:t> </w:t>
      </w:r>
      <w:r>
        <w:rPr>
          <w:sz w:val="20"/>
        </w:rPr>
        <w:t>but</w:t>
      </w:r>
      <w:r>
        <w:rPr>
          <w:spacing w:val="-18"/>
          <w:sz w:val="20"/>
        </w:rPr>
        <w:t> </w:t>
      </w:r>
      <w:r>
        <w:rPr>
          <w:sz w:val="20"/>
        </w:rPr>
        <w:t>employer</w:t>
      </w:r>
      <w:r>
        <w:rPr>
          <w:spacing w:val="-17"/>
          <w:sz w:val="20"/>
        </w:rPr>
        <w:t> </w:t>
      </w:r>
      <w:r>
        <w:rPr>
          <w:sz w:val="20"/>
        </w:rPr>
        <w:t>reps</w:t>
      </w:r>
      <w:r>
        <w:rPr>
          <w:spacing w:val="-18"/>
          <w:sz w:val="20"/>
        </w:rPr>
        <w:t> </w:t>
      </w:r>
      <w:r>
        <w:rPr>
          <w:sz w:val="20"/>
        </w:rPr>
        <w:t>are</w:t>
      </w:r>
      <w:r>
        <w:rPr>
          <w:spacing w:val="-17"/>
          <w:sz w:val="20"/>
        </w:rPr>
        <w:t> </w:t>
      </w:r>
      <w:r>
        <w:rPr>
          <w:sz w:val="20"/>
        </w:rPr>
        <w:t>more</w:t>
      </w:r>
      <w:r>
        <w:rPr>
          <w:spacing w:val="-18"/>
          <w:sz w:val="20"/>
        </w:rPr>
        <w:t> </w:t>
      </w:r>
      <w:r>
        <w:rPr>
          <w:sz w:val="20"/>
        </w:rPr>
        <w:t>likely to</w:t>
      </w:r>
      <w:r>
        <w:rPr>
          <w:spacing w:val="-9"/>
          <w:sz w:val="20"/>
        </w:rPr>
        <w:t> </w:t>
      </w:r>
      <w:r>
        <w:rPr>
          <w:sz w:val="20"/>
        </w:rPr>
        <w:t>use</w:t>
      </w:r>
      <w:r>
        <w:rPr>
          <w:spacing w:val="-10"/>
          <w:sz w:val="20"/>
        </w:rPr>
        <w:t> </w:t>
      </w:r>
      <w:r>
        <w:rPr>
          <w:sz w:val="20"/>
        </w:rPr>
        <w:t>email.</w:t>
      </w:r>
      <w:r>
        <w:rPr>
          <w:spacing w:val="-9"/>
          <w:sz w:val="20"/>
        </w:rPr>
        <w:t> </w:t>
      </w:r>
      <w:r>
        <w:rPr>
          <w:sz w:val="20"/>
        </w:rPr>
        <w:t>Email</w:t>
      </w:r>
      <w:r>
        <w:rPr>
          <w:spacing w:val="-10"/>
          <w:sz w:val="20"/>
        </w:rPr>
        <w:t> </w:t>
      </w:r>
      <w:r>
        <w:rPr>
          <w:sz w:val="20"/>
        </w:rPr>
        <w:t>is</w:t>
      </w:r>
      <w:r>
        <w:rPr>
          <w:spacing w:val="-9"/>
          <w:sz w:val="20"/>
        </w:rPr>
        <w:t> </w:t>
      </w:r>
      <w:r>
        <w:rPr>
          <w:sz w:val="20"/>
        </w:rPr>
        <w:t>growing</w:t>
      </w:r>
      <w:r>
        <w:rPr>
          <w:spacing w:val="-9"/>
          <w:sz w:val="20"/>
        </w:rPr>
        <w:t> </w:t>
      </w:r>
      <w:r>
        <w:rPr>
          <w:sz w:val="20"/>
        </w:rPr>
        <w:t>in</w:t>
      </w:r>
      <w:r>
        <w:rPr>
          <w:spacing w:val="-9"/>
          <w:sz w:val="20"/>
        </w:rPr>
        <w:t> </w:t>
      </w:r>
      <w:r>
        <w:rPr>
          <w:sz w:val="20"/>
        </w:rPr>
        <w:t>importance</w:t>
      </w:r>
      <w:r>
        <w:rPr>
          <w:spacing w:val="-10"/>
          <w:sz w:val="20"/>
        </w:rPr>
        <w:t> </w:t>
      </w:r>
      <w:r>
        <w:rPr>
          <w:sz w:val="20"/>
        </w:rPr>
        <w:t>as</w:t>
      </w:r>
      <w:r>
        <w:rPr>
          <w:spacing w:val="-10"/>
          <w:sz w:val="20"/>
        </w:rPr>
        <w:t> </w:t>
      </w:r>
      <w:r>
        <w:rPr>
          <w:sz w:val="20"/>
        </w:rPr>
        <w:t>a</w:t>
      </w:r>
      <w:r>
        <w:rPr>
          <w:spacing w:val="-9"/>
          <w:sz w:val="20"/>
        </w:rPr>
        <w:t> </w:t>
      </w:r>
      <w:r>
        <w:rPr>
          <w:sz w:val="20"/>
        </w:rPr>
        <w:t>method</w:t>
      </w:r>
      <w:r>
        <w:rPr>
          <w:spacing w:val="-9"/>
          <w:sz w:val="20"/>
        </w:rPr>
        <w:t> </w:t>
      </w:r>
      <w:r>
        <w:rPr>
          <w:sz w:val="20"/>
        </w:rPr>
        <w:t>of</w:t>
      </w:r>
      <w:r>
        <w:rPr>
          <w:spacing w:val="-9"/>
          <w:sz w:val="20"/>
        </w:rPr>
        <w:t> </w:t>
      </w:r>
      <w:r>
        <w:rPr>
          <w:sz w:val="20"/>
        </w:rPr>
        <w:t>communication for both audiences.</w:t>
      </w:r>
    </w:p>
    <w:p>
      <w:pPr>
        <w:pStyle w:val="ListParagraph"/>
        <w:numPr>
          <w:ilvl w:val="0"/>
          <w:numId w:val="4"/>
        </w:numPr>
        <w:tabs>
          <w:tab w:pos="2058" w:val="left" w:leader="none"/>
        </w:tabs>
        <w:spacing w:line="254" w:lineRule="auto" w:before="0" w:after="0"/>
        <w:ind w:left="2057" w:right="1474" w:hanging="360"/>
        <w:jc w:val="both"/>
        <w:rPr>
          <w:sz w:val="20"/>
        </w:rPr>
      </w:pPr>
      <w:r>
        <w:rPr>
          <w:sz w:val="20"/>
        </w:rPr>
        <w:t>A majority of claimants, employers and their respective representatives were happy with the amount of contact they had with the Acas conciliator.</w:t>
      </w:r>
    </w:p>
    <w:p>
      <w:pPr>
        <w:pStyle w:val="ListParagraph"/>
        <w:numPr>
          <w:ilvl w:val="0"/>
          <w:numId w:val="4"/>
        </w:numPr>
        <w:tabs>
          <w:tab w:pos="2058" w:val="left" w:leader="none"/>
        </w:tabs>
        <w:spacing w:line="256" w:lineRule="auto" w:before="0" w:after="0"/>
        <w:ind w:left="2057" w:right="1473" w:hanging="360"/>
        <w:jc w:val="both"/>
        <w:rPr>
          <w:sz w:val="20"/>
        </w:rPr>
      </w:pPr>
      <w:r>
        <w:rPr>
          <w:sz w:val="20"/>
        </w:rPr>
        <w:t>Ratings of Acas conciliators remained strongly positive. Conciliators were rated highest for ‘relaying proposals and offers to and from employer / claimant’ (73 per cent among claimant-side participants and 78 per cent among employer-side participants).</w:t>
      </w:r>
    </w:p>
    <w:p>
      <w:pPr>
        <w:pStyle w:val="ListParagraph"/>
        <w:numPr>
          <w:ilvl w:val="0"/>
          <w:numId w:val="4"/>
        </w:numPr>
        <w:tabs>
          <w:tab w:pos="2057" w:val="left" w:leader="none"/>
        </w:tabs>
        <w:spacing w:line="254" w:lineRule="auto" w:before="0" w:after="0"/>
        <w:ind w:left="2056" w:right="1474" w:hanging="360"/>
        <w:jc w:val="both"/>
        <w:rPr>
          <w:sz w:val="20"/>
        </w:rPr>
      </w:pPr>
      <w:r>
        <w:rPr>
          <w:sz w:val="20"/>
        </w:rPr>
        <w:t>As in 2016, large majorities of both groups taking part in conciliation (8 in 10) reported satisfaction with the service provided by Acas, including clear majorities</w:t>
      </w:r>
      <w:r>
        <w:rPr>
          <w:spacing w:val="-14"/>
          <w:sz w:val="20"/>
        </w:rPr>
        <w:t> </w:t>
      </w:r>
      <w:r>
        <w:rPr>
          <w:sz w:val="20"/>
        </w:rPr>
        <w:t>of</w:t>
      </w:r>
      <w:r>
        <w:rPr>
          <w:spacing w:val="-13"/>
          <w:sz w:val="20"/>
        </w:rPr>
        <w:t> </w:t>
      </w:r>
      <w:r>
        <w:rPr>
          <w:sz w:val="20"/>
        </w:rPr>
        <w:t>service</w:t>
      </w:r>
      <w:r>
        <w:rPr>
          <w:spacing w:val="-14"/>
          <w:sz w:val="20"/>
        </w:rPr>
        <w:t> </w:t>
      </w:r>
      <w:r>
        <w:rPr>
          <w:sz w:val="20"/>
        </w:rPr>
        <w:t>users</w:t>
      </w:r>
      <w:r>
        <w:rPr>
          <w:spacing w:val="-14"/>
          <w:sz w:val="20"/>
        </w:rPr>
        <w:t> </w:t>
      </w:r>
      <w:r>
        <w:rPr>
          <w:sz w:val="20"/>
        </w:rPr>
        <w:t>who</w:t>
      </w:r>
      <w:r>
        <w:rPr>
          <w:spacing w:val="-14"/>
          <w:sz w:val="20"/>
        </w:rPr>
        <w:t> </w:t>
      </w:r>
      <w:r>
        <w:rPr>
          <w:sz w:val="20"/>
        </w:rPr>
        <w:t>did</w:t>
      </w:r>
      <w:r>
        <w:rPr>
          <w:spacing w:val="-15"/>
          <w:sz w:val="20"/>
        </w:rPr>
        <w:t> </w:t>
      </w:r>
      <w:r>
        <w:rPr>
          <w:sz w:val="20"/>
        </w:rPr>
        <w:t>not</w:t>
      </w:r>
      <w:r>
        <w:rPr>
          <w:spacing w:val="-14"/>
          <w:sz w:val="20"/>
        </w:rPr>
        <w:t> </w:t>
      </w:r>
      <w:r>
        <w:rPr>
          <w:sz w:val="20"/>
        </w:rPr>
        <w:t>settle</w:t>
      </w:r>
      <w:r>
        <w:rPr>
          <w:spacing w:val="-14"/>
          <w:sz w:val="20"/>
        </w:rPr>
        <w:t> </w:t>
      </w:r>
      <w:r>
        <w:rPr>
          <w:sz w:val="20"/>
        </w:rPr>
        <w:t>their</w:t>
      </w:r>
      <w:r>
        <w:rPr>
          <w:spacing w:val="-14"/>
          <w:sz w:val="20"/>
        </w:rPr>
        <w:t> </w:t>
      </w:r>
      <w:r>
        <w:rPr>
          <w:sz w:val="20"/>
        </w:rPr>
        <w:t>case</w:t>
      </w:r>
      <w:r>
        <w:rPr>
          <w:spacing w:val="-14"/>
          <w:sz w:val="20"/>
        </w:rPr>
        <w:t> </w:t>
      </w:r>
      <w:r>
        <w:rPr>
          <w:sz w:val="20"/>
        </w:rPr>
        <w:t>through</w:t>
      </w:r>
      <w:r>
        <w:rPr>
          <w:spacing w:val="-13"/>
          <w:sz w:val="20"/>
        </w:rPr>
        <w:t> </w:t>
      </w:r>
      <w:r>
        <w:rPr>
          <w:sz w:val="20"/>
        </w:rPr>
        <w:t>conciliation.</w:t>
      </w:r>
    </w:p>
    <w:p>
      <w:pPr>
        <w:spacing w:after="0" w:line="254" w:lineRule="auto"/>
        <w:jc w:val="both"/>
        <w:rPr>
          <w:sz w:val="20"/>
        </w:rPr>
        <w:sectPr>
          <w:pgSz w:w="11910" w:h="16840"/>
          <w:pgMar w:header="0" w:footer="996" w:top="1360" w:bottom="1180" w:left="460" w:right="320"/>
        </w:sectPr>
      </w:pPr>
    </w:p>
    <w:p>
      <w:pPr>
        <w:pStyle w:val="ListParagraph"/>
        <w:numPr>
          <w:ilvl w:val="0"/>
          <w:numId w:val="4"/>
        </w:numPr>
        <w:tabs>
          <w:tab w:pos="2058" w:val="left" w:leader="none"/>
        </w:tabs>
        <w:spacing w:line="256" w:lineRule="auto" w:before="79" w:after="0"/>
        <w:ind w:left="2057" w:right="1472" w:hanging="360"/>
        <w:jc w:val="both"/>
        <w:rPr>
          <w:sz w:val="20"/>
        </w:rPr>
      </w:pPr>
      <w:r>
        <w:rPr>
          <w:sz w:val="20"/>
        </w:rPr>
        <w:t>Around 8 in 10 of those who settled their dispute said that the settlement included a financial payment to the claimant and almost all reported that the claimant had received their payment by the time of the survey (97 per cent of all participants).</w:t>
      </w:r>
    </w:p>
    <w:p>
      <w:pPr>
        <w:pStyle w:val="ListParagraph"/>
        <w:numPr>
          <w:ilvl w:val="0"/>
          <w:numId w:val="4"/>
        </w:numPr>
        <w:tabs>
          <w:tab w:pos="2058" w:val="left" w:leader="none"/>
        </w:tabs>
        <w:spacing w:line="256" w:lineRule="auto" w:before="0" w:after="0"/>
        <w:ind w:left="2057" w:right="1475" w:hanging="360"/>
        <w:jc w:val="both"/>
        <w:rPr>
          <w:sz w:val="20"/>
        </w:rPr>
      </w:pPr>
      <w:r>
        <w:rPr>
          <w:sz w:val="20"/>
        </w:rPr>
        <w:t>Six in ten claimant-side participants and seven in ten employer-side participants</w:t>
      </w:r>
      <w:r>
        <w:rPr>
          <w:spacing w:val="-18"/>
          <w:sz w:val="20"/>
        </w:rPr>
        <w:t> </w:t>
      </w:r>
      <w:r>
        <w:rPr>
          <w:sz w:val="20"/>
        </w:rPr>
        <w:t>reported</w:t>
      </w:r>
      <w:r>
        <w:rPr>
          <w:spacing w:val="-18"/>
          <w:sz w:val="20"/>
        </w:rPr>
        <w:t> </w:t>
      </w:r>
      <w:r>
        <w:rPr>
          <w:sz w:val="20"/>
        </w:rPr>
        <w:t>that</w:t>
      </w:r>
      <w:r>
        <w:rPr>
          <w:spacing w:val="-17"/>
          <w:sz w:val="20"/>
        </w:rPr>
        <w:t> </w:t>
      </w:r>
      <w:r>
        <w:rPr>
          <w:sz w:val="20"/>
        </w:rPr>
        <w:t>they</w:t>
      </w:r>
      <w:r>
        <w:rPr>
          <w:spacing w:val="-18"/>
          <w:sz w:val="20"/>
        </w:rPr>
        <w:t> </w:t>
      </w:r>
      <w:r>
        <w:rPr>
          <w:sz w:val="20"/>
        </w:rPr>
        <w:t>were</w:t>
      </w:r>
      <w:r>
        <w:rPr>
          <w:spacing w:val="-17"/>
          <w:sz w:val="20"/>
        </w:rPr>
        <w:t> </w:t>
      </w:r>
      <w:r>
        <w:rPr>
          <w:sz w:val="20"/>
        </w:rPr>
        <w:t>satisfied</w:t>
      </w:r>
      <w:r>
        <w:rPr>
          <w:spacing w:val="-18"/>
          <w:sz w:val="20"/>
        </w:rPr>
        <w:t> </w:t>
      </w:r>
      <w:r>
        <w:rPr>
          <w:sz w:val="20"/>
        </w:rPr>
        <w:t>with</w:t>
      </w:r>
      <w:r>
        <w:rPr>
          <w:spacing w:val="-18"/>
          <w:sz w:val="20"/>
        </w:rPr>
        <w:t> </w:t>
      </w:r>
      <w:r>
        <w:rPr>
          <w:sz w:val="20"/>
        </w:rPr>
        <w:t>the</w:t>
      </w:r>
      <w:r>
        <w:rPr>
          <w:spacing w:val="-17"/>
          <w:sz w:val="20"/>
        </w:rPr>
        <w:t> </w:t>
      </w:r>
      <w:r>
        <w:rPr>
          <w:sz w:val="20"/>
        </w:rPr>
        <w:t>outcome</w:t>
      </w:r>
      <w:r>
        <w:rPr>
          <w:spacing w:val="-18"/>
          <w:sz w:val="20"/>
        </w:rPr>
        <w:t> </w:t>
      </w:r>
      <w:r>
        <w:rPr>
          <w:sz w:val="20"/>
        </w:rPr>
        <w:t>of</w:t>
      </w:r>
      <w:r>
        <w:rPr>
          <w:spacing w:val="-17"/>
          <w:sz w:val="20"/>
        </w:rPr>
        <w:t> </w:t>
      </w:r>
      <w:r>
        <w:rPr>
          <w:sz w:val="20"/>
        </w:rPr>
        <w:t>their</w:t>
      </w:r>
      <w:r>
        <w:rPr>
          <w:spacing w:val="-18"/>
          <w:sz w:val="20"/>
        </w:rPr>
        <w:t> </w:t>
      </w:r>
      <w:r>
        <w:rPr>
          <w:sz w:val="20"/>
        </w:rPr>
        <w:t>case, regardless of their views of the service they received from Acas.</w:t>
      </w:r>
    </w:p>
    <w:p>
      <w:pPr>
        <w:pStyle w:val="ListParagraph"/>
        <w:numPr>
          <w:ilvl w:val="0"/>
          <w:numId w:val="4"/>
        </w:numPr>
        <w:tabs>
          <w:tab w:pos="2057" w:val="left" w:leader="none"/>
        </w:tabs>
        <w:spacing w:line="256" w:lineRule="auto" w:before="0" w:after="0"/>
        <w:ind w:left="2056" w:right="1473" w:hanging="360"/>
        <w:jc w:val="both"/>
        <w:rPr>
          <w:sz w:val="20"/>
        </w:rPr>
      </w:pPr>
      <w:r>
        <w:rPr>
          <w:sz w:val="20"/>
        </w:rPr>
        <w:t>Overall, a majority agreed that Acas’ involvement had been important in moving the parties closer to resolving the dispute, with clear majorities of those</w:t>
      </w:r>
      <w:r>
        <w:rPr>
          <w:spacing w:val="-1"/>
          <w:sz w:val="20"/>
        </w:rPr>
        <w:t> </w:t>
      </w:r>
      <w:r>
        <w:rPr>
          <w:sz w:val="20"/>
        </w:rPr>
        <w:t>who reached a</w:t>
      </w:r>
      <w:r>
        <w:rPr>
          <w:spacing w:val="-1"/>
          <w:sz w:val="20"/>
        </w:rPr>
        <w:t> </w:t>
      </w:r>
      <w:r>
        <w:rPr>
          <w:sz w:val="20"/>
        </w:rPr>
        <w:t>settlement agreeing this</w:t>
      </w:r>
      <w:r>
        <w:rPr>
          <w:spacing w:val="-1"/>
          <w:sz w:val="20"/>
        </w:rPr>
        <w:t> </w:t>
      </w:r>
      <w:r>
        <w:rPr>
          <w:sz w:val="20"/>
        </w:rPr>
        <w:t>was</w:t>
      </w:r>
      <w:r>
        <w:rPr>
          <w:spacing w:val="-1"/>
          <w:sz w:val="20"/>
        </w:rPr>
        <w:t> </w:t>
      </w:r>
      <w:r>
        <w:rPr>
          <w:sz w:val="20"/>
        </w:rPr>
        <w:t>the</w:t>
      </w:r>
      <w:r>
        <w:rPr>
          <w:spacing w:val="-1"/>
          <w:sz w:val="20"/>
        </w:rPr>
        <w:t> </w:t>
      </w:r>
      <w:r>
        <w:rPr>
          <w:sz w:val="20"/>
        </w:rPr>
        <w:t>case. Around</w:t>
      </w:r>
      <w:r>
        <w:rPr>
          <w:spacing w:val="-1"/>
          <w:sz w:val="20"/>
        </w:rPr>
        <w:t> </w:t>
      </w:r>
      <w:r>
        <w:rPr>
          <w:sz w:val="20"/>
        </w:rPr>
        <w:t>half of those who settled agreed that Acas’ involvement had been a factor in resolving the case (3 in 10 disagreed).</w:t>
      </w:r>
    </w:p>
    <w:p>
      <w:pPr>
        <w:pStyle w:val="ListParagraph"/>
        <w:numPr>
          <w:ilvl w:val="0"/>
          <w:numId w:val="4"/>
        </w:numPr>
        <w:tabs>
          <w:tab w:pos="2057" w:val="left" w:leader="none"/>
        </w:tabs>
        <w:spacing w:line="256" w:lineRule="auto" w:before="0" w:after="0"/>
        <w:ind w:left="2056" w:right="1474" w:hanging="360"/>
        <w:jc w:val="both"/>
        <w:rPr>
          <w:sz w:val="20"/>
        </w:rPr>
      </w:pPr>
      <w:r>
        <w:rPr>
          <w:sz w:val="20"/>
        </w:rPr>
        <w:t>As in 2016, strong majorities of all participants – two-thirds of claimants, employers</w:t>
      </w:r>
      <w:r>
        <w:rPr>
          <w:spacing w:val="-15"/>
          <w:sz w:val="20"/>
        </w:rPr>
        <w:t> </w:t>
      </w:r>
      <w:r>
        <w:rPr>
          <w:sz w:val="20"/>
        </w:rPr>
        <w:t>and</w:t>
      </w:r>
      <w:r>
        <w:rPr>
          <w:spacing w:val="-15"/>
          <w:sz w:val="20"/>
        </w:rPr>
        <w:t> </w:t>
      </w:r>
      <w:r>
        <w:rPr>
          <w:sz w:val="20"/>
        </w:rPr>
        <w:t>both</w:t>
      </w:r>
      <w:r>
        <w:rPr>
          <w:spacing w:val="-15"/>
          <w:sz w:val="20"/>
        </w:rPr>
        <w:t> </w:t>
      </w:r>
      <w:r>
        <w:rPr>
          <w:sz w:val="20"/>
        </w:rPr>
        <w:t>sets</w:t>
      </w:r>
      <w:r>
        <w:rPr>
          <w:spacing w:val="-16"/>
          <w:sz w:val="20"/>
        </w:rPr>
        <w:t> </w:t>
      </w:r>
      <w:r>
        <w:rPr>
          <w:sz w:val="20"/>
        </w:rPr>
        <w:t>of</w:t>
      </w:r>
      <w:r>
        <w:rPr>
          <w:spacing w:val="-15"/>
          <w:sz w:val="20"/>
        </w:rPr>
        <w:t> </w:t>
      </w:r>
      <w:r>
        <w:rPr>
          <w:sz w:val="20"/>
        </w:rPr>
        <w:t>representatives</w:t>
      </w:r>
      <w:r>
        <w:rPr>
          <w:spacing w:val="-16"/>
          <w:sz w:val="20"/>
        </w:rPr>
        <w:t> </w:t>
      </w:r>
      <w:r>
        <w:rPr>
          <w:sz w:val="20"/>
        </w:rPr>
        <w:t>–</w:t>
      </w:r>
      <w:r>
        <w:rPr>
          <w:spacing w:val="-15"/>
          <w:sz w:val="20"/>
        </w:rPr>
        <w:t> </w:t>
      </w:r>
      <w:r>
        <w:rPr>
          <w:sz w:val="20"/>
        </w:rPr>
        <w:t>said</w:t>
      </w:r>
      <w:r>
        <w:rPr>
          <w:spacing w:val="-15"/>
          <w:sz w:val="20"/>
        </w:rPr>
        <w:t> </w:t>
      </w:r>
      <w:r>
        <w:rPr>
          <w:sz w:val="20"/>
        </w:rPr>
        <w:t>that</w:t>
      </w:r>
      <w:r>
        <w:rPr>
          <w:spacing w:val="-15"/>
          <w:sz w:val="20"/>
        </w:rPr>
        <w:t> </w:t>
      </w:r>
      <w:r>
        <w:rPr>
          <w:sz w:val="20"/>
        </w:rPr>
        <w:t>they</w:t>
      </w:r>
      <w:r>
        <w:rPr>
          <w:spacing w:val="-16"/>
          <w:sz w:val="20"/>
        </w:rPr>
        <w:t> </w:t>
      </w:r>
      <w:r>
        <w:rPr>
          <w:sz w:val="20"/>
        </w:rPr>
        <w:t>would</w:t>
      </w:r>
      <w:r>
        <w:rPr>
          <w:spacing w:val="-15"/>
          <w:sz w:val="20"/>
        </w:rPr>
        <w:t> </w:t>
      </w:r>
      <w:r>
        <w:rPr>
          <w:sz w:val="20"/>
        </w:rPr>
        <w:t>make</w:t>
      </w:r>
      <w:r>
        <w:rPr>
          <w:spacing w:val="-17"/>
          <w:sz w:val="20"/>
        </w:rPr>
        <w:t> </w:t>
      </w:r>
      <w:r>
        <w:rPr>
          <w:sz w:val="20"/>
        </w:rPr>
        <w:t>use of</w:t>
      </w:r>
      <w:r>
        <w:rPr>
          <w:spacing w:val="-1"/>
          <w:sz w:val="20"/>
        </w:rPr>
        <w:t> </w:t>
      </w:r>
      <w:r>
        <w:rPr>
          <w:sz w:val="20"/>
        </w:rPr>
        <w:t>Acas</w:t>
      </w:r>
      <w:r>
        <w:rPr>
          <w:spacing w:val="-2"/>
          <w:sz w:val="20"/>
        </w:rPr>
        <w:t> </w:t>
      </w:r>
      <w:r>
        <w:rPr>
          <w:sz w:val="20"/>
        </w:rPr>
        <w:t>conciliation</w:t>
      </w:r>
      <w:r>
        <w:rPr>
          <w:spacing w:val="-1"/>
          <w:sz w:val="20"/>
        </w:rPr>
        <w:t> </w:t>
      </w:r>
      <w:r>
        <w:rPr>
          <w:sz w:val="20"/>
        </w:rPr>
        <w:t>again</w:t>
      </w:r>
      <w:r>
        <w:rPr>
          <w:spacing w:val="-1"/>
          <w:sz w:val="20"/>
        </w:rPr>
        <w:t> </w:t>
      </w:r>
      <w:r>
        <w:rPr>
          <w:sz w:val="20"/>
        </w:rPr>
        <w:t>if</w:t>
      </w:r>
      <w:r>
        <w:rPr>
          <w:spacing w:val="-1"/>
          <w:sz w:val="20"/>
        </w:rPr>
        <w:t> </w:t>
      </w:r>
      <w:r>
        <w:rPr>
          <w:sz w:val="20"/>
        </w:rPr>
        <w:t>they</w:t>
      </w:r>
      <w:r>
        <w:rPr>
          <w:spacing w:val="-3"/>
          <w:sz w:val="20"/>
        </w:rPr>
        <w:t> </w:t>
      </w:r>
      <w:r>
        <w:rPr>
          <w:sz w:val="20"/>
        </w:rPr>
        <w:t>became</w:t>
      </w:r>
      <w:r>
        <w:rPr>
          <w:spacing w:val="-2"/>
          <w:sz w:val="20"/>
        </w:rPr>
        <w:t> </w:t>
      </w:r>
      <w:r>
        <w:rPr>
          <w:sz w:val="20"/>
        </w:rPr>
        <w:t>engaged</w:t>
      </w:r>
      <w:r>
        <w:rPr>
          <w:spacing w:val="-2"/>
          <w:sz w:val="20"/>
        </w:rPr>
        <w:t> </w:t>
      </w:r>
      <w:r>
        <w:rPr>
          <w:sz w:val="20"/>
        </w:rPr>
        <w:t>in</w:t>
      </w:r>
      <w:r>
        <w:rPr>
          <w:spacing w:val="-1"/>
          <w:sz w:val="20"/>
        </w:rPr>
        <w:t> </w:t>
      </w:r>
      <w:r>
        <w:rPr>
          <w:sz w:val="20"/>
        </w:rPr>
        <w:t>another</w:t>
      </w:r>
      <w:r>
        <w:rPr>
          <w:spacing w:val="-2"/>
          <w:sz w:val="20"/>
        </w:rPr>
        <w:t> </w:t>
      </w:r>
      <w:r>
        <w:rPr>
          <w:sz w:val="20"/>
        </w:rPr>
        <w:t>dispute</w:t>
      </w:r>
      <w:r>
        <w:rPr>
          <w:spacing w:val="-2"/>
          <w:sz w:val="20"/>
        </w:rPr>
        <w:t> </w:t>
      </w:r>
      <w:r>
        <w:rPr>
          <w:sz w:val="20"/>
        </w:rPr>
        <w:t>in</w:t>
      </w:r>
      <w:r>
        <w:rPr>
          <w:spacing w:val="-1"/>
          <w:sz w:val="20"/>
        </w:rPr>
        <w:t> </w:t>
      </w:r>
      <w:r>
        <w:rPr>
          <w:sz w:val="20"/>
        </w:rPr>
        <w:t>the </w:t>
      </w:r>
      <w:r>
        <w:rPr>
          <w:spacing w:val="-2"/>
          <w:sz w:val="20"/>
        </w:rPr>
        <w:t>future.</w:t>
      </w:r>
    </w:p>
    <w:p>
      <w:pPr>
        <w:spacing w:after="0" w:line="256" w:lineRule="auto"/>
        <w:jc w:val="both"/>
        <w:rPr>
          <w:sz w:val="20"/>
        </w:rPr>
        <w:sectPr>
          <w:pgSz w:w="11910" w:h="16840"/>
          <w:pgMar w:header="0" w:footer="996" w:top="1360" w:bottom="1180" w:left="460" w:right="320"/>
        </w:sectPr>
      </w:pPr>
    </w:p>
    <w:p>
      <w:pPr>
        <w:pStyle w:val="Heading2"/>
        <w:numPr>
          <w:ilvl w:val="0"/>
          <w:numId w:val="2"/>
        </w:numPr>
        <w:tabs>
          <w:tab w:pos="1696" w:val="left" w:leader="none"/>
        </w:tabs>
        <w:spacing w:line="240" w:lineRule="auto" w:before="82" w:after="0"/>
        <w:ind w:left="1695" w:right="0" w:hanging="359"/>
        <w:jc w:val="left"/>
      </w:pPr>
      <w:bookmarkStart w:name="4. EXECUTIVE SUMMARY" w:id="7"/>
      <w:bookmarkEnd w:id="7"/>
      <w:r>
        <w:rPr>
          <w:b w:val="0"/>
        </w:rPr>
      </w:r>
      <w:bookmarkStart w:name="_bookmark3" w:id="8"/>
      <w:bookmarkEnd w:id="8"/>
      <w:r>
        <w:rPr/>
        <w:t>EXE</w:t>
      </w:r>
      <w:r>
        <w:rPr/>
        <w:t>CUTIVE</w:t>
      </w:r>
      <w:r>
        <w:rPr>
          <w:spacing w:val="-23"/>
        </w:rPr>
        <w:t> </w:t>
      </w:r>
      <w:r>
        <w:rPr>
          <w:spacing w:val="-2"/>
        </w:rPr>
        <w:t>SUMMARY</w:t>
      </w:r>
    </w:p>
    <w:p>
      <w:pPr>
        <w:pStyle w:val="BodyText"/>
        <w:rPr>
          <w:b/>
          <w:sz w:val="34"/>
        </w:rPr>
      </w:pPr>
    </w:p>
    <w:p>
      <w:pPr>
        <w:pStyle w:val="BodyText"/>
        <w:spacing w:line="259" w:lineRule="auto" w:before="211"/>
        <w:ind w:left="1337" w:right="1472"/>
        <w:jc w:val="both"/>
      </w:pPr>
      <w:r>
        <w:rPr/>
        <w:t>Acas has a longstanding statutory duty to promote the resolution of claims to the Employment Tribunal (ET) in order to avoid recourse to a full tribunal hearing. Under current arrangements this</w:t>
      </w:r>
      <w:r>
        <w:rPr>
          <w:spacing w:val="-1"/>
        </w:rPr>
        <w:t> </w:t>
      </w:r>
      <w:r>
        <w:rPr/>
        <w:t>duty is provided in two</w:t>
      </w:r>
      <w:r>
        <w:rPr>
          <w:spacing w:val="-1"/>
        </w:rPr>
        <w:t> </w:t>
      </w:r>
      <w:r>
        <w:rPr/>
        <w:t>parts –</w:t>
      </w:r>
      <w:r>
        <w:rPr>
          <w:spacing w:val="-1"/>
        </w:rPr>
        <w:t> </w:t>
      </w:r>
      <w:r>
        <w:rPr/>
        <w:t>Early Conciliation (EC) and conciliation in Employment Tribunal applications, which occurs after an ET1 claim form is submitted (‘post-ET1 conciliation’). This report details the outcomes of two 2019 survey evaluations, covering both elements.</w:t>
      </w:r>
    </w:p>
    <w:p>
      <w:pPr>
        <w:pStyle w:val="BodyText"/>
        <w:spacing w:before="6"/>
        <w:rPr>
          <w:sz w:val="22"/>
        </w:rPr>
      </w:pPr>
    </w:p>
    <w:p>
      <w:pPr>
        <w:pStyle w:val="BodyText"/>
        <w:spacing w:line="256" w:lineRule="auto" w:before="1"/>
        <w:ind w:left="1337" w:right="1473"/>
        <w:jc w:val="both"/>
      </w:pPr>
      <w:r>
        <w:rPr/>
        <w:t>In considering the results for these surveys, it important to be mindful of various changes since the prior evaluations in 2015 (EC) and 2016 (post-ET1</w:t>
      </w:r>
      <w:r>
        <w:rPr>
          <w:spacing w:val="40"/>
        </w:rPr>
        <w:t> </w:t>
      </w:r>
      <w:r>
        <w:rPr/>
        <w:t>conciliation).</w:t>
      </w:r>
      <w:r>
        <w:rPr>
          <w:spacing w:val="40"/>
        </w:rPr>
        <w:t> </w:t>
      </w:r>
      <w:r>
        <w:rPr/>
        <w:t>First, the ET fees regime that had been introduced in July 2013 – 9 months before the introduction of EC – was abolished following the </w:t>
      </w:r>
      <w:hyperlink r:id="rId10">
        <w:r>
          <w:rPr>
            <w:color w:val="0562C1"/>
            <w:u w:val="single" w:color="0562C1"/>
          </w:rPr>
          <w:t>July 2017 UK</w:t>
        </w:r>
      </w:hyperlink>
      <w:r>
        <w:rPr>
          <w:color w:val="0562C1"/>
        </w:rPr>
        <w:t> </w:t>
      </w:r>
      <w:hyperlink r:id="rId10">
        <w:r>
          <w:rPr>
            <w:color w:val="0562C1"/>
            <w:u w:val="single" w:color="0562C1"/>
          </w:rPr>
          <w:t>Supreme Court judgement</w:t>
        </w:r>
      </w:hyperlink>
      <w:r>
        <w:rPr>
          <w:color w:val="0562C1"/>
        </w:rPr>
        <w:t> </w:t>
      </w:r>
      <w:r>
        <w:rPr/>
        <w:t>branding these fees unlawful.</w:t>
      </w:r>
      <w:r>
        <w:rPr>
          <w:spacing w:val="40"/>
        </w:rPr>
        <w:t> </w:t>
      </w:r>
      <w:r>
        <w:rPr/>
        <w:t>As a result, there has been a substantial increase in Acas conciliation caseloads since the last evaluations.</w:t>
      </w:r>
      <w:r>
        <w:rPr>
          <w:spacing w:val="40"/>
        </w:rPr>
        <w:t> </w:t>
      </w:r>
      <w:r>
        <w:rPr/>
        <w:t>During the intervening period, Acas has also (re)introduced a dedicated fast-track conciliator role.</w:t>
      </w:r>
      <w:r>
        <w:rPr>
          <w:spacing w:val="40"/>
        </w:rPr>
        <w:t> </w:t>
      </w:r>
      <w:r>
        <w:rPr/>
        <w:t>Results for 2019 should therefore be considered against this context of change.</w:t>
      </w:r>
      <w:r>
        <w:rPr>
          <w:spacing w:val="40"/>
        </w:rPr>
        <w:t> </w:t>
      </w:r>
      <w:r>
        <w:rPr/>
        <w:t>Conversely, after these surveys were undertaken in 2019, Acas introduced a new online notification form and case management system and has also piloted alternative models of conciliation delivery. None of these subsequent features were captured in the 2019 surveys, which</w:t>
      </w:r>
      <w:r>
        <w:rPr>
          <w:spacing w:val="-17"/>
        </w:rPr>
        <w:t> </w:t>
      </w:r>
      <w:r>
        <w:rPr/>
        <w:t>provide</w:t>
      </w:r>
      <w:r>
        <w:rPr>
          <w:spacing w:val="-17"/>
        </w:rPr>
        <w:t> </w:t>
      </w:r>
      <w:r>
        <w:rPr/>
        <w:t>an</w:t>
      </w:r>
      <w:r>
        <w:rPr>
          <w:spacing w:val="-16"/>
        </w:rPr>
        <w:t> </w:t>
      </w:r>
      <w:r>
        <w:rPr/>
        <w:t>evaluation</w:t>
      </w:r>
      <w:r>
        <w:rPr>
          <w:spacing w:val="-16"/>
        </w:rPr>
        <w:t> </w:t>
      </w:r>
      <w:r>
        <w:rPr/>
        <w:t>of</w:t>
      </w:r>
      <w:r>
        <w:rPr>
          <w:spacing w:val="-16"/>
        </w:rPr>
        <w:t> </w:t>
      </w:r>
      <w:r>
        <w:rPr/>
        <w:t>the</w:t>
      </w:r>
      <w:r>
        <w:rPr>
          <w:spacing w:val="-18"/>
        </w:rPr>
        <w:t> </w:t>
      </w:r>
      <w:r>
        <w:rPr/>
        <w:t>Individual</w:t>
      </w:r>
      <w:r>
        <w:rPr>
          <w:spacing w:val="-16"/>
        </w:rPr>
        <w:t> </w:t>
      </w:r>
      <w:r>
        <w:rPr/>
        <w:t>Conciliation</w:t>
      </w:r>
      <w:r>
        <w:rPr>
          <w:spacing w:val="-16"/>
        </w:rPr>
        <w:t> </w:t>
      </w:r>
      <w:r>
        <w:rPr/>
        <w:t>service</w:t>
      </w:r>
      <w:r>
        <w:rPr>
          <w:spacing w:val="-17"/>
        </w:rPr>
        <w:t> </w:t>
      </w:r>
      <w:r>
        <w:rPr/>
        <w:t>as</w:t>
      </w:r>
      <w:r>
        <w:rPr>
          <w:spacing w:val="-16"/>
        </w:rPr>
        <w:t> </w:t>
      </w:r>
      <w:r>
        <w:rPr/>
        <w:t>it</w:t>
      </w:r>
      <w:r>
        <w:rPr>
          <w:spacing w:val="-16"/>
        </w:rPr>
        <w:t> </w:t>
      </w:r>
      <w:r>
        <w:rPr/>
        <w:t>stood</w:t>
      </w:r>
      <w:r>
        <w:rPr>
          <w:spacing w:val="-16"/>
        </w:rPr>
        <w:t> </w:t>
      </w:r>
      <w:r>
        <w:rPr/>
        <w:t>in</w:t>
      </w:r>
      <w:r>
        <w:rPr>
          <w:spacing w:val="-16"/>
        </w:rPr>
        <w:t> </w:t>
      </w:r>
      <w:r>
        <w:rPr/>
        <w:t>early </w:t>
      </w:r>
      <w:r>
        <w:rPr>
          <w:spacing w:val="-2"/>
        </w:rPr>
        <w:t>2019.</w:t>
      </w:r>
    </w:p>
    <w:p>
      <w:pPr>
        <w:pStyle w:val="BodyText"/>
        <w:spacing w:before="1"/>
        <w:rPr>
          <w:sz w:val="13"/>
        </w:rPr>
      </w:pPr>
    </w:p>
    <w:p>
      <w:pPr>
        <w:pStyle w:val="Heading3"/>
        <w:spacing w:before="101"/>
      </w:pPr>
      <w:r>
        <w:rPr/>
        <w:t>EARLY</w:t>
      </w:r>
      <w:r>
        <w:rPr>
          <w:spacing w:val="-6"/>
        </w:rPr>
        <w:t> </w:t>
      </w:r>
      <w:r>
        <w:rPr>
          <w:spacing w:val="-2"/>
        </w:rPr>
        <w:t>CONCILIATION</w:t>
      </w:r>
    </w:p>
    <w:p>
      <w:pPr>
        <w:pStyle w:val="BodyText"/>
        <w:spacing w:before="9"/>
        <w:rPr>
          <w:b/>
          <w:sz w:val="22"/>
        </w:rPr>
      </w:pPr>
    </w:p>
    <w:p>
      <w:pPr>
        <w:pStyle w:val="BodyText"/>
        <w:spacing w:line="256" w:lineRule="auto"/>
        <w:ind w:left="1337" w:right="1472"/>
        <w:jc w:val="both"/>
      </w:pPr>
      <w:r>
        <w:rPr/>
        <w:t>This is the second evaluation of EC – the first since the abolition of ET fees – and is based on a representative (telephone) survey of claimants, employers and representatives</w:t>
      </w:r>
      <w:r>
        <w:rPr>
          <w:spacing w:val="-5"/>
        </w:rPr>
        <w:t> </w:t>
      </w:r>
      <w:r>
        <w:rPr/>
        <w:t>whose</w:t>
      </w:r>
      <w:r>
        <w:rPr>
          <w:spacing w:val="-7"/>
        </w:rPr>
        <w:t> </w:t>
      </w:r>
      <w:r>
        <w:rPr/>
        <w:t>EC</w:t>
      </w:r>
      <w:r>
        <w:rPr>
          <w:spacing w:val="-5"/>
        </w:rPr>
        <w:t> </w:t>
      </w:r>
      <w:r>
        <w:rPr/>
        <w:t>cases</w:t>
      </w:r>
      <w:r>
        <w:rPr>
          <w:spacing w:val="-5"/>
        </w:rPr>
        <w:t> </w:t>
      </w:r>
      <w:r>
        <w:rPr/>
        <w:t>concluded</w:t>
      </w:r>
      <w:r>
        <w:rPr>
          <w:spacing w:val="-4"/>
        </w:rPr>
        <w:t> </w:t>
      </w:r>
      <w:r>
        <w:rPr/>
        <w:t>in</w:t>
      </w:r>
      <w:r>
        <w:rPr>
          <w:spacing w:val="-6"/>
        </w:rPr>
        <w:t> </w:t>
      </w:r>
      <w:r>
        <w:rPr/>
        <w:t>March</w:t>
      </w:r>
      <w:r>
        <w:rPr>
          <w:spacing w:val="-5"/>
        </w:rPr>
        <w:t> </w:t>
      </w:r>
      <w:r>
        <w:rPr/>
        <w:t>and</w:t>
      </w:r>
      <w:r>
        <w:rPr>
          <w:spacing w:val="-7"/>
        </w:rPr>
        <w:t> </w:t>
      </w:r>
      <w:r>
        <w:rPr/>
        <w:t>April</w:t>
      </w:r>
      <w:r>
        <w:rPr>
          <w:spacing w:val="-5"/>
        </w:rPr>
        <w:t> </w:t>
      </w:r>
      <w:r>
        <w:rPr/>
        <w:t>2019;</w:t>
      </w:r>
      <w:r>
        <w:rPr>
          <w:spacing w:val="-5"/>
        </w:rPr>
        <w:t> </w:t>
      </w:r>
      <w:r>
        <w:rPr/>
        <w:t>932</w:t>
      </w:r>
      <w:r>
        <w:rPr>
          <w:spacing w:val="-4"/>
        </w:rPr>
        <w:t> </w:t>
      </w:r>
      <w:r>
        <w:rPr/>
        <w:t>claimant- side</w:t>
      </w:r>
      <w:r>
        <w:rPr>
          <w:spacing w:val="-11"/>
        </w:rPr>
        <w:t> </w:t>
      </w:r>
      <w:r>
        <w:rPr/>
        <w:t>interviews</w:t>
      </w:r>
      <w:r>
        <w:rPr>
          <w:spacing w:val="-10"/>
        </w:rPr>
        <w:t> </w:t>
      </w:r>
      <w:r>
        <w:rPr/>
        <w:t>and</w:t>
      </w:r>
      <w:r>
        <w:rPr>
          <w:spacing w:val="-10"/>
        </w:rPr>
        <w:t> </w:t>
      </w:r>
      <w:r>
        <w:rPr/>
        <w:t>773</w:t>
      </w:r>
      <w:r>
        <w:rPr>
          <w:spacing w:val="-12"/>
        </w:rPr>
        <w:t> </w:t>
      </w:r>
      <w:r>
        <w:rPr/>
        <w:t>employer-side</w:t>
      </w:r>
      <w:r>
        <w:rPr>
          <w:spacing w:val="-11"/>
        </w:rPr>
        <w:t> </w:t>
      </w:r>
      <w:r>
        <w:rPr/>
        <w:t>interviews</w:t>
      </w:r>
      <w:r>
        <w:rPr>
          <w:spacing w:val="-10"/>
        </w:rPr>
        <w:t> </w:t>
      </w:r>
      <w:r>
        <w:rPr/>
        <w:t>were</w:t>
      </w:r>
      <w:r>
        <w:rPr>
          <w:spacing w:val="-11"/>
        </w:rPr>
        <w:t> </w:t>
      </w:r>
      <w:r>
        <w:rPr/>
        <w:t>undertaken.</w:t>
      </w:r>
      <w:r>
        <w:rPr>
          <w:spacing w:val="-10"/>
        </w:rPr>
        <w:t> </w:t>
      </w:r>
      <w:r>
        <w:rPr/>
        <w:t>Fieldwork</w:t>
      </w:r>
      <w:r>
        <w:rPr>
          <w:spacing w:val="-10"/>
        </w:rPr>
        <w:t> </w:t>
      </w:r>
      <w:r>
        <w:rPr/>
        <w:t>took place between May and August 2019.</w:t>
      </w:r>
    </w:p>
    <w:p>
      <w:pPr>
        <w:pStyle w:val="BodyText"/>
        <w:spacing w:before="4"/>
        <w:rPr>
          <w:sz w:val="21"/>
        </w:rPr>
      </w:pPr>
    </w:p>
    <w:p>
      <w:pPr>
        <w:pStyle w:val="Heading3"/>
      </w:pPr>
      <w:r>
        <w:rPr/>
        <w:t>Profile</w:t>
      </w:r>
      <w:r>
        <w:rPr>
          <w:spacing w:val="-3"/>
        </w:rPr>
        <w:t> </w:t>
      </w:r>
      <w:r>
        <w:rPr/>
        <w:t>of</w:t>
      </w:r>
      <w:r>
        <w:rPr>
          <w:spacing w:val="-3"/>
        </w:rPr>
        <w:t> </w:t>
      </w:r>
      <w:r>
        <w:rPr/>
        <w:t>parties</w:t>
      </w:r>
      <w:r>
        <w:rPr>
          <w:spacing w:val="-4"/>
        </w:rPr>
        <w:t> </w:t>
      </w:r>
      <w:r>
        <w:rPr/>
        <w:t>at</w:t>
      </w:r>
      <w:r>
        <w:rPr>
          <w:spacing w:val="-5"/>
        </w:rPr>
        <w:t> </w:t>
      </w:r>
      <w:r>
        <w:rPr/>
        <w:t>EC</w:t>
      </w:r>
      <w:r>
        <w:rPr>
          <w:spacing w:val="-2"/>
        </w:rPr>
        <w:t> </w:t>
      </w:r>
      <w:r>
        <w:rPr/>
        <w:t>and</w:t>
      </w:r>
      <w:r>
        <w:rPr>
          <w:spacing w:val="-2"/>
        </w:rPr>
        <w:t> </w:t>
      </w:r>
      <w:r>
        <w:rPr/>
        <w:t>the</w:t>
      </w:r>
      <w:r>
        <w:rPr>
          <w:spacing w:val="-4"/>
        </w:rPr>
        <w:t> </w:t>
      </w:r>
      <w:r>
        <w:rPr>
          <w:spacing w:val="-2"/>
        </w:rPr>
        <w:t>dispute</w:t>
      </w:r>
    </w:p>
    <w:p>
      <w:pPr>
        <w:pStyle w:val="BodyText"/>
        <w:spacing w:before="9"/>
        <w:rPr>
          <w:b/>
          <w:sz w:val="22"/>
        </w:rPr>
      </w:pPr>
    </w:p>
    <w:p>
      <w:pPr>
        <w:pStyle w:val="BodyText"/>
        <w:spacing w:line="256" w:lineRule="auto"/>
        <w:ind w:left="1337" w:right="1473"/>
        <w:jc w:val="both"/>
      </w:pPr>
      <w:r>
        <w:rPr/>
        <w:t>The</w:t>
      </w:r>
      <w:r>
        <w:rPr>
          <w:spacing w:val="-4"/>
        </w:rPr>
        <w:t> </w:t>
      </w:r>
      <w:r>
        <w:rPr/>
        <w:t>profiles</w:t>
      </w:r>
      <w:r>
        <w:rPr>
          <w:spacing w:val="-3"/>
        </w:rPr>
        <w:t> </w:t>
      </w:r>
      <w:r>
        <w:rPr/>
        <w:t>of</w:t>
      </w:r>
      <w:r>
        <w:rPr>
          <w:spacing w:val="-5"/>
        </w:rPr>
        <w:t> </w:t>
      </w:r>
      <w:r>
        <w:rPr/>
        <w:t>claimants,</w:t>
      </w:r>
      <w:r>
        <w:rPr>
          <w:spacing w:val="-4"/>
        </w:rPr>
        <w:t> </w:t>
      </w:r>
      <w:r>
        <w:rPr/>
        <w:t>employers</w:t>
      </w:r>
      <w:r>
        <w:rPr>
          <w:spacing w:val="-4"/>
        </w:rPr>
        <w:t> </w:t>
      </w:r>
      <w:r>
        <w:rPr/>
        <w:t>and</w:t>
      </w:r>
      <w:r>
        <w:rPr>
          <w:spacing w:val="-5"/>
        </w:rPr>
        <w:t> </w:t>
      </w:r>
      <w:r>
        <w:rPr/>
        <w:t>their</w:t>
      </w:r>
      <w:r>
        <w:rPr>
          <w:spacing w:val="-6"/>
        </w:rPr>
        <w:t> </w:t>
      </w:r>
      <w:r>
        <w:rPr/>
        <w:t>representatives</w:t>
      </w:r>
      <w:r>
        <w:rPr>
          <w:spacing w:val="-4"/>
        </w:rPr>
        <w:t> </w:t>
      </w:r>
      <w:r>
        <w:rPr/>
        <w:t>closely</w:t>
      </w:r>
      <w:r>
        <w:rPr>
          <w:spacing w:val="-5"/>
        </w:rPr>
        <w:t> </w:t>
      </w:r>
      <w:r>
        <w:rPr/>
        <w:t>match</w:t>
      </w:r>
      <w:r>
        <w:rPr>
          <w:spacing w:val="-5"/>
        </w:rPr>
        <w:t> </w:t>
      </w:r>
      <w:r>
        <w:rPr/>
        <w:t>those from 2015, with the main difference observed being that a greater proportion of claimants used representation this time.</w:t>
      </w:r>
    </w:p>
    <w:p>
      <w:pPr>
        <w:pStyle w:val="BodyText"/>
        <w:spacing w:before="5"/>
        <w:rPr>
          <w:sz w:val="21"/>
        </w:rPr>
      </w:pPr>
    </w:p>
    <w:p>
      <w:pPr>
        <w:pStyle w:val="BodyText"/>
        <w:spacing w:line="256" w:lineRule="auto"/>
        <w:ind w:left="1337" w:right="1472"/>
        <w:jc w:val="both"/>
      </w:pPr>
      <w:r>
        <w:rPr/>
        <w:t>The majority of claimants surveyed were men, working full-time in private sector organisations, and from a white ethnic background. Claimants were also likely to speak</w:t>
      </w:r>
      <w:r>
        <w:rPr>
          <w:spacing w:val="-14"/>
        </w:rPr>
        <w:t> </w:t>
      </w:r>
      <w:r>
        <w:rPr/>
        <w:t>English</w:t>
      </w:r>
      <w:r>
        <w:rPr>
          <w:spacing w:val="-14"/>
        </w:rPr>
        <w:t> </w:t>
      </w:r>
      <w:r>
        <w:rPr/>
        <w:t>as</w:t>
      </w:r>
      <w:r>
        <w:rPr>
          <w:spacing w:val="-14"/>
        </w:rPr>
        <w:t> </w:t>
      </w:r>
      <w:r>
        <w:rPr/>
        <w:t>a</w:t>
      </w:r>
      <w:r>
        <w:rPr>
          <w:spacing w:val="-16"/>
        </w:rPr>
        <w:t> </w:t>
      </w:r>
      <w:r>
        <w:rPr/>
        <w:t>first</w:t>
      </w:r>
      <w:r>
        <w:rPr>
          <w:spacing w:val="-15"/>
        </w:rPr>
        <w:t> </w:t>
      </w:r>
      <w:r>
        <w:rPr/>
        <w:t>language</w:t>
      </w:r>
      <w:r>
        <w:rPr>
          <w:spacing w:val="-15"/>
        </w:rPr>
        <w:t> </w:t>
      </w:r>
      <w:r>
        <w:rPr/>
        <w:t>and</w:t>
      </w:r>
      <w:r>
        <w:rPr>
          <w:spacing w:val="-14"/>
        </w:rPr>
        <w:t> </w:t>
      </w:r>
      <w:r>
        <w:rPr/>
        <w:t>be</w:t>
      </w:r>
      <w:r>
        <w:rPr>
          <w:spacing w:val="-15"/>
        </w:rPr>
        <w:t> </w:t>
      </w:r>
      <w:r>
        <w:rPr/>
        <w:t>aged</w:t>
      </w:r>
      <w:r>
        <w:rPr>
          <w:spacing w:val="-14"/>
        </w:rPr>
        <w:t> </w:t>
      </w:r>
      <w:r>
        <w:rPr/>
        <w:t>between</w:t>
      </w:r>
      <w:r>
        <w:rPr>
          <w:spacing w:val="-14"/>
        </w:rPr>
        <w:t> </w:t>
      </w:r>
      <w:r>
        <w:rPr/>
        <w:t>25</w:t>
      </w:r>
      <w:r>
        <w:rPr>
          <w:spacing w:val="-14"/>
        </w:rPr>
        <w:t> </w:t>
      </w:r>
      <w:r>
        <w:rPr/>
        <w:t>and</w:t>
      </w:r>
      <w:r>
        <w:rPr>
          <w:spacing w:val="-14"/>
        </w:rPr>
        <w:t> </w:t>
      </w:r>
      <w:r>
        <w:rPr/>
        <w:t>55</w:t>
      </w:r>
      <w:r>
        <w:rPr>
          <w:spacing w:val="-15"/>
        </w:rPr>
        <w:t> </w:t>
      </w:r>
      <w:r>
        <w:rPr/>
        <w:t>years</w:t>
      </w:r>
      <w:r>
        <w:rPr>
          <w:spacing w:val="-15"/>
        </w:rPr>
        <w:t> </w:t>
      </w:r>
      <w:r>
        <w:rPr/>
        <w:t>old.</w:t>
      </w:r>
      <w:r>
        <w:rPr>
          <w:spacing w:val="-14"/>
        </w:rPr>
        <w:t> </w:t>
      </w:r>
      <w:r>
        <w:rPr/>
        <w:t>Around one in five had worked for their organisation more than ten years and a similar proportion were</w:t>
      </w:r>
      <w:r>
        <w:rPr>
          <w:spacing w:val="-1"/>
        </w:rPr>
        <w:t> </w:t>
      </w:r>
      <w:r>
        <w:rPr/>
        <w:t>members</w:t>
      </w:r>
      <w:r>
        <w:rPr>
          <w:spacing w:val="-1"/>
        </w:rPr>
        <w:t> </w:t>
      </w:r>
      <w:r>
        <w:rPr/>
        <w:t>of a</w:t>
      </w:r>
      <w:r>
        <w:rPr>
          <w:spacing w:val="-2"/>
        </w:rPr>
        <w:t> </w:t>
      </w:r>
      <w:r>
        <w:rPr/>
        <w:t>trade</w:t>
      </w:r>
      <w:r>
        <w:rPr>
          <w:spacing w:val="-1"/>
        </w:rPr>
        <w:t> </w:t>
      </w:r>
      <w:r>
        <w:rPr/>
        <w:t>union</w:t>
      </w:r>
      <w:r>
        <w:rPr>
          <w:spacing w:val="-2"/>
        </w:rPr>
        <w:t> </w:t>
      </w:r>
      <w:r>
        <w:rPr/>
        <w:t>at</w:t>
      </w:r>
      <w:r>
        <w:rPr>
          <w:spacing w:val="-2"/>
        </w:rPr>
        <w:t> </w:t>
      </w:r>
      <w:r>
        <w:rPr/>
        <w:t>the</w:t>
      </w:r>
      <w:r>
        <w:rPr>
          <w:spacing w:val="-1"/>
        </w:rPr>
        <w:t> </w:t>
      </w:r>
      <w:r>
        <w:rPr/>
        <w:t>time</w:t>
      </w:r>
      <w:r>
        <w:rPr>
          <w:spacing w:val="-1"/>
        </w:rPr>
        <w:t> </w:t>
      </w:r>
      <w:r>
        <w:rPr/>
        <w:t>of</w:t>
      </w:r>
      <w:r>
        <w:rPr>
          <w:spacing w:val="-3"/>
        </w:rPr>
        <w:t> </w:t>
      </w:r>
      <w:r>
        <w:rPr/>
        <w:t>the</w:t>
      </w:r>
      <w:r>
        <w:rPr>
          <w:spacing w:val="-1"/>
        </w:rPr>
        <w:t> </w:t>
      </w:r>
      <w:r>
        <w:rPr/>
        <w:t>dispute.</w:t>
      </w:r>
      <w:r>
        <w:rPr>
          <w:spacing w:val="-2"/>
        </w:rPr>
        <w:t> </w:t>
      </w:r>
      <w:r>
        <w:rPr/>
        <w:t>Three</w:t>
      </w:r>
      <w:r>
        <w:rPr>
          <w:spacing w:val="-1"/>
        </w:rPr>
        <w:t> </w:t>
      </w:r>
      <w:r>
        <w:rPr/>
        <w:t>in</w:t>
      </w:r>
      <w:r>
        <w:rPr>
          <w:spacing w:val="-2"/>
        </w:rPr>
        <w:t> </w:t>
      </w:r>
      <w:r>
        <w:rPr/>
        <w:t>ten reported having a long-term illness or disability.</w:t>
      </w:r>
    </w:p>
    <w:p>
      <w:pPr>
        <w:pStyle w:val="BodyText"/>
        <w:spacing w:before="3"/>
        <w:rPr>
          <w:sz w:val="21"/>
        </w:rPr>
      </w:pPr>
    </w:p>
    <w:p>
      <w:pPr>
        <w:pStyle w:val="BodyText"/>
        <w:spacing w:line="256" w:lineRule="auto"/>
        <w:ind w:left="1337" w:right="1473"/>
        <w:jc w:val="both"/>
      </w:pPr>
      <w:r>
        <w:rPr/>
        <w:t>The profile of employers surveyed was also similar to 2015, a large majority operated in the private sector and more than half in more than one workplace. Seven in ten had an internal HR department and one in four an internal legal department. One in three were members of an employers or staff association and just over</w:t>
      </w:r>
      <w:r>
        <w:rPr>
          <w:spacing w:val="-1"/>
        </w:rPr>
        <w:t> </w:t>
      </w:r>
      <w:r>
        <w:rPr/>
        <w:t>two in five operated in large organisations of more than 250 employees.</w:t>
      </w:r>
    </w:p>
    <w:p>
      <w:pPr>
        <w:spacing w:after="0" w:line="256" w:lineRule="auto"/>
        <w:jc w:val="both"/>
        <w:sectPr>
          <w:pgSz w:w="11910" w:h="16840"/>
          <w:pgMar w:header="0" w:footer="996" w:top="1340" w:bottom="1180" w:left="460" w:right="320"/>
        </w:sectPr>
      </w:pPr>
    </w:p>
    <w:p>
      <w:pPr>
        <w:pStyle w:val="BodyText"/>
        <w:spacing w:line="256" w:lineRule="auto" w:before="79"/>
        <w:ind w:left="1337" w:right="1473"/>
        <w:jc w:val="both"/>
      </w:pPr>
      <w:r>
        <w:rPr/>
        <w:t>The most notable difference in the profile of survey participants in 2019 when compared</w:t>
      </w:r>
      <w:r>
        <w:rPr>
          <w:spacing w:val="-7"/>
        </w:rPr>
        <w:t> </w:t>
      </w:r>
      <w:r>
        <w:rPr/>
        <w:t>to</w:t>
      </w:r>
      <w:r>
        <w:rPr>
          <w:spacing w:val="-7"/>
        </w:rPr>
        <w:t> </w:t>
      </w:r>
      <w:r>
        <w:rPr/>
        <w:t>2015</w:t>
      </w:r>
      <w:r>
        <w:rPr>
          <w:spacing w:val="-7"/>
        </w:rPr>
        <w:t> </w:t>
      </w:r>
      <w:r>
        <w:rPr/>
        <w:t>was</w:t>
      </w:r>
      <w:r>
        <w:rPr>
          <w:spacing w:val="-9"/>
        </w:rPr>
        <w:t> </w:t>
      </w:r>
      <w:r>
        <w:rPr/>
        <w:t>the</w:t>
      </w:r>
      <w:r>
        <w:rPr>
          <w:spacing w:val="-7"/>
        </w:rPr>
        <w:t> </w:t>
      </w:r>
      <w:r>
        <w:rPr/>
        <w:t>level</w:t>
      </w:r>
      <w:r>
        <w:rPr>
          <w:spacing w:val="-8"/>
        </w:rPr>
        <w:t> </w:t>
      </w:r>
      <w:r>
        <w:rPr/>
        <w:t>of</w:t>
      </w:r>
      <w:r>
        <w:rPr>
          <w:spacing w:val="-7"/>
        </w:rPr>
        <w:t> </w:t>
      </w:r>
      <w:r>
        <w:rPr/>
        <w:t>representation</w:t>
      </w:r>
      <w:r>
        <w:rPr>
          <w:spacing w:val="-6"/>
        </w:rPr>
        <w:t> </w:t>
      </w:r>
      <w:r>
        <w:rPr/>
        <w:t>among</w:t>
      </w:r>
      <w:r>
        <w:rPr>
          <w:spacing w:val="-8"/>
        </w:rPr>
        <w:t> </w:t>
      </w:r>
      <w:r>
        <w:rPr/>
        <w:t>claimants.</w:t>
      </w:r>
      <w:r>
        <w:rPr>
          <w:spacing w:val="-7"/>
        </w:rPr>
        <w:t> </w:t>
      </w:r>
      <w:r>
        <w:rPr/>
        <w:t>38</w:t>
      </w:r>
      <w:r>
        <w:rPr>
          <w:spacing w:val="-8"/>
        </w:rPr>
        <w:t> </w:t>
      </w:r>
      <w:r>
        <w:rPr/>
        <w:t>per</w:t>
      </w:r>
      <w:r>
        <w:rPr>
          <w:spacing w:val="-7"/>
        </w:rPr>
        <w:t> </w:t>
      </w:r>
      <w:r>
        <w:rPr/>
        <w:t>cent</w:t>
      </w:r>
      <w:r>
        <w:rPr>
          <w:spacing w:val="-8"/>
        </w:rPr>
        <w:t> </w:t>
      </w:r>
      <w:r>
        <w:rPr/>
        <w:t>of claimants used some form of representation in their case, compared with 24 per cent in 2015. Among employers this figure also rose slightly (from 29 to 33 per </w:t>
      </w:r>
      <w:r>
        <w:rPr>
          <w:spacing w:val="-2"/>
        </w:rPr>
        <w:t>cent).</w:t>
      </w:r>
    </w:p>
    <w:p>
      <w:pPr>
        <w:pStyle w:val="BodyText"/>
        <w:spacing w:before="4"/>
        <w:rPr>
          <w:sz w:val="21"/>
        </w:rPr>
      </w:pPr>
    </w:p>
    <w:p>
      <w:pPr>
        <w:pStyle w:val="BodyText"/>
        <w:spacing w:line="256" w:lineRule="auto"/>
        <w:ind w:left="1336" w:right="1473"/>
        <w:jc w:val="both"/>
      </w:pPr>
      <w:r>
        <w:rPr/>
        <w:t>Turning to representatives themselves, representatives of both claimants and employers</w:t>
      </w:r>
      <w:r>
        <w:rPr>
          <w:spacing w:val="-8"/>
        </w:rPr>
        <w:t> </w:t>
      </w:r>
      <w:r>
        <w:rPr/>
        <w:t>were</w:t>
      </w:r>
      <w:r>
        <w:rPr>
          <w:spacing w:val="-9"/>
        </w:rPr>
        <w:t> </w:t>
      </w:r>
      <w:r>
        <w:rPr/>
        <w:t>most</w:t>
      </w:r>
      <w:r>
        <w:rPr>
          <w:spacing w:val="-9"/>
        </w:rPr>
        <w:t> </w:t>
      </w:r>
      <w:r>
        <w:rPr/>
        <w:t>likely</w:t>
      </w:r>
      <w:r>
        <w:rPr>
          <w:spacing w:val="-9"/>
        </w:rPr>
        <w:t> </w:t>
      </w:r>
      <w:r>
        <w:rPr/>
        <w:t>to</w:t>
      </w:r>
      <w:r>
        <w:rPr>
          <w:spacing w:val="-9"/>
        </w:rPr>
        <w:t> </w:t>
      </w:r>
      <w:r>
        <w:rPr/>
        <w:t>be</w:t>
      </w:r>
      <w:r>
        <w:rPr>
          <w:spacing w:val="-9"/>
        </w:rPr>
        <w:t> </w:t>
      </w:r>
      <w:r>
        <w:rPr/>
        <w:t>legal</w:t>
      </w:r>
      <w:r>
        <w:rPr>
          <w:spacing w:val="-10"/>
        </w:rPr>
        <w:t> </w:t>
      </w:r>
      <w:r>
        <w:rPr/>
        <w:t>professionals.</w:t>
      </w:r>
      <w:r>
        <w:rPr>
          <w:spacing w:val="-9"/>
        </w:rPr>
        <w:t> </w:t>
      </w:r>
      <w:r>
        <w:rPr/>
        <w:t>However,</w:t>
      </w:r>
      <w:r>
        <w:rPr>
          <w:spacing w:val="-10"/>
        </w:rPr>
        <w:t> </w:t>
      </w:r>
      <w:r>
        <w:rPr/>
        <w:t>while</w:t>
      </w:r>
      <w:r>
        <w:rPr>
          <w:spacing w:val="-9"/>
        </w:rPr>
        <w:t> </w:t>
      </w:r>
      <w:r>
        <w:rPr/>
        <w:t>claimant-side reps</w:t>
      </w:r>
      <w:r>
        <w:rPr>
          <w:spacing w:val="-6"/>
        </w:rPr>
        <w:t> </w:t>
      </w:r>
      <w:r>
        <w:rPr/>
        <w:t>without</w:t>
      </w:r>
      <w:r>
        <w:rPr>
          <w:spacing w:val="-5"/>
        </w:rPr>
        <w:t> </w:t>
      </w:r>
      <w:r>
        <w:rPr/>
        <w:t>a</w:t>
      </w:r>
      <w:r>
        <w:rPr>
          <w:spacing w:val="-6"/>
        </w:rPr>
        <w:t> </w:t>
      </w:r>
      <w:r>
        <w:rPr/>
        <w:t>legal</w:t>
      </w:r>
      <w:r>
        <w:rPr>
          <w:spacing w:val="-6"/>
        </w:rPr>
        <w:t> </w:t>
      </w:r>
      <w:r>
        <w:rPr/>
        <w:t>background</w:t>
      </w:r>
      <w:r>
        <w:rPr>
          <w:spacing w:val="-7"/>
        </w:rPr>
        <w:t> </w:t>
      </w:r>
      <w:r>
        <w:rPr/>
        <w:t>tended</w:t>
      </w:r>
      <w:r>
        <w:rPr>
          <w:spacing w:val="-6"/>
        </w:rPr>
        <w:t> </w:t>
      </w:r>
      <w:r>
        <w:rPr/>
        <w:t>to</w:t>
      </w:r>
      <w:r>
        <w:rPr>
          <w:spacing w:val="-6"/>
        </w:rPr>
        <w:t> </w:t>
      </w:r>
      <w:r>
        <w:rPr/>
        <w:t>be</w:t>
      </w:r>
      <w:r>
        <w:rPr>
          <w:spacing w:val="-6"/>
        </w:rPr>
        <w:t> </w:t>
      </w:r>
      <w:r>
        <w:rPr/>
        <w:t>a</w:t>
      </w:r>
      <w:r>
        <w:rPr>
          <w:spacing w:val="-6"/>
        </w:rPr>
        <w:t> </w:t>
      </w:r>
      <w:r>
        <w:rPr/>
        <w:t>friend</w:t>
      </w:r>
      <w:r>
        <w:rPr>
          <w:spacing w:val="-6"/>
        </w:rPr>
        <w:t> </w:t>
      </w:r>
      <w:r>
        <w:rPr/>
        <w:t>or</w:t>
      </w:r>
      <w:r>
        <w:rPr>
          <w:spacing w:val="-6"/>
        </w:rPr>
        <w:t> </w:t>
      </w:r>
      <w:r>
        <w:rPr/>
        <w:t>family</w:t>
      </w:r>
      <w:r>
        <w:rPr>
          <w:spacing w:val="-5"/>
        </w:rPr>
        <w:t> </w:t>
      </w:r>
      <w:r>
        <w:rPr/>
        <w:t>member</w:t>
      </w:r>
      <w:r>
        <w:rPr>
          <w:spacing w:val="-6"/>
        </w:rPr>
        <w:t> </w:t>
      </w:r>
      <w:r>
        <w:rPr/>
        <w:t>or</w:t>
      </w:r>
      <w:r>
        <w:rPr>
          <w:spacing w:val="-6"/>
        </w:rPr>
        <w:t> </w:t>
      </w:r>
      <w:r>
        <w:rPr/>
        <w:t>a</w:t>
      </w:r>
      <w:r>
        <w:rPr>
          <w:spacing w:val="-6"/>
        </w:rPr>
        <w:t> </w:t>
      </w:r>
      <w:r>
        <w:rPr/>
        <w:t>trade union rep, on the employer side non-legal representatives tended to be HR specialists. These differences in profile between audiences may explain why employer-side reps are more experienced with claims than those on the claimant side – with three in four employer reps having dealt with claims for more than 5 years compared to half of claimant reps.</w:t>
      </w:r>
    </w:p>
    <w:p>
      <w:pPr>
        <w:pStyle w:val="BodyText"/>
        <w:spacing w:before="3"/>
        <w:rPr>
          <w:sz w:val="21"/>
        </w:rPr>
      </w:pPr>
    </w:p>
    <w:p>
      <w:pPr>
        <w:pStyle w:val="BodyText"/>
        <w:spacing w:line="256" w:lineRule="auto"/>
        <w:ind w:left="1337" w:right="1472"/>
        <w:jc w:val="both"/>
      </w:pPr>
      <w:r>
        <w:rPr/>
        <w:t>A</w:t>
      </w:r>
      <w:r>
        <w:rPr>
          <w:spacing w:val="-8"/>
        </w:rPr>
        <w:t> </w:t>
      </w:r>
      <w:r>
        <w:rPr/>
        <w:t>consistent</w:t>
      </w:r>
      <w:r>
        <w:rPr>
          <w:spacing w:val="-9"/>
        </w:rPr>
        <w:t> </w:t>
      </w:r>
      <w:r>
        <w:rPr/>
        <w:t>picture</w:t>
      </w:r>
      <w:r>
        <w:rPr>
          <w:spacing w:val="-8"/>
        </w:rPr>
        <w:t> </w:t>
      </w:r>
      <w:r>
        <w:rPr/>
        <w:t>also</w:t>
      </w:r>
      <w:r>
        <w:rPr>
          <w:spacing w:val="-8"/>
        </w:rPr>
        <w:t> </w:t>
      </w:r>
      <w:r>
        <w:rPr/>
        <w:t>emerged</w:t>
      </w:r>
      <w:r>
        <w:rPr>
          <w:spacing w:val="-8"/>
        </w:rPr>
        <w:t> </w:t>
      </w:r>
      <w:r>
        <w:rPr/>
        <w:t>when</w:t>
      </w:r>
      <w:r>
        <w:rPr>
          <w:spacing w:val="-7"/>
        </w:rPr>
        <w:t> </w:t>
      </w:r>
      <w:r>
        <w:rPr/>
        <w:t>comparing</w:t>
      </w:r>
      <w:r>
        <w:rPr>
          <w:spacing w:val="-8"/>
        </w:rPr>
        <w:t> </w:t>
      </w:r>
      <w:r>
        <w:rPr/>
        <w:t>the</w:t>
      </w:r>
      <w:r>
        <w:rPr>
          <w:spacing w:val="-10"/>
        </w:rPr>
        <w:t> </w:t>
      </w:r>
      <w:r>
        <w:rPr/>
        <w:t>nature</w:t>
      </w:r>
      <w:r>
        <w:rPr>
          <w:spacing w:val="-8"/>
        </w:rPr>
        <w:t> </w:t>
      </w:r>
      <w:r>
        <w:rPr/>
        <w:t>of</w:t>
      </w:r>
      <w:r>
        <w:rPr>
          <w:spacing w:val="-7"/>
        </w:rPr>
        <w:t> </w:t>
      </w:r>
      <w:r>
        <w:rPr/>
        <w:t>disputes</w:t>
      </w:r>
      <w:r>
        <w:rPr>
          <w:spacing w:val="-8"/>
        </w:rPr>
        <w:t> </w:t>
      </w:r>
      <w:r>
        <w:rPr/>
        <w:t>between 2015 and 2019. Three in four (75 per cent) said that the claimant’s employment had come to an end because of the dispute. The most common reasons that a claimant’s employment had come to an end were dismissal (37 per cent) or resignation (27 per cent). Meanwhile, a disconnect is observed between claimant and employer-side survey participants about whether written policies and procedures were in place for cases like those experienced and whether they were followed. Employer-side participants were much more likely than claimant-side participants to say that policies were in place and that they were followed fully during the dispute.</w:t>
      </w:r>
    </w:p>
    <w:p>
      <w:pPr>
        <w:pStyle w:val="BodyText"/>
        <w:spacing w:before="3"/>
        <w:rPr>
          <w:sz w:val="21"/>
        </w:rPr>
      </w:pPr>
    </w:p>
    <w:p>
      <w:pPr>
        <w:pStyle w:val="Heading3"/>
      </w:pPr>
      <w:r>
        <w:rPr/>
        <w:t>Uptake</w:t>
      </w:r>
      <w:r>
        <w:rPr>
          <w:spacing w:val="-4"/>
        </w:rPr>
        <w:t> </w:t>
      </w:r>
      <w:r>
        <w:rPr/>
        <w:t>of</w:t>
      </w:r>
      <w:r>
        <w:rPr>
          <w:spacing w:val="-4"/>
        </w:rPr>
        <w:t> </w:t>
      </w:r>
      <w:r>
        <w:rPr/>
        <w:t>Early</w:t>
      </w:r>
      <w:r>
        <w:rPr>
          <w:spacing w:val="-2"/>
        </w:rPr>
        <w:t> Conciliation</w:t>
      </w:r>
    </w:p>
    <w:p>
      <w:pPr>
        <w:pStyle w:val="BodyText"/>
        <w:spacing w:before="9"/>
        <w:rPr>
          <w:b/>
          <w:sz w:val="22"/>
        </w:rPr>
      </w:pPr>
    </w:p>
    <w:p>
      <w:pPr>
        <w:pStyle w:val="BodyText"/>
        <w:spacing w:line="256" w:lineRule="auto"/>
        <w:ind w:left="1337" w:right="1473"/>
        <w:jc w:val="both"/>
      </w:pPr>
      <w:r>
        <w:rPr/>
        <w:t>The</w:t>
      </w:r>
      <w:r>
        <w:rPr>
          <w:spacing w:val="-7"/>
        </w:rPr>
        <w:t> </w:t>
      </w:r>
      <w:r>
        <w:rPr/>
        <w:t>most</w:t>
      </w:r>
      <w:r>
        <w:rPr>
          <w:spacing w:val="-8"/>
        </w:rPr>
        <w:t> </w:t>
      </w:r>
      <w:r>
        <w:rPr/>
        <w:t>common</w:t>
      </w:r>
      <w:r>
        <w:rPr>
          <w:spacing w:val="-6"/>
        </w:rPr>
        <w:t> </w:t>
      </w:r>
      <w:r>
        <w:rPr/>
        <w:t>reason</w:t>
      </w:r>
      <w:r>
        <w:rPr>
          <w:spacing w:val="-6"/>
        </w:rPr>
        <w:t> </w:t>
      </w:r>
      <w:r>
        <w:rPr/>
        <w:t>given</w:t>
      </w:r>
      <w:r>
        <w:rPr>
          <w:spacing w:val="-6"/>
        </w:rPr>
        <w:t> </w:t>
      </w:r>
      <w:r>
        <w:rPr/>
        <w:t>by</w:t>
      </w:r>
      <w:r>
        <w:rPr>
          <w:spacing w:val="-8"/>
        </w:rPr>
        <w:t> </w:t>
      </w:r>
      <w:r>
        <w:rPr/>
        <w:t>claimant-side</w:t>
      </w:r>
      <w:r>
        <w:rPr>
          <w:spacing w:val="-7"/>
        </w:rPr>
        <w:t> </w:t>
      </w:r>
      <w:r>
        <w:rPr/>
        <w:t>participants</w:t>
      </w:r>
      <w:r>
        <w:rPr>
          <w:spacing w:val="-8"/>
        </w:rPr>
        <w:t> </w:t>
      </w:r>
      <w:r>
        <w:rPr/>
        <w:t>for</w:t>
      </w:r>
      <w:r>
        <w:rPr>
          <w:spacing w:val="-7"/>
        </w:rPr>
        <w:t> </w:t>
      </w:r>
      <w:r>
        <w:rPr/>
        <w:t>submitting</w:t>
      </w:r>
      <w:r>
        <w:rPr>
          <w:spacing w:val="-7"/>
        </w:rPr>
        <w:t> </w:t>
      </w:r>
      <w:r>
        <w:rPr/>
        <w:t>an</w:t>
      </w:r>
      <w:r>
        <w:rPr>
          <w:spacing w:val="-6"/>
        </w:rPr>
        <w:t> </w:t>
      </w:r>
      <w:r>
        <w:rPr/>
        <w:t>EC notification form continues to be because the claimant ‘had to in order to submit an Employment Tribunal claim…but keen to see if a settlement could be reached beforehand’</w:t>
      </w:r>
      <w:r>
        <w:rPr>
          <w:spacing w:val="-1"/>
        </w:rPr>
        <w:t> </w:t>
      </w:r>
      <w:r>
        <w:rPr/>
        <w:t>(54</w:t>
      </w:r>
      <w:r>
        <w:rPr>
          <w:spacing w:val="-1"/>
        </w:rPr>
        <w:t> </w:t>
      </w:r>
      <w:r>
        <w:rPr/>
        <w:t>per cent). Just</w:t>
      </w:r>
      <w:r>
        <w:rPr>
          <w:spacing w:val="-1"/>
        </w:rPr>
        <w:t> </w:t>
      </w:r>
      <w:r>
        <w:rPr/>
        <w:t>18</w:t>
      </w:r>
      <w:r>
        <w:rPr>
          <w:spacing w:val="-1"/>
        </w:rPr>
        <w:t> </w:t>
      </w:r>
      <w:r>
        <w:rPr/>
        <w:t>per cent</w:t>
      </w:r>
      <w:r>
        <w:rPr>
          <w:spacing w:val="-1"/>
        </w:rPr>
        <w:t> </w:t>
      </w:r>
      <w:r>
        <w:rPr/>
        <w:t>did so because they</w:t>
      </w:r>
      <w:r>
        <w:rPr>
          <w:spacing w:val="-1"/>
        </w:rPr>
        <w:t> </w:t>
      </w:r>
      <w:r>
        <w:rPr/>
        <w:t>had</w:t>
      </w:r>
      <w:r>
        <w:rPr>
          <w:spacing w:val="-2"/>
        </w:rPr>
        <w:t> </w:t>
      </w:r>
      <w:r>
        <w:rPr/>
        <w:t>to in order to submit a tribunal claim without any intention of reaching a negotiated settlement – suggesting most claimants enter the process open to a settlement.</w:t>
      </w:r>
    </w:p>
    <w:p>
      <w:pPr>
        <w:pStyle w:val="BodyText"/>
        <w:spacing w:before="5"/>
        <w:rPr>
          <w:sz w:val="21"/>
        </w:rPr>
      </w:pPr>
    </w:p>
    <w:p>
      <w:pPr>
        <w:pStyle w:val="BodyText"/>
        <w:spacing w:line="256" w:lineRule="auto"/>
        <w:ind w:left="1337" w:right="1471"/>
        <w:jc w:val="both"/>
      </w:pPr>
      <w:r>
        <w:rPr/>
        <w:t>The service provided by the ECSO – the support officer who contacts potential claimants after notification to confirm details and provide information about the service and hence is an important driver in the uptake of EC – was viewed positively. Seventy-five per cent of claimant-side participants agreed that the information provided by Acas at the point they completed the</w:t>
      </w:r>
      <w:r>
        <w:rPr>
          <w:spacing w:val="-1"/>
        </w:rPr>
        <w:t> </w:t>
      </w:r>
      <w:r>
        <w:rPr/>
        <w:t>EC notification form helped</w:t>
      </w:r>
      <w:r>
        <w:rPr>
          <w:spacing w:val="-5"/>
        </w:rPr>
        <w:t> </w:t>
      </w:r>
      <w:r>
        <w:rPr/>
        <w:t>them</w:t>
      </w:r>
      <w:r>
        <w:rPr>
          <w:spacing w:val="-6"/>
        </w:rPr>
        <w:t> </w:t>
      </w:r>
      <w:r>
        <w:rPr/>
        <w:t>to</w:t>
      </w:r>
      <w:r>
        <w:rPr>
          <w:spacing w:val="-7"/>
        </w:rPr>
        <w:t> </w:t>
      </w:r>
      <w:r>
        <w:rPr/>
        <w:t>understand</w:t>
      </w:r>
      <w:r>
        <w:rPr>
          <w:spacing w:val="-7"/>
        </w:rPr>
        <w:t> </w:t>
      </w:r>
      <w:r>
        <w:rPr/>
        <w:t>how</w:t>
      </w:r>
      <w:r>
        <w:rPr>
          <w:spacing w:val="-5"/>
        </w:rPr>
        <w:t> </w:t>
      </w:r>
      <w:r>
        <w:rPr/>
        <w:t>the</w:t>
      </w:r>
      <w:r>
        <w:rPr>
          <w:spacing w:val="-6"/>
        </w:rPr>
        <w:t> </w:t>
      </w:r>
      <w:r>
        <w:rPr/>
        <w:t>Early</w:t>
      </w:r>
      <w:r>
        <w:rPr>
          <w:spacing w:val="-6"/>
        </w:rPr>
        <w:t> </w:t>
      </w:r>
      <w:r>
        <w:rPr/>
        <w:t>Conciliation</w:t>
      </w:r>
      <w:r>
        <w:rPr>
          <w:spacing w:val="-5"/>
        </w:rPr>
        <w:t> </w:t>
      </w:r>
      <w:r>
        <w:rPr/>
        <w:t>process</w:t>
      </w:r>
      <w:r>
        <w:rPr>
          <w:spacing w:val="-5"/>
        </w:rPr>
        <w:t> </w:t>
      </w:r>
      <w:r>
        <w:rPr/>
        <w:t>worked,</w:t>
      </w:r>
      <w:r>
        <w:rPr>
          <w:spacing w:val="-6"/>
        </w:rPr>
        <w:t> </w:t>
      </w:r>
      <w:r>
        <w:rPr/>
        <w:t>with</w:t>
      </w:r>
      <w:r>
        <w:rPr>
          <w:spacing w:val="-6"/>
        </w:rPr>
        <w:t> </w:t>
      </w:r>
      <w:r>
        <w:rPr/>
        <w:t>82</w:t>
      </w:r>
      <w:r>
        <w:rPr>
          <w:spacing w:val="-6"/>
        </w:rPr>
        <w:t> </w:t>
      </w:r>
      <w:r>
        <w:rPr/>
        <w:t>per cent of claimants rating the Acas support officer as ‘good’ at explaining the Early Conciliation offer. Although the proportion rating the support officer as good is somewhat</w:t>
      </w:r>
      <w:r>
        <w:rPr>
          <w:spacing w:val="-7"/>
        </w:rPr>
        <w:t> </w:t>
      </w:r>
      <w:r>
        <w:rPr/>
        <w:t>down</w:t>
      </w:r>
      <w:r>
        <w:rPr>
          <w:spacing w:val="-6"/>
        </w:rPr>
        <w:t> </w:t>
      </w:r>
      <w:r>
        <w:rPr/>
        <w:t>on</w:t>
      </w:r>
      <w:r>
        <w:rPr>
          <w:spacing w:val="-8"/>
        </w:rPr>
        <w:t> </w:t>
      </w:r>
      <w:r>
        <w:rPr/>
        <w:t>the</w:t>
      </w:r>
      <w:r>
        <w:rPr>
          <w:spacing w:val="-9"/>
        </w:rPr>
        <w:t> </w:t>
      </w:r>
      <w:r>
        <w:rPr/>
        <w:t>89</w:t>
      </w:r>
      <w:r>
        <w:rPr>
          <w:spacing w:val="-7"/>
        </w:rPr>
        <w:t> </w:t>
      </w:r>
      <w:r>
        <w:rPr/>
        <w:t>per</w:t>
      </w:r>
      <w:r>
        <w:rPr>
          <w:spacing w:val="-7"/>
        </w:rPr>
        <w:t> </w:t>
      </w:r>
      <w:r>
        <w:rPr/>
        <w:t>cent</w:t>
      </w:r>
      <w:r>
        <w:rPr>
          <w:spacing w:val="-8"/>
        </w:rPr>
        <w:t> </w:t>
      </w:r>
      <w:r>
        <w:rPr/>
        <w:t>that</w:t>
      </w:r>
      <w:r>
        <w:rPr>
          <w:spacing w:val="-6"/>
        </w:rPr>
        <w:t> </w:t>
      </w:r>
      <w:r>
        <w:rPr/>
        <w:t>said</w:t>
      </w:r>
      <w:r>
        <w:rPr>
          <w:spacing w:val="-7"/>
        </w:rPr>
        <w:t> </w:t>
      </w:r>
      <w:r>
        <w:rPr/>
        <w:t>the</w:t>
      </w:r>
      <w:r>
        <w:rPr>
          <w:spacing w:val="-7"/>
        </w:rPr>
        <w:t> </w:t>
      </w:r>
      <w:r>
        <w:rPr/>
        <w:t>same</w:t>
      </w:r>
      <w:r>
        <w:rPr>
          <w:spacing w:val="-7"/>
        </w:rPr>
        <w:t> </w:t>
      </w:r>
      <w:r>
        <w:rPr/>
        <w:t>in</w:t>
      </w:r>
      <w:r>
        <w:rPr>
          <w:spacing w:val="-6"/>
        </w:rPr>
        <w:t> </w:t>
      </w:r>
      <w:r>
        <w:rPr/>
        <w:t>2015,</w:t>
      </w:r>
      <w:r>
        <w:rPr>
          <w:spacing w:val="-7"/>
        </w:rPr>
        <w:t> </w:t>
      </w:r>
      <w:r>
        <w:rPr/>
        <w:t>and</w:t>
      </w:r>
      <w:r>
        <w:rPr>
          <w:spacing w:val="-8"/>
        </w:rPr>
        <w:t> </w:t>
      </w:r>
      <w:r>
        <w:rPr/>
        <w:t>the</w:t>
      </w:r>
      <w:r>
        <w:rPr>
          <w:spacing w:val="-7"/>
        </w:rPr>
        <w:t> </w:t>
      </w:r>
      <w:r>
        <w:rPr/>
        <w:t>proportion that say ‘very good’ is also down from 71 per cent to 59 per cent, such trends should be viewed in the context that more than eight in ten rate this first stage favourably overall.</w:t>
      </w:r>
    </w:p>
    <w:p>
      <w:pPr>
        <w:pStyle w:val="BodyText"/>
        <w:spacing w:before="3"/>
        <w:rPr>
          <w:sz w:val="21"/>
        </w:rPr>
      </w:pPr>
    </w:p>
    <w:p>
      <w:pPr>
        <w:pStyle w:val="BodyText"/>
        <w:spacing w:line="256" w:lineRule="auto"/>
        <w:ind w:left="1337" w:right="1472"/>
        <w:jc w:val="both"/>
      </w:pPr>
      <w:r>
        <w:rPr/>
        <w:t>The top three reasons that claimant-side participants gave for taking part in EC were</w:t>
      </w:r>
      <w:r>
        <w:rPr>
          <w:spacing w:val="-10"/>
        </w:rPr>
        <w:t> </w:t>
      </w:r>
      <w:r>
        <w:rPr/>
        <w:t>‘to</w:t>
      </w:r>
      <w:r>
        <w:rPr>
          <w:spacing w:val="-10"/>
        </w:rPr>
        <w:t> </w:t>
      </w:r>
      <w:r>
        <w:rPr/>
        <w:t>reach</w:t>
      </w:r>
      <w:r>
        <w:rPr>
          <w:spacing w:val="-9"/>
        </w:rPr>
        <w:t> </w:t>
      </w:r>
      <w:r>
        <w:rPr/>
        <w:t>a</w:t>
      </w:r>
      <w:r>
        <w:rPr>
          <w:spacing w:val="-10"/>
        </w:rPr>
        <w:t> </w:t>
      </w:r>
      <w:r>
        <w:rPr/>
        <w:t>resolution’</w:t>
      </w:r>
      <w:r>
        <w:rPr>
          <w:spacing w:val="-9"/>
        </w:rPr>
        <w:t> </w:t>
      </w:r>
      <w:r>
        <w:rPr/>
        <w:t>(41</w:t>
      </w:r>
      <w:r>
        <w:rPr>
          <w:spacing w:val="-10"/>
        </w:rPr>
        <w:t> </w:t>
      </w:r>
      <w:r>
        <w:rPr/>
        <w:t>per</w:t>
      </w:r>
      <w:r>
        <w:rPr>
          <w:spacing w:val="-11"/>
        </w:rPr>
        <w:t> </w:t>
      </w:r>
      <w:r>
        <w:rPr/>
        <w:t>cent),</w:t>
      </w:r>
      <w:r>
        <w:rPr>
          <w:spacing w:val="-10"/>
        </w:rPr>
        <w:t> </w:t>
      </w:r>
      <w:r>
        <w:rPr/>
        <w:t>‘because</w:t>
      </w:r>
      <w:r>
        <w:rPr>
          <w:spacing w:val="-10"/>
        </w:rPr>
        <w:t> </w:t>
      </w:r>
      <w:r>
        <w:rPr/>
        <w:t>we</w:t>
      </w:r>
      <w:r>
        <w:rPr>
          <w:spacing w:val="-10"/>
        </w:rPr>
        <w:t> </w:t>
      </w:r>
      <w:r>
        <w:rPr/>
        <w:t>/</w:t>
      </w:r>
      <w:r>
        <w:rPr>
          <w:spacing w:val="-9"/>
        </w:rPr>
        <w:t> </w:t>
      </w:r>
      <w:r>
        <w:rPr/>
        <w:t>I</w:t>
      </w:r>
      <w:r>
        <w:rPr>
          <w:spacing w:val="-10"/>
        </w:rPr>
        <w:t> </w:t>
      </w:r>
      <w:r>
        <w:rPr/>
        <w:t>had</w:t>
      </w:r>
      <w:r>
        <w:rPr>
          <w:spacing w:val="-9"/>
        </w:rPr>
        <w:t> </w:t>
      </w:r>
      <w:r>
        <w:rPr/>
        <w:t>to’</w:t>
      </w:r>
      <w:r>
        <w:rPr>
          <w:spacing w:val="-9"/>
        </w:rPr>
        <w:t> </w:t>
      </w:r>
      <w:r>
        <w:rPr/>
        <w:t>(28</w:t>
      </w:r>
      <w:r>
        <w:rPr>
          <w:spacing w:val="-10"/>
        </w:rPr>
        <w:t> </w:t>
      </w:r>
      <w:r>
        <w:rPr/>
        <w:t>per</w:t>
      </w:r>
      <w:r>
        <w:rPr>
          <w:spacing w:val="-10"/>
        </w:rPr>
        <w:t> </w:t>
      </w:r>
      <w:r>
        <w:rPr/>
        <w:t>cent)</w:t>
      </w:r>
      <w:r>
        <w:rPr>
          <w:spacing w:val="-9"/>
        </w:rPr>
        <w:t> </w:t>
      </w:r>
      <w:r>
        <w:rPr/>
        <w:t>and ‘to</w:t>
      </w:r>
      <w:r>
        <w:rPr>
          <w:spacing w:val="-13"/>
        </w:rPr>
        <w:t> </w:t>
      </w:r>
      <w:r>
        <w:rPr/>
        <w:t>avoid</w:t>
      </w:r>
      <w:r>
        <w:rPr>
          <w:spacing w:val="-13"/>
        </w:rPr>
        <w:t> </w:t>
      </w:r>
      <w:r>
        <w:rPr/>
        <w:t>an</w:t>
      </w:r>
      <w:r>
        <w:rPr>
          <w:spacing w:val="-12"/>
        </w:rPr>
        <w:t> </w:t>
      </w:r>
      <w:r>
        <w:rPr/>
        <w:t>employment</w:t>
      </w:r>
      <w:r>
        <w:rPr>
          <w:spacing w:val="-12"/>
        </w:rPr>
        <w:t> </w:t>
      </w:r>
      <w:r>
        <w:rPr/>
        <w:t>tribunal’</w:t>
      </w:r>
      <w:r>
        <w:rPr>
          <w:spacing w:val="-12"/>
        </w:rPr>
        <w:t> </w:t>
      </w:r>
      <w:r>
        <w:rPr/>
        <w:t>(18</w:t>
      </w:r>
      <w:r>
        <w:rPr>
          <w:spacing w:val="-13"/>
        </w:rPr>
        <w:t> </w:t>
      </w:r>
      <w:r>
        <w:rPr/>
        <w:t>per</w:t>
      </w:r>
      <w:r>
        <w:rPr>
          <w:spacing w:val="-13"/>
        </w:rPr>
        <w:t> </w:t>
      </w:r>
      <w:r>
        <w:rPr/>
        <w:t>cent).</w:t>
      </w:r>
      <w:r>
        <w:rPr>
          <w:spacing w:val="-12"/>
        </w:rPr>
        <w:t> </w:t>
      </w:r>
      <w:r>
        <w:rPr/>
        <w:t>These</w:t>
      </w:r>
      <w:r>
        <w:rPr>
          <w:spacing w:val="-13"/>
        </w:rPr>
        <w:t> </w:t>
      </w:r>
      <w:r>
        <w:rPr/>
        <w:t>findings</w:t>
      </w:r>
      <w:r>
        <w:rPr>
          <w:spacing w:val="-13"/>
        </w:rPr>
        <w:t> </w:t>
      </w:r>
      <w:r>
        <w:rPr/>
        <w:t>largely</w:t>
      </w:r>
      <w:r>
        <w:rPr>
          <w:spacing w:val="-12"/>
        </w:rPr>
        <w:t> </w:t>
      </w:r>
      <w:r>
        <w:rPr/>
        <w:t>follow</w:t>
      </w:r>
      <w:r>
        <w:rPr>
          <w:spacing w:val="-12"/>
        </w:rPr>
        <w:t> </w:t>
      </w:r>
      <w:r>
        <w:rPr/>
        <w:t>those witnessed</w:t>
      </w:r>
      <w:r>
        <w:rPr>
          <w:spacing w:val="-8"/>
        </w:rPr>
        <w:t> </w:t>
      </w:r>
      <w:r>
        <w:rPr/>
        <w:t>in</w:t>
      </w:r>
      <w:r>
        <w:rPr>
          <w:spacing w:val="-7"/>
        </w:rPr>
        <w:t> </w:t>
      </w:r>
      <w:r>
        <w:rPr/>
        <w:t>2015,</w:t>
      </w:r>
      <w:r>
        <w:rPr>
          <w:spacing w:val="-9"/>
        </w:rPr>
        <w:t> </w:t>
      </w:r>
      <w:r>
        <w:rPr/>
        <w:t>although</w:t>
      </w:r>
      <w:r>
        <w:rPr>
          <w:spacing w:val="-7"/>
        </w:rPr>
        <w:t> </w:t>
      </w:r>
      <w:r>
        <w:rPr/>
        <w:t>reaching</w:t>
      </w:r>
      <w:r>
        <w:rPr>
          <w:spacing w:val="-8"/>
        </w:rPr>
        <w:t> </w:t>
      </w:r>
      <w:r>
        <w:rPr/>
        <w:t>a</w:t>
      </w:r>
      <w:r>
        <w:rPr>
          <w:spacing w:val="-8"/>
        </w:rPr>
        <w:t> </w:t>
      </w:r>
      <w:r>
        <w:rPr/>
        <w:t>resolution</w:t>
      </w:r>
      <w:r>
        <w:rPr>
          <w:spacing w:val="-7"/>
        </w:rPr>
        <w:t> </w:t>
      </w:r>
      <w:r>
        <w:rPr/>
        <w:t>is</w:t>
      </w:r>
      <w:r>
        <w:rPr>
          <w:spacing w:val="-8"/>
        </w:rPr>
        <w:t> </w:t>
      </w:r>
      <w:r>
        <w:rPr/>
        <w:t>now</w:t>
      </w:r>
      <w:r>
        <w:rPr>
          <w:spacing w:val="-8"/>
        </w:rPr>
        <w:t> </w:t>
      </w:r>
      <w:r>
        <w:rPr/>
        <w:t>the</w:t>
      </w:r>
      <w:r>
        <w:rPr>
          <w:spacing w:val="-8"/>
        </w:rPr>
        <w:t> </w:t>
      </w:r>
      <w:r>
        <w:rPr/>
        <w:t>most</w:t>
      </w:r>
      <w:r>
        <w:rPr>
          <w:spacing w:val="-8"/>
        </w:rPr>
        <w:t> </w:t>
      </w:r>
      <w:r>
        <w:rPr/>
        <w:t>commonly</w:t>
      </w:r>
      <w:r>
        <w:rPr>
          <w:spacing w:val="-8"/>
        </w:rPr>
        <w:t> </w:t>
      </w:r>
      <w:r>
        <w:rPr/>
        <w:t>cited reason</w:t>
      </w:r>
      <w:r>
        <w:rPr>
          <w:spacing w:val="48"/>
        </w:rPr>
        <w:t> </w:t>
      </w:r>
      <w:r>
        <w:rPr/>
        <w:t>rather</w:t>
      </w:r>
      <w:r>
        <w:rPr>
          <w:spacing w:val="50"/>
        </w:rPr>
        <w:t> </w:t>
      </w:r>
      <w:r>
        <w:rPr/>
        <w:t>than</w:t>
      </w:r>
      <w:r>
        <w:rPr>
          <w:spacing w:val="51"/>
        </w:rPr>
        <w:t> </w:t>
      </w:r>
      <w:r>
        <w:rPr/>
        <w:t>‘because</w:t>
      </w:r>
      <w:r>
        <w:rPr>
          <w:spacing w:val="50"/>
        </w:rPr>
        <w:t> </w:t>
      </w:r>
      <w:r>
        <w:rPr/>
        <w:t>we</w:t>
      </w:r>
      <w:r>
        <w:rPr>
          <w:spacing w:val="49"/>
        </w:rPr>
        <w:t> </w:t>
      </w:r>
      <w:r>
        <w:rPr/>
        <w:t>/</w:t>
      </w:r>
      <w:r>
        <w:rPr>
          <w:spacing w:val="50"/>
        </w:rPr>
        <w:t> </w:t>
      </w:r>
      <w:r>
        <w:rPr/>
        <w:t>I</w:t>
      </w:r>
      <w:r>
        <w:rPr>
          <w:spacing w:val="50"/>
        </w:rPr>
        <w:t> </w:t>
      </w:r>
      <w:r>
        <w:rPr/>
        <w:t>had</w:t>
      </w:r>
      <w:r>
        <w:rPr>
          <w:spacing w:val="51"/>
        </w:rPr>
        <w:t> </w:t>
      </w:r>
      <w:r>
        <w:rPr/>
        <w:t>to’.</w:t>
      </w:r>
      <w:r>
        <w:rPr>
          <w:spacing w:val="49"/>
        </w:rPr>
        <w:t> </w:t>
      </w:r>
      <w:r>
        <w:rPr/>
        <w:t>On</w:t>
      </w:r>
      <w:r>
        <w:rPr>
          <w:spacing w:val="51"/>
        </w:rPr>
        <w:t> </w:t>
      </w:r>
      <w:r>
        <w:rPr/>
        <w:t>the</w:t>
      </w:r>
      <w:r>
        <w:rPr>
          <w:spacing w:val="50"/>
        </w:rPr>
        <w:t> </w:t>
      </w:r>
      <w:r>
        <w:rPr/>
        <w:t>employer-side,</w:t>
      </w:r>
      <w:r>
        <w:rPr>
          <w:spacing w:val="51"/>
        </w:rPr>
        <w:t> </w:t>
      </w:r>
      <w:r>
        <w:rPr/>
        <w:t>the</w:t>
      </w:r>
      <w:r>
        <w:rPr>
          <w:spacing w:val="50"/>
        </w:rPr>
        <w:t> </w:t>
      </w:r>
      <w:r>
        <w:rPr>
          <w:spacing w:val="-4"/>
        </w:rPr>
        <w:t>most</w:t>
      </w:r>
    </w:p>
    <w:p>
      <w:pPr>
        <w:spacing w:after="0" w:line="256" w:lineRule="auto"/>
        <w:jc w:val="both"/>
        <w:sectPr>
          <w:pgSz w:w="11910" w:h="16840"/>
          <w:pgMar w:header="0" w:footer="996" w:top="1360" w:bottom="1180" w:left="460" w:right="320"/>
        </w:sectPr>
      </w:pPr>
    </w:p>
    <w:p>
      <w:pPr>
        <w:pStyle w:val="BodyText"/>
        <w:spacing w:line="256" w:lineRule="auto" w:before="79"/>
        <w:ind w:left="1337" w:right="1472"/>
        <w:jc w:val="both"/>
      </w:pPr>
      <w:r>
        <w:rPr/>
        <w:t>commonly cited reasons for taking part were ‘to reach a resolution’ (37 per cent) and</w:t>
      </w:r>
      <w:r>
        <w:rPr>
          <w:spacing w:val="-6"/>
        </w:rPr>
        <w:t> </w:t>
      </w:r>
      <w:r>
        <w:rPr/>
        <w:t>‘to</w:t>
      </w:r>
      <w:r>
        <w:rPr>
          <w:spacing w:val="-6"/>
        </w:rPr>
        <w:t> </w:t>
      </w:r>
      <w:r>
        <w:rPr/>
        <w:t>avoid</w:t>
      </w:r>
      <w:r>
        <w:rPr>
          <w:spacing w:val="-6"/>
        </w:rPr>
        <w:t> </w:t>
      </w:r>
      <w:r>
        <w:rPr/>
        <w:t>an</w:t>
      </w:r>
      <w:r>
        <w:rPr>
          <w:spacing w:val="-6"/>
        </w:rPr>
        <w:t> </w:t>
      </w:r>
      <w:r>
        <w:rPr/>
        <w:t>employment</w:t>
      </w:r>
      <w:r>
        <w:rPr>
          <w:spacing w:val="-7"/>
        </w:rPr>
        <w:t> </w:t>
      </w:r>
      <w:r>
        <w:rPr/>
        <w:t>tribunal’</w:t>
      </w:r>
      <w:r>
        <w:rPr>
          <w:spacing w:val="-5"/>
        </w:rPr>
        <w:t> </w:t>
      </w:r>
      <w:r>
        <w:rPr/>
        <w:t>(18</w:t>
      </w:r>
      <w:r>
        <w:rPr>
          <w:spacing w:val="-6"/>
        </w:rPr>
        <w:t> </w:t>
      </w:r>
      <w:r>
        <w:rPr/>
        <w:t>per</w:t>
      </w:r>
      <w:r>
        <w:rPr>
          <w:spacing w:val="-7"/>
        </w:rPr>
        <w:t> </w:t>
      </w:r>
      <w:r>
        <w:rPr/>
        <w:t>cent),</w:t>
      </w:r>
      <w:r>
        <w:rPr>
          <w:spacing w:val="-6"/>
        </w:rPr>
        <w:t> </w:t>
      </w:r>
      <w:r>
        <w:rPr/>
        <w:t>with</w:t>
      </w:r>
      <w:r>
        <w:rPr>
          <w:spacing w:val="-8"/>
        </w:rPr>
        <w:t> </w:t>
      </w:r>
      <w:r>
        <w:rPr/>
        <w:t>a</w:t>
      </w:r>
      <w:r>
        <w:rPr>
          <w:spacing w:val="-6"/>
        </w:rPr>
        <w:t> </w:t>
      </w:r>
      <w:r>
        <w:rPr/>
        <w:t>range</w:t>
      </w:r>
      <w:r>
        <w:rPr>
          <w:spacing w:val="-6"/>
        </w:rPr>
        <w:t> </w:t>
      </w:r>
      <w:r>
        <w:rPr/>
        <w:t>of</w:t>
      </w:r>
      <w:r>
        <w:rPr>
          <w:spacing w:val="-7"/>
        </w:rPr>
        <w:t> </w:t>
      </w:r>
      <w:r>
        <w:rPr/>
        <w:t>other</w:t>
      </w:r>
      <w:r>
        <w:rPr>
          <w:spacing w:val="-6"/>
        </w:rPr>
        <w:t> </w:t>
      </w:r>
      <w:r>
        <w:rPr/>
        <w:t>reasons given</w:t>
      </w:r>
      <w:r>
        <w:rPr>
          <w:spacing w:val="-14"/>
        </w:rPr>
        <w:t> </w:t>
      </w:r>
      <w:r>
        <w:rPr/>
        <w:t>beyond</w:t>
      </w:r>
      <w:r>
        <w:rPr>
          <w:spacing w:val="-14"/>
        </w:rPr>
        <w:t> </w:t>
      </w:r>
      <w:r>
        <w:rPr/>
        <w:t>these.</w:t>
      </w:r>
      <w:r>
        <w:rPr>
          <w:spacing w:val="-15"/>
        </w:rPr>
        <w:t> </w:t>
      </w:r>
      <w:r>
        <w:rPr/>
        <w:t>In</w:t>
      </w:r>
      <w:r>
        <w:rPr>
          <w:spacing w:val="-15"/>
        </w:rPr>
        <w:t> </w:t>
      </w:r>
      <w:r>
        <w:rPr/>
        <w:t>terms</w:t>
      </w:r>
      <w:r>
        <w:rPr>
          <w:spacing w:val="-14"/>
        </w:rPr>
        <w:t> </w:t>
      </w:r>
      <w:r>
        <w:rPr/>
        <w:t>of</w:t>
      </w:r>
      <w:r>
        <w:rPr>
          <w:spacing w:val="-14"/>
        </w:rPr>
        <w:t> </w:t>
      </w:r>
      <w:r>
        <w:rPr/>
        <w:t>why</w:t>
      </w:r>
      <w:r>
        <w:rPr>
          <w:spacing w:val="-15"/>
        </w:rPr>
        <w:t> </w:t>
      </w:r>
      <w:r>
        <w:rPr/>
        <w:t>Early</w:t>
      </w:r>
      <w:r>
        <w:rPr>
          <w:spacing w:val="-15"/>
        </w:rPr>
        <w:t> </w:t>
      </w:r>
      <w:r>
        <w:rPr/>
        <w:t>Conciliation</w:t>
      </w:r>
      <w:r>
        <w:rPr>
          <w:spacing w:val="-14"/>
        </w:rPr>
        <w:t> </w:t>
      </w:r>
      <w:r>
        <w:rPr/>
        <w:t>was</w:t>
      </w:r>
      <w:r>
        <w:rPr>
          <w:spacing w:val="-14"/>
        </w:rPr>
        <w:t> </w:t>
      </w:r>
      <w:r>
        <w:rPr>
          <w:i/>
        </w:rPr>
        <w:t>not</w:t>
      </w:r>
      <w:r>
        <w:rPr>
          <w:i/>
          <w:spacing w:val="-14"/>
        </w:rPr>
        <w:t> </w:t>
      </w:r>
      <w:r>
        <w:rPr/>
        <w:t>accepted,</w:t>
      </w:r>
      <w:r>
        <w:rPr>
          <w:spacing w:val="-15"/>
        </w:rPr>
        <w:t> </w:t>
      </w:r>
      <w:r>
        <w:rPr/>
        <w:t>there</w:t>
      </w:r>
      <w:r>
        <w:rPr>
          <w:spacing w:val="-16"/>
        </w:rPr>
        <w:t> </w:t>
      </w:r>
      <w:r>
        <w:rPr/>
        <w:t>was no standout reason given by claimant-side participants, while employer-side participants mainly ‘felt there was no case to answer’ (64 per cent).</w:t>
      </w:r>
    </w:p>
    <w:p>
      <w:pPr>
        <w:pStyle w:val="BodyText"/>
        <w:spacing w:before="4"/>
        <w:rPr>
          <w:sz w:val="21"/>
        </w:rPr>
      </w:pPr>
    </w:p>
    <w:p>
      <w:pPr>
        <w:pStyle w:val="BodyText"/>
        <w:spacing w:line="256" w:lineRule="auto"/>
        <w:ind w:left="1337" w:right="1473"/>
        <w:jc w:val="both"/>
      </w:pPr>
      <w:r>
        <w:rPr/>
        <w:t>Although the data does not show an increase in the proportion of claimants and employers choosing to participate in EC, it is encouraging that awareness of the service</w:t>
      </w:r>
      <w:r>
        <w:rPr>
          <w:spacing w:val="-18"/>
        </w:rPr>
        <w:t> </w:t>
      </w:r>
      <w:r>
        <w:rPr/>
        <w:t>appears</w:t>
      </w:r>
      <w:r>
        <w:rPr>
          <w:spacing w:val="-18"/>
        </w:rPr>
        <w:t> </w:t>
      </w:r>
      <w:r>
        <w:rPr/>
        <w:t>to</w:t>
      </w:r>
      <w:r>
        <w:rPr>
          <w:spacing w:val="-17"/>
        </w:rPr>
        <w:t> </w:t>
      </w:r>
      <w:r>
        <w:rPr/>
        <w:t>have</w:t>
      </w:r>
      <w:r>
        <w:rPr>
          <w:spacing w:val="-18"/>
        </w:rPr>
        <w:t> </w:t>
      </w:r>
      <w:r>
        <w:rPr/>
        <w:t>grown</w:t>
      </w:r>
      <w:r>
        <w:rPr>
          <w:spacing w:val="-17"/>
        </w:rPr>
        <w:t> </w:t>
      </w:r>
      <w:r>
        <w:rPr/>
        <w:t>since</w:t>
      </w:r>
      <w:r>
        <w:rPr>
          <w:spacing w:val="-18"/>
        </w:rPr>
        <w:t> </w:t>
      </w:r>
      <w:r>
        <w:rPr/>
        <w:t>2015.</w:t>
      </w:r>
      <w:r>
        <w:rPr>
          <w:spacing w:val="-18"/>
        </w:rPr>
        <w:t> </w:t>
      </w:r>
      <w:r>
        <w:rPr/>
        <w:t>More</w:t>
      </w:r>
      <w:r>
        <w:rPr>
          <w:spacing w:val="-17"/>
        </w:rPr>
        <w:t> </w:t>
      </w:r>
      <w:r>
        <w:rPr/>
        <w:t>than</w:t>
      </w:r>
      <w:r>
        <w:rPr>
          <w:spacing w:val="-18"/>
        </w:rPr>
        <w:t> </w:t>
      </w:r>
      <w:r>
        <w:rPr/>
        <w:t>half</w:t>
      </w:r>
      <w:r>
        <w:rPr>
          <w:spacing w:val="-17"/>
        </w:rPr>
        <w:t> </w:t>
      </w:r>
      <w:r>
        <w:rPr/>
        <w:t>(52</w:t>
      </w:r>
      <w:r>
        <w:rPr>
          <w:spacing w:val="-18"/>
        </w:rPr>
        <w:t> </w:t>
      </w:r>
      <w:r>
        <w:rPr/>
        <w:t>per</w:t>
      </w:r>
      <w:r>
        <w:rPr>
          <w:spacing w:val="-17"/>
        </w:rPr>
        <w:t> </w:t>
      </w:r>
      <w:r>
        <w:rPr/>
        <w:t>cent)</w:t>
      </w:r>
      <w:r>
        <w:rPr>
          <w:spacing w:val="-18"/>
        </w:rPr>
        <w:t> </w:t>
      </w:r>
      <w:r>
        <w:rPr/>
        <w:t>of</w:t>
      </w:r>
      <w:r>
        <w:rPr>
          <w:spacing w:val="-18"/>
        </w:rPr>
        <w:t> </w:t>
      </w:r>
      <w:r>
        <w:rPr/>
        <w:t>claimant- side participants had heard of Acas Early Conciliation prior to their claim (up ten points). Claimant representatives (83 per cent) were more likely than claimants themselves (38 per cent) to recall awareness but the proportion of claimants who are aware is up slightly from 2015 (34 per cent). Meanwhile, knowledge of EC continues to be very high on the employer-side (88 per cent).</w:t>
      </w:r>
    </w:p>
    <w:p>
      <w:pPr>
        <w:pStyle w:val="BodyText"/>
        <w:spacing w:before="3"/>
        <w:rPr>
          <w:sz w:val="21"/>
        </w:rPr>
      </w:pPr>
    </w:p>
    <w:p>
      <w:pPr>
        <w:pStyle w:val="BodyText"/>
        <w:spacing w:line="256" w:lineRule="auto"/>
        <w:ind w:left="1337" w:right="1472"/>
        <w:jc w:val="both"/>
      </w:pPr>
      <w:r>
        <w:rPr/>
        <w:t>Despite the positive trend above, the survey data does identify some audiences where awareness could improve. For example, younger claimants, employers operating in smaller companies and those claimant representatives dealing with a dispute for the first time all exhibit less awareness of Acas Early Conciliation than others.</w:t>
      </w:r>
      <w:r>
        <w:rPr>
          <w:spacing w:val="-15"/>
        </w:rPr>
        <w:t> </w:t>
      </w:r>
      <w:r>
        <w:rPr/>
        <w:t>These</w:t>
      </w:r>
      <w:r>
        <w:rPr>
          <w:spacing w:val="-14"/>
        </w:rPr>
        <w:t> </w:t>
      </w:r>
      <w:r>
        <w:rPr/>
        <w:t>audiences</w:t>
      </w:r>
      <w:r>
        <w:rPr>
          <w:spacing w:val="-14"/>
        </w:rPr>
        <w:t> </w:t>
      </w:r>
      <w:r>
        <w:rPr/>
        <w:t>may</w:t>
      </w:r>
      <w:r>
        <w:rPr>
          <w:spacing w:val="-14"/>
        </w:rPr>
        <w:t> </w:t>
      </w:r>
      <w:r>
        <w:rPr/>
        <w:t>require</w:t>
      </w:r>
      <w:r>
        <w:rPr>
          <w:spacing w:val="-14"/>
        </w:rPr>
        <w:t> </w:t>
      </w:r>
      <w:r>
        <w:rPr/>
        <w:t>greater</w:t>
      </w:r>
      <w:r>
        <w:rPr>
          <w:spacing w:val="-14"/>
        </w:rPr>
        <w:t> </w:t>
      </w:r>
      <w:r>
        <w:rPr/>
        <w:t>levels</w:t>
      </w:r>
      <w:r>
        <w:rPr>
          <w:spacing w:val="-14"/>
        </w:rPr>
        <w:t> </w:t>
      </w:r>
      <w:r>
        <w:rPr/>
        <w:t>of</w:t>
      </w:r>
      <w:r>
        <w:rPr>
          <w:spacing w:val="-14"/>
        </w:rPr>
        <w:t> </w:t>
      </w:r>
      <w:r>
        <w:rPr/>
        <w:t>support</w:t>
      </w:r>
      <w:r>
        <w:rPr>
          <w:spacing w:val="-14"/>
        </w:rPr>
        <w:t> </w:t>
      </w:r>
      <w:r>
        <w:rPr/>
        <w:t>during</w:t>
      </w:r>
      <w:r>
        <w:rPr>
          <w:spacing w:val="-16"/>
        </w:rPr>
        <w:t> </w:t>
      </w:r>
      <w:r>
        <w:rPr/>
        <w:t>disputes</w:t>
      </w:r>
      <w:r>
        <w:rPr>
          <w:spacing w:val="-14"/>
        </w:rPr>
        <w:t> </w:t>
      </w:r>
      <w:r>
        <w:rPr/>
        <w:t>from Acas in future, as they navigate the conciliation and tribunal process.</w:t>
      </w:r>
    </w:p>
    <w:p>
      <w:pPr>
        <w:pStyle w:val="BodyText"/>
        <w:spacing w:before="4"/>
        <w:rPr>
          <w:sz w:val="21"/>
        </w:rPr>
      </w:pPr>
    </w:p>
    <w:p>
      <w:pPr>
        <w:pStyle w:val="Heading3"/>
        <w:spacing w:before="1"/>
      </w:pPr>
      <w:r>
        <w:rPr/>
        <w:t>The</w:t>
      </w:r>
      <w:r>
        <w:rPr>
          <w:spacing w:val="-5"/>
        </w:rPr>
        <w:t> </w:t>
      </w:r>
      <w:r>
        <w:rPr/>
        <w:t>Early</w:t>
      </w:r>
      <w:r>
        <w:rPr>
          <w:spacing w:val="-6"/>
        </w:rPr>
        <w:t> </w:t>
      </w:r>
      <w:r>
        <w:rPr/>
        <w:t>Conciliation</w:t>
      </w:r>
      <w:r>
        <w:rPr>
          <w:spacing w:val="-4"/>
        </w:rPr>
        <w:t> </w:t>
      </w:r>
      <w:r>
        <w:rPr>
          <w:spacing w:val="-2"/>
        </w:rPr>
        <w:t>experience</w:t>
      </w:r>
    </w:p>
    <w:p>
      <w:pPr>
        <w:pStyle w:val="BodyText"/>
        <w:spacing w:before="9"/>
        <w:rPr>
          <w:b/>
          <w:sz w:val="22"/>
        </w:rPr>
      </w:pPr>
    </w:p>
    <w:p>
      <w:pPr>
        <w:pStyle w:val="BodyText"/>
        <w:spacing w:line="256" w:lineRule="auto"/>
        <w:ind w:left="1337" w:right="1473"/>
        <w:jc w:val="both"/>
      </w:pPr>
      <w:r>
        <w:rPr/>
        <w:t>A large majority of claimant-side (79 per cent) and employer-side (84 per cent) participants that were in contact with a conciliator dealt with only one. The main method of contact for both audiences tended to be telephone but a significant increase in the proportion using email as the main method of contact is observed for</w:t>
      </w:r>
      <w:r>
        <w:rPr>
          <w:spacing w:val="-8"/>
        </w:rPr>
        <w:t> </w:t>
      </w:r>
      <w:r>
        <w:rPr/>
        <w:t>both</w:t>
      </w:r>
      <w:r>
        <w:rPr>
          <w:spacing w:val="-9"/>
        </w:rPr>
        <w:t> </w:t>
      </w:r>
      <w:r>
        <w:rPr/>
        <w:t>sides</w:t>
      </w:r>
      <w:r>
        <w:rPr>
          <w:spacing w:val="-8"/>
        </w:rPr>
        <w:t> </w:t>
      </w:r>
      <w:r>
        <w:rPr/>
        <w:t>–</w:t>
      </w:r>
      <w:r>
        <w:rPr>
          <w:spacing w:val="-9"/>
        </w:rPr>
        <w:t> </w:t>
      </w:r>
      <w:r>
        <w:rPr/>
        <w:t>with</w:t>
      </w:r>
      <w:r>
        <w:rPr>
          <w:spacing w:val="-9"/>
        </w:rPr>
        <w:t> </w:t>
      </w:r>
      <w:r>
        <w:rPr/>
        <w:t>reps</w:t>
      </w:r>
      <w:r>
        <w:rPr>
          <w:spacing w:val="-8"/>
        </w:rPr>
        <w:t> </w:t>
      </w:r>
      <w:r>
        <w:rPr/>
        <w:t>more</w:t>
      </w:r>
      <w:r>
        <w:rPr>
          <w:spacing w:val="-8"/>
        </w:rPr>
        <w:t> </w:t>
      </w:r>
      <w:r>
        <w:rPr/>
        <w:t>likely</w:t>
      </w:r>
      <w:r>
        <w:rPr>
          <w:spacing w:val="-8"/>
        </w:rPr>
        <w:t> </w:t>
      </w:r>
      <w:r>
        <w:rPr/>
        <w:t>than</w:t>
      </w:r>
      <w:r>
        <w:rPr>
          <w:spacing w:val="-7"/>
        </w:rPr>
        <w:t> </w:t>
      </w:r>
      <w:r>
        <w:rPr/>
        <w:t>claimants</w:t>
      </w:r>
      <w:r>
        <w:rPr>
          <w:spacing w:val="-9"/>
        </w:rPr>
        <w:t> </w:t>
      </w:r>
      <w:r>
        <w:rPr/>
        <w:t>or</w:t>
      </w:r>
      <w:r>
        <w:rPr>
          <w:spacing w:val="-8"/>
        </w:rPr>
        <w:t> </w:t>
      </w:r>
      <w:r>
        <w:rPr/>
        <w:t>employers</w:t>
      </w:r>
      <w:r>
        <w:rPr>
          <w:spacing w:val="-8"/>
        </w:rPr>
        <w:t> </w:t>
      </w:r>
      <w:r>
        <w:rPr/>
        <w:t>to</w:t>
      </w:r>
      <w:r>
        <w:rPr>
          <w:spacing w:val="-8"/>
        </w:rPr>
        <w:t> </w:t>
      </w:r>
      <w:r>
        <w:rPr/>
        <w:t>communicate with</w:t>
      </w:r>
      <w:r>
        <w:rPr>
          <w:spacing w:val="-8"/>
        </w:rPr>
        <w:t> </w:t>
      </w:r>
      <w:r>
        <w:rPr/>
        <w:t>the</w:t>
      </w:r>
      <w:r>
        <w:rPr>
          <w:spacing w:val="-9"/>
        </w:rPr>
        <w:t> </w:t>
      </w:r>
      <w:r>
        <w:rPr/>
        <w:t>conciliator</w:t>
      </w:r>
      <w:r>
        <w:rPr>
          <w:spacing w:val="-7"/>
        </w:rPr>
        <w:t> </w:t>
      </w:r>
      <w:r>
        <w:rPr/>
        <w:t>by</w:t>
      </w:r>
      <w:r>
        <w:rPr>
          <w:spacing w:val="-8"/>
        </w:rPr>
        <w:t> </w:t>
      </w:r>
      <w:r>
        <w:rPr/>
        <w:t>email.</w:t>
      </w:r>
      <w:r>
        <w:rPr>
          <w:spacing w:val="-7"/>
        </w:rPr>
        <w:t> </w:t>
      </w:r>
      <w:r>
        <w:rPr/>
        <w:t>The</w:t>
      </w:r>
      <w:r>
        <w:rPr>
          <w:spacing w:val="-9"/>
        </w:rPr>
        <w:t> </w:t>
      </w:r>
      <w:r>
        <w:rPr/>
        <w:t>average</w:t>
      </w:r>
      <w:r>
        <w:rPr>
          <w:spacing w:val="-7"/>
        </w:rPr>
        <w:t> </w:t>
      </w:r>
      <w:r>
        <w:rPr/>
        <w:t>number</w:t>
      </w:r>
      <w:r>
        <w:rPr>
          <w:spacing w:val="-7"/>
        </w:rPr>
        <w:t> </w:t>
      </w:r>
      <w:r>
        <w:rPr/>
        <w:t>of</w:t>
      </w:r>
      <w:r>
        <w:rPr>
          <w:spacing w:val="-7"/>
        </w:rPr>
        <w:t> </w:t>
      </w:r>
      <w:r>
        <w:rPr/>
        <w:t>contacts</w:t>
      </w:r>
      <w:r>
        <w:rPr>
          <w:spacing w:val="-8"/>
        </w:rPr>
        <w:t> </w:t>
      </w:r>
      <w:r>
        <w:rPr/>
        <w:t>with</w:t>
      </w:r>
      <w:r>
        <w:rPr>
          <w:spacing w:val="-8"/>
        </w:rPr>
        <w:t> </w:t>
      </w:r>
      <w:r>
        <w:rPr/>
        <w:t>a</w:t>
      </w:r>
      <w:r>
        <w:rPr>
          <w:spacing w:val="-10"/>
        </w:rPr>
        <w:t> </w:t>
      </w:r>
      <w:r>
        <w:rPr/>
        <w:t>conciliator</w:t>
      </w:r>
      <w:r>
        <w:rPr>
          <w:spacing w:val="-7"/>
        </w:rPr>
        <w:t> </w:t>
      </w:r>
      <w:r>
        <w:rPr/>
        <w:t>for both sides was five. For those where EC took place, 77 per cent of claimant-side and 81 per cent of employer-side EC participants were happy with the level of contact experienced. However, one in five claimant-side and 15 per cent of employer-side participants would have preferred more contact (a significant increase from 2015 on the employer-side when this was 8 per cent).</w:t>
      </w:r>
    </w:p>
    <w:p>
      <w:pPr>
        <w:pStyle w:val="BodyText"/>
        <w:spacing w:before="3"/>
        <w:rPr>
          <w:sz w:val="21"/>
        </w:rPr>
      </w:pPr>
    </w:p>
    <w:p>
      <w:pPr>
        <w:pStyle w:val="BodyText"/>
        <w:spacing w:line="256" w:lineRule="auto"/>
        <w:ind w:left="1337" w:right="1473"/>
        <w:jc w:val="both"/>
      </w:pPr>
      <w:r>
        <w:rPr/>
        <w:t>Notably,</w:t>
      </w:r>
      <w:r>
        <w:rPr>
          <w:spacing w:val="-14"/>
        </w:rPr>
        <w:t> </w:t>
      </w:r>
      <w:r>
        <w:rPr/>
        <w:t>those</w:t>
      </w:r>
      <w:r>
        <w:rPr>
          <w:spacing w:val="-15"/>
        </w:rPr>
        <w:t> </w:t>
      </w:r>
      <w:r>
        <w:rPr/>
        <w:t>in</w:t>
      </w:r>
      <w:r>
        <w:rPr>
          <w:spacing w:val="-14"/>
        </w:rPr>
        <w:t> </w:t>
      </w:r>
      <w:r>
        <w:rPr/>
        <w:t>touch</w:t>
      </w:r>
      <w:r>
        <w:rPr>
          <w:spacing w:val="-16"/>
        </w:rPr>
        <w:t> </w:t>
      </w:r>
      <w:r>
        <w:rPr/>
        <w:t>with</w:t>
      </w:r>
      <w:r>
        <w:rPr>
          <w:spacing w:val="-14"/>
        </w:rPr>
        <w:t> </w:t>
      </w:r>
      <w:r>
        <w:rPr/>
        <w:t>more</w:t>
      </w:r>
      <w:r>
        <w:rPr>
          <w:spacing w:val="-16"/>
        </w:rPr>
        <w:t> </w:t>
      </w:r>
      <w:r>
        <w:rPr/>
        <w:t>than</w:t>
      </w:r>
      <w:r>
        <w:rPr>
          <w:spacing w:val="-15"/>
        </w:rPr>
        <w:t> </w:t>
      </w:r>
      <w:r>
        <w:rPr/>
        <w:t>one</w:t>
      </w:r>
      <w:r>
        <w:rPr>
          <w:spacing w:val="-15"/>
        </w:rPr>
        <w:t> </w:t>
      </w:r>
      <w:r>
        <w:rPr/>
        <w:t>conciliator</w:t>
      </w:r>
      <w:r>
        <w:rPr>
          <w:spacing w:val="-14"/>
        </w:rPr>
        <w:t> </w:t>
      </w:r>
      <w:r>
        <w:rPr/>
        <w:t>tended</w:t>
      </w:r>
      <w:r>
        <w:rPr>
          <w:spacing w:val="-14"/>
        </w:rPr>
        <w:t> </w:t>
      </w:r>
      <w:r>
        <w:rPr/>
        <w:t>to</w:t>
      </w:r>
      <w:r>
        <w:rPr>
          <w:spacing w:val="-16"/>
        </w:rPr>
        <w:t> </w:t>
      </w:r>
      <w:r>
        <w:rPr/>
        <w:t>want</w:t>
      </w:r>
      <w:r>
        <w:rPr>
          <w:spacing w:val="-15"/>
        </w:rPr>
        <w:t> </w:t>
      </w:r>
      <w:r>
        <w:rPr/>
        <w:t>more</w:t>
      </w:r>
      <w:r>
        <w:rPr>
          <w:spacing w:val="-15"/>
        </w:rPr>
        <w:t> </w:t>
      </w:r>
      <w:r>
        <w:rPr/>
        <w:t>contact –</w:t>
      </w:r>
      <w:r>
        <w:rPr>
          <w:spacing w:val="-1"/>
        </w:rPr>
        <w:t> </w:t>
      </w:r>
      <w:r>
        <w:rPr/>
        <w:t>30</w:t>
      </w:r>
      <w:r>
        <w:rPr>
          <w:spacing w:val="-1"/>
        </w:rPr>
        <w:t> </w:t>
      </w:r>
      <w:r>
        <w:rPr/>
        <w:t>per</w:t>
      </w:r>
      <w:r>
        <w:rPr>
          <w:spacing w:val="-1"/>
        </w:rPr>
        <w:t> </w:t>
      </w:r>
      <w:r>
        <w:rPr/>
        <w:t>cent</w:t>
      </w:r>
      <w:r>
        <w:rPr>
          <w:spacing w:val="-1"/>
        </w:rPr>
        <w:t> </w:t>
      </w:r>
      <w:r>
        <w:rPr/>
        <w:t>on both the</w:t>
      </w:r>
      <w:r>
        <w:rPr>
          <w:spacing w:val="-1"/>
        </w:rPr>
        <w:t> </w:t>
      </w:r>
      <w:r>
        <w:rPr/>
        <w:t>claimant</w:t>
      </w:r>
      <w:r>
        <w:rPr>
          <w:spacing w:val="-1"/>
        </w:rPr>
        <w:t> </w:t>
      </w:r>
      <w:r>
        <w:rPr/>
        <w:t>and</w:t>
      </w:r>
      <w:r>
        <w:rPr>
          <w:spacing w:val="-1"/>
        </w:rPr>
        <w:t> </w:t>
      </w:r>
      <w:r>
        <w:rPr/>
        <w:t>employer-side,</w:t>
      </w:r>
      <w:r>
        <w:rPr>
          <w:spacing w:val="-1"/>
        </w:rPr>
        <w:t> </w:t>
      </w:r>
      <w:r>
        <w:rPr/>
        <w:t>with this</w:t>
      </w:r>
      <w:r>
        <w:rPr>
          <w:spacing w:val="-1"/>
        </w:rPr>
        <w:t> </w:t>
      </w:r>
      <w:r>
        <w:rPr/>
        <w:t>group</w:t>
      </w:r>
      <w:r>
        <w:rPr>
          <w:spacing w:val="-1"/>
        </w:rPr>
        <w:t> </w:t>
      </w:r>
      <w:r>
        <w:rPr/>
        <w:t>more</w:t>
      </w:r>
      <w:r>
        <w:rPr>
          <w:spacing w:val="-1"/>
        </w:rPr>
        <w:t> </w:t>
      </w:r>
      <w:r>
        <w:rPr/>
        <w:t>likely than average to say that they had to initiate contact with Acas too. Furthermore, those dealing with multiple conciliators were also less likely to say the conciliator was ‘always’ available when needed. Where users dealt with multiple conciliators, their</w:t>
      </w:r>
      <w:r>
        <w:rPr>
          <w:spacing w:val="-12"/>
        </w:rPr>
        <w:t> </w:t>
      </w:r>
      <w:r>
        <w:rPr/>
        <w:t>case</w:t>
      </w:r>
      <w:r>
        <w:rPr>
          <w:spacing w:val="-12"/>
        </w:rPr>
        <w:t> </w:t>
      </w:r>
      <w:r>
        <w:rPr/>
        <w:t>will</w:t>
      </w:r>
      <w:r>
        <w:rPr>
          <w:spacing w:val="-13"/>
        </w:rPr>
        <w:t> </w:t>
      </w:r>
      <w:r>
        <w:rPr/>
        <w:t>have</w:t>
      </w:r>
      <w:r>
        <w:rPr>
          <w:spacing w:val="-12"/>
        </w:rPr>
        <w:t> </w:t>
      </w:r>
      <w:r>
        <w:rPr/>
        <w:t>been</w:t>
      </w:r>
      <w:r>
        <w:rPr>
          <w:spacing w:val="-11"/>
        </w:rPr>
        <w:t> </w:t>
      </w:r>
      <w:r>
        <w:rPr/>
        <w:t>handled</w:t>
      </w:r>
      <w:r>
        <w:rPr>
          <w:spacing w:val="-11"/>
        </w:rPr>
        <w:t> </w:t>
      </w:r>
      <w:r>
        <w:rPr/>
        <w:t>by</w:t>
      </w:r>
      <w:r>
        <w:rPr>
          <w:spacing w:val="-11"/>
        </w:rPr>
        <w:t> </w:t>
      </w:r>
      <w:r>
        <w:rPr/>
        <w:t>teams</w:t>
      </w:r>
      <w:r>
        <w:rPr>
          <w:spacing w:val="-11"/>
        </w:rPr>
        <w:t> </w:t>
      </w:r>
      <w:r>
        <w:rPr/>
        <w:t>providing</w:t>
      </w:r>
      <w:r>
        <w:rPr>
          <w:spacing w:val="-12"/>
        </w:rPr>
        <w:t> </w:t>
      </w:r>
      <w:r>
        <w:rPr/>
        <w:t>cover</w:t>
      </w:r>
      <w:r>
        <w:rPr>
          <w:spacing w:val="-12"/>
        </w:rPr>
        <w:t> </w:t>
      </w:r>
      <w:r>
        <w:rPr/>
        <w:t>for</w:t>
      </w:r>
      <w:r>
        <w:rPr>
          <w:spacing w:val="-12"/>
        </w:rPr>
        <w:t> </w:t>
      </w:r>
      <w:r>
        <w:rPr/>
        <w:t>conciliator</w:t>
      </w:r>
      <w:r>
        <w:rPr>
          <w:spacing w:val="-12"/>
        </w:rPr>
        <w:t> </w:t>
      </w:r>
      <w:r>
        <w:rPr/>
        <w:t>absence; this survey pre-dates subsequent pilots of team-based service delivery.</w:t>
      </w:r>
    </w:p>
    <w:p>
      <w:pPr>
        <w:pStyle w:val="BodyText"/>
        <w:spacing w:before="3"/>
        <w:rPr>
          <w:sz w:val="21"/>
        </w:rPr>
      </w:pPr>
    </w:p>
    <w:p>
      <w:pPr>
        <w:pStyle w:val="BodyText"/>
        <w:spacing w:line="256" w:lineRule="auto"/>
        <w:ind w:left="1337" w:right="1473"/>
        <w:jc w:val="both"/>
      </w:pPr>
      <w:r>
        <w:rPr/>
        <w:t>EC</w:t>
      </w:r>
      <w:r>
        <w:rPr>
          <w:spacing w:val="-5"/>
        </w:rPr>
        <w:t> </w:t>
      </w:r>
      <w:r>
        <w:rPr/>
        <w:t>participants</w:t>
      </w:r>
      <w:r>
        <w:rPr>
          <w:spacing w:val="-6"/>
        </w:rPr>
        <w:t> </w:t>
      </w:r>
      <w:r>
        <w:rPr/>
        <w:t>in</w:t>
      </w:r>
      <w:r>
        <w:rPr>
          <w:spacing w:val="-5"/>
        </w:rPr>
        <w:t> </w:t>
      </w:r>
      <w:r>
        <w:rPr/>
        <w:t>both</w:t>
      </w:r>
      <w:r>
        <w:rPr>
          <w:spacing w:val="-6"/>
        </w:rPr>
        <w:t> </w:t>
      </w:r>
      <w:r>
        <w:rPr/>
        <w:t>audiences</w:t>
      </w:r>
      <w:r>
        <w:rPr>
          <w:spacing w:val="-6"/>
        </w:rPr>
        <w:t> </w:t>
      </w:r>
      <w:r>
        <w:rPr/>
        <w:t>were</w:t>
      </w:r>
      <w:r>
        <w:rPr>
          <w:spacing w:val="-6"/>
        </w:rPr>
        <w:t> </w:t>
      </w:r>
      <w:r>
        <w:rPr/>
        <w:t>asked</w:t>
      </w:r>
      <w:r>
        <w:rPr>
          <w:spacing w:val="-6"/>
        </w:rPr>
        <w:t> </w:t>
      </w:r>
      <w:r>
        <w:rPr/>
        <w:t>to</w:t>
      </w:r>
      <w:r>
        <w:rPr>
          <w:spacing w:val="-6"/>
        </w:rPr>
        <w:t> </w:t>
      </w:r>
      <w:r>
        <w:rPr/>
        <w:t>rate</w:t>
      </w:r>
      <w:r>
        <w:rPr>
          <w:spacing w:val="-6"/>
        </w:rPr>
        <w:t> </w:t>
      </w:r>
      <w:r>
        <w:rPr/>
        <w:t>the</w:t>
      </w:r>
      <w:r>
        <w:rPr>
          <w:spacing w:val="-7"/>
        </w:rPr>
        <w:t> </w:t>
      </w:r>
      <w:r>
        <w:rPr/>
        <w:t>conciliator</w:t>
      </w:r>
      <w:r>
        <w:rPr>
          <w:spacing w:val="-6"/>
        </w:rPr>
        <w:t> </w:t>
      </w:r>
      <w:r>
        <w:rPr/>
        <w:t>across</w:t>
      </w:r>
      <w:r>
        <w:rPr>
          <w:spacing w:val="-6"/>
        </w:rPr>
        <w:t> </w:t>
      </w:r>
      <w:r>
        <w:rPr/>
        <w:t>a</w:t>
      </w:r>
      <w:r>
        <w:rPr>
          <w:spacing w:val="-6"/>
        </w:rPr>
        <w:t> </w:t>
      </w:r>
      <w:r>
        <w:rPr/>
        <w:t>range of competencies and behaviour traits. On competencies, conciliators were rated highest for ‘explaining the conciliation process’ and lowest for ‘helping you to understand the strengths and weaknesses of this potential claim’. On behaviour traits,</w:t>
      </w:r>
      <w:r>
        <w:rPr>
          <w:spacing w:val="-13"/>
        </w:rPr>
        <w:t> </w:t>
      </w:r>
      <w:r>
        <w:rPr/>
        <w:t>both</w:t>
      </w:r>
      <w:r>
        <w:rPr>
          <w:spacing w:val="-16"/>
        </w:rPr>
        <w:t> </w:t>
      </w:r>
      <w:r>
        <w:rPr/>
        <w:t>audiences</w:t>
      </w:r>
      <w:r>
        <w:rPr>
          <w:spacing w:val="-14"/>
        </w:rPr>
        <w:t> </w:t>
      </w:r>
      <w:r>
        <w:rPr/>
        <w:t>rated</w:t>
      </w:r>
      <w:r>
        <w:rPr>
          <w:spacing w:val="-14"/>
        </w:rPr>
        <w:t> </w:t>
      </w:r>
      <w:r>
        <w:rPr/>
        <w:t>the</w:t>
      </w:r>
      <w:r>
        <w:rPr>
          <w:spacing w:val="-16"/>
        </w:rPr>
        <w:t> </w:t>
      </w:r>
      <w:r>
        <w:rPr/>
        <w:t>conciliator</w:t>
      </w:r>
      <w:r>
        <w:rPr>
          <w:spacing w:val="-14"/>
        </w:rPr>
        <w:t> </w:t>
      </w:r>
      <w:r>
        <w:rPr/>
        <w:t>very</w:t>
      </w:r>
      <w:r>
        <w:rPr>
          <w:spacing w:val="-15"/>
        </w:rPr>
        <w:t> </w:t>
      </w:r>
      <w:r>
        <w:rPr/>
        <w:t>highly</w:t>
      </w:r>
      <w:r>
        <w:rPr>
          <w:spacing w:val="-14"/>
        </w:rPr>
        <w:t> </w:t>
      </w:r>
      <w:r>
        <w:rPr/>
        <w:t>on</w:t>
      </w:r>
      <w:r>
        <w:rPr>
          <w:spacing w:val="-15"/>
        </w:rPr>
        <w:t> </w:t>
      </w:r>
      <w:r>
        <w:rPr/>
        <w:t>‘listening</w:t>
      </w:r>
      <w:r>
        <w:rPr>
          <w:spacing w:val="-14"/>
        </w:rPr>
        <w:t> </w:t>
      </w:r>
      <w:r>
        <w:rPr/>
        <w:t>to</w:t>
      </w:r>
      <w:r>
        <w:rPr>
          <w:spacing w:val="-15"/>
        </w:rPr>
        <w:t> </w:t>
      </w:r>
      <w:r>
        <w:rPr/>
        <w:t>what</w:t>
      </w:r>
      <w:r>
        <w:rPr>
          <w:spacing w:val="-16"/>
        </w:rPr>
        <w:t> </w:t>
      </w:r>
      <w:r>
        <w:rPr/>
        <w:t>you</w:t>
      </w:r>
      <w:r>
        <w:rPr>
          <w:spacing w:val="-15"/>
        </w:rPr>
        <w:t> </w:t>
      </w:r>
      <w:r>
        <w:rPr/>
        <w:t>had to say’ and being ‘trustworthy’ but weakest on ‘helped you decide on whether or not</w:t>
      </w:r>
      <w:r>
        <w:rPr>
          <w:spacing w:val="-7"/>
        </w:rPr>
        <w:t> </w:t>
      </w:r>
      <w:r>
        <w:rPr/>
        <w:t>to</w:t>
      </w:r>
      <w:r>
        <w:rPr>
          <w:spacing w:val="-7"/>
        </w:rPr>
        <w:t> </w:t>
      </w:r>
      <w:r>
        <w:rPr/>
        <w:t>settle</w:t>
      </w:r>
      <w:r>
        <w:rPr>
          <w:spacing w:val="-7"/>
        </w:rPr>
        <w:t> </w:t>
      </w:r>
      <w:r>
        <w:rPr/>
        <w:t>you</w:t>
      </w:r>
      <w:r>
        <w:rPr>
          <w:spacing w:val="-6"/>
        </w:rPr>
        <w:t> </w:t>
      </w:r>
      <w:r>
        <w:rPr/>
        <w:t>case</w:t>
      </w:r>
      <w:r>
        <w:rPr>
          <w:spacing w:val="-7"/>
        </w:rPr>
        <w:t> </w:t>
      </w:r>
      <w:r>
        <w:rPr/>
        <w:t>without</w:t>
      </w:r>
      <w:r>
        <w:rPr>
          <w:spacing w:val="-7"/>
        </w:rPr>
        <w:t> </w:t>
      </w:r>
      <w:r>
        <w:rPr/>
        <w:t>any</w:t>
      </w:r>
      <w:r>
        <w:rPr>
          <w:spacing w:val="-7"/>
        </w:rPr>
        <w:t> </w:t>
      </w:r>
      <w:r>
        <w:rPr/>
        <w:t>undue</w:t>
      </w:r>
      <w:r>
        <w:rPr>
          <w:spacing w:val="-7"/>
        </w:rPr>
        <w:t> </w:t>
      </w:r>
      <w:r>
        <w:rPr/>
        <w:t>influence’</w:t>
      </w:r>
      <w:r>
        <w:rPr>
          <w:spacing w:val="-7"/>
        </w:rPr>
        <w:t> </w:t>
      </w:r>
      <w:r>
        <w:rPr/>
        <w:t>(as</w:t>
      </w:r>
      <w:r>
        <w:rPr>
          <w:spacing w:val="-8"/>
        </w:rPr>
        <w:t> </w:t>
      </w:r>
      <w:r>
        <w:rPr/>
        <w:t>was</w:t>
      </w:r>
      <w:r>
        <w:rPr>
          <w:spacing w:val="-7"/>
        </w:rPr>
        <w:t> </w:t>
      </w:r>
      <w:r>
        <w:rPr/>
        <w:t>also</w:t>
      </w:r>
      <w:r>
        <w:rPr>
          <w:spacing w:val="-7"/>
        </w:rPr>
        <w:t> </w:t>
      </w:r>
      <w:r>
        <w:rPr/>
        <w:t>the</w:t>
      </w:r>
      <w:r>
        <w:rPr>
          <w:spacing w:val="-7"/>
        </w:rPr>
        <w:t> </w:t>
      </w:r>
      <w:r>
        <w:rPr/>
        <w:t>case</w:t>
      </w:r>
      <w:r>
        <w:rPr>
          <w:spacing w:val="-7"/>
        </w:rPr>
        <w:t> </w:t>
      </w:r>
      <w:r>
        <w:rPr/>
        <w:t>in</w:t>
      </w:r>
      <w:r>
        <w:rPr>
          <w:spacing w:val="-6"/>
        </w:rPr>
        <w:t> </w:t>
      </w:r>
      <w:r>
        <w:rPr/>
        <w:t>2015). Overall conciliators were rated positively across a range of attributes for both audiences</w:t>
      </w:r>
      <w:r>
        <w:rPr>
          <w:spacing w:val="-12"/>
        </w:rPr>
        <w:t> </w:t>
      </w:r>
      <w:r>
        <w:rPr/>
        <w:t>but</w:t>
      </w:r>
      <w:r>
        <w:rPr>
          <w:spacing w:val="-11"/>
        </w:rPr>
        <w:t> </w:t>
      </w:r>
      <w:r>
        <w:rPr/>
        <w:t>there</w:t>
      </w:r>
      <w:r>
        <w:rPr>
          <w:spacing w:val="-12"/>
        </w:rPr>
        <w:t> </w:t>
      </w:r>
      <w:r>
        <w:rPr/>
        <w:t>has</w:t>
      </w:r>
      <w:r>
        <w:rPr>
          <w:spacing w:val="-13"/>
        </w:rPr>
        <w:t> </w:t>
      </w:r>
      <w:r>
        <w:rPr/>
        <w:t>been</w:t>
      </w:r>
      <w:r>
        <w:rPr>
          <w:spacing w:val="-11"/>
        </w:rPr>
        <w:t> </w:t>
      </w:r>
      <w:r>
        <w:rPr/>
        <w:t>a</w:t>
      </w:r>
      <w:r>
        <w:rPr>
          <w:spacing w:val="-12"/>
        </w:rPr>
        <w:t> </w:t>
      </w:r>
      <w:r>
        <w:rPr/>
        <w:t>statistically</w:t>
      </w:r>
      <w:r>
        <w:rPr>
          <w:spacing w:val="-11"/>
        </w:rPr>
        <w:t> </w:t>
      </w:r>
      <w:r>
        <w:rPr/>
        <w:t>significant</w:t>
      </w:r>
      <w:r>
        <w:rPr>
          <w:spacing w:val="-11"/>
        </w:rPr>
        <w:t> </w:t>
      </w:r>
      <w:r>
        <w:rPr/>
        <w:t>fall</w:t>
      </w:r>
      <w:r>
        <w:rPr>
          <w:spacing w:val="-11"/>
        </w:rPr>
        <w:t> </w:t>
      </w:r>
      <w:r>
        <w:rPr/>
        <w:t>on</w:t>
      </w:r>
      <w:r>
        <w:rPr>
          <w:spacing w:val="-11"/>
        </w:rPr>
        <w:t> </w:t>
      </w:r>
      <w:r>
        <w:rPr/>
        <w:t>both</w:t>
      </w:r>
      <w:r>
        <w:rPr>
          <w:spacing w:val="-12"/>
        </w:rPr>
        <w:t> </w:t>
      </w:r>
      <w:r>
        <w:rPr/>
        <w:t>the</w:t>
      </w:r>
      <w:r>
        <w:rPr>
          <w:spacing w:val="-12"/>
        </w:rPr>
        <w:t> </w:t>
      </w:r>
      <w:r>
        <w:rPr/>
        <w:t>claimant</w:t>
      </w:r>
      <w:r>
        <w:rPr>
          <w:spacing w:val="-11"/>
        </w:rPr>
        <w:t> </w:t>
      </w:r>
      <w:r>
        <w:rPr/>
        <w:t>and</w:t>
      </w:r>
    </w:p>
    <w:p>
      <w:pPr>
        <w:spacing w:after="0" w:line="256" w:lineRule="auto"/>
        <w:jc w:val="both"/>
        <w:sectPr>
          <w:pgSz w:w="11910" w:h="16840"/>
          <w:pgMar w:header="0" w:footer="996" w:top="1360" w:bottom="1180" w:left="460" w:right="320"/>
        </w:sectPr>
      </w:pPr>
    </w:p>
    <w:p>
      <w:pPr>
        <w:pStyle w:val="BodyText"/>
        <w:spacing w:line="256" w:lineRule="auto" w:before="79"/>
        <w:ind w:left="1337" w:right="1473" w:hanging="1"/>
        <w:jc w:val="both"/>
      </w:pPr>
      <w:r>
        <w:rPr/>
        <w:t>employer-side in the proportion of EC participants rating the conciliator as ‘good’ at</w:t>
      </w:r>
      <w:r>
        <w:rPr>
          <w:spacing w:val="-9"/>
        </w:rPr>
        <w:t> </w:t>
      </w:r>
      <w:r>
        <w:rPr/>
        <w:t>‘outlining</w:t>
      </w:r>
      <w:r>
        <w:rPr>
          <w:spacing w:val="-9"/>
        </w:rPr>
        <w:t> </w:t>
      </w:r>
      <w:r>
        <w:rPr/>
        <w:t>the</w:t>
      </w:r>
      <w:r>
        <w:rPr>
          <w:spacing w:val="-10"/>
        </w:rPr>
        <w:t> </w:t>
      </w:r>
      <w:r>
        <w:rPr/>
        <w:t>employment</w:t>
      </w:r>
      <w:r>
        <w:rPr>
          <w:spacing w:val="-9"/>
        </w:rPr>
        <w:t> </w:t>
      </w:r>
      <w:r>
        <w:rPr/>
        <w:t>law</w:t>
      </w:r>
      <w:r>
        <w:rPr>
          <w:spacing w:val="-9"/>
        </w:rPr>
        <w:t> </w:t>
      </w:r>
      <w:r>
        <w:rPr/>
        <w:t>as</w:t>
      </w:r>
      <w:r>
        <w:rPr>
          <w:spacing w:val="-10"/>
        </w:rPr>
        <w:t> </w:t>
      </w:r>
      <w:r>
        <w:rPr/>
        <w:t>it</w:t>
      </w:r>
      <w:r>
        <w:rPr>
          <w:spacing w:val="-9"/>
        </w:rPr>
        <w:t> </w:t>
      </w:r>
      <w:r>
        <w:rPr/>
        <w:t>applied</w:t>
      </w:r>
      <w:r>
        <w:rPr>
          <w:spacing w:val="-9"/>
        </w:rPr>
        <w:t> </w:t>
      </w:r>
      <w:r>
        <w:rPr/>
        <w:t>to</w:t>
      </w:r>
      <w:r>
        <w:rPr>
          <w:spacing w:val="-9"/>
        </w:rPr>
        <w:t> </w:t>
      </w:r>
      <w:r>
        <w:rPr/>
        <w:t>your</w:t>
      </w:r>
      <w:r>
        <w:rPr>
          <w:spacing w:val="-9"/>
        </w:rPr>
        <w:t> </w:t>
      </w:r>
      <w:r>
        <w:rPr/>
        <w:t>problem’,</w:t>
      </w:r>
      <w:r>
        <w:rPr>
          <w:spacing w:val="-9"/>
        </w:rPr>
        <w:t> </w:t>
      </w:r>
      <w:r>
        <w:rPr/>
        <w:t>which</w:t>
      </w:r>
      <w:r>
        <w:rPr>
          <w:spacing w:val="-10"/>
        </w:rPr>
        <w:t> </w:t>
      </w:r>
      <w:r>
        <w:rPr/>
        <w:t>has</w:t>
      </w:r>
      <w:r>
        <w:rPr>
          <w:spacing w:val="-9"/>
        </w:rPr>
        <w:t> </w:t>
      </w:r>
      <w:r>
        <w:rPr/>
        <w:t>declined by 15 and 16 percentage point decreases respectively. These declining scores suggest that this could be an area for improvement among conciliators moving </w:t>
      </w:r>
      <w:r>
        <w:rPr>
          <w:spacing w:val="-2"/>
        </w:rPr>
        <w:t>forward.</w:t>
      </w:r>
    </w:p>
    <w:p>
      <w:pPr>
        <w:pStyle w:val="BodyText"/>
        <w:spacing w:before="4"/>
        <w:rPr>
          <w:sz w:val="21"/>
        </w:rPr>
      </w:pPr>
    </w:p>
    <w:p>
      <w:pPr>
        <w:pStyle w:val="BodyText"/>
        <w:spacing w:line="256" w:lineRule="auto"/>
        <w:ind w:left="1337" w:right="1473"/>
        <w:jc w:val="both"/>
      </w:pPr>
      <w:r>
        <w:rPr/>
        <w:t>Nevertheless, it should be emphasised that the Early Conciliation experience is overwhelmingly seen as positive one, perhaps emphasised by the fact that 76 per cent of claimant-side and 84 per cent of employer-side participants viewed the conciliator as ‘even-handed’ in the dispute, consistent with 2015.</w:t>
      </w:r>
    </w:p>
    <w:p>
      <w:pPr>
        <w:pStyle w:val="BodyText"/>
        <w:spacing w:before="11"/>
        <w:rPr>
          <w:sz w:val="19"/>
        </w:rPr>
      </w:pPr>
    </w:p>
    <w:p>
      <w:pPr>
        <w:pStyle w:val="Heading3"/>
      </w:pPr>
      <w:r>
        <w:rPr/>
        <w:t>Satisfaction</w:t>
      </w:r>
      <w:r>
        <w:rPr>
          <w:spacing w:val="-7"/>
        </w:rPr>
        <w:t> </w:t>
      </w:r>
      <w:r>
        <w:rPr/>
        <w:t>with</w:t>
      </w:r>
      <w:r>
        <w:rPr>
          <w:spacing w:val="-6"/>
        </w:rPr>
        <w:t> </w:t>
      </w:r>
      <w:r>
        <w:rPr/>
        <w:t>Early</w:t>
      </w:r>
      <w:r>
        <w:rPr>
          <w:spacing w:val="-5"/>
        </w:rPr>
        <w:t> </w:t>
      </w:r>
      <w:r>
        <w:rPr/>
        <w:t>Conciliation</w:t>
      </w:r>
      <w:r>
        <w:rPr>
          <w:spacing w:val="-6"/>
        </w:rPr>
        <w:t> </w:t>
      </w:r>
      <w:r>
        <w:rPr/>
        <w:t>and</w:t>
      </w:r>
      <w:r>
        <w:rPr>
          <w:spacing w:val="-6"/>
        </w:rPr>
        <w:t> </w:t>
      </w:r>
      <w:r>
        <w:rPr/>
        <w:t>drivers</w:t>
      </w:r>
      <w:r>
        <w:rPr>
          <w:spacing w:val="-6"/>
        </w:rPr>
        <w:t> </w:t>
      </w:r>
      <w:r>
        <w:rPr/>
        <w:t>of</w:t>
      </w:r>
      <w:r>
        <w:rPr>
          <w:spacing w:val="-4"/>
        </w:rPr>
        <w:t> </w:t>
      </w:r>
      <w:r>
        <w:rPr>
          <w:spacing w:val="-2"/>
        </w:rPr>
        <w:t>outcome</w:t>
      </w:r>
    </w:p>
    <w:p>
      <w:pPr>
        <w:pStyle w:val="BodyText"/>
        <w:spacing w:before="9"/>
        <w:rPr>
          <w:b/>
          <w:sz w:val="22"/>
        </w:rPr>
      </w:pPr>
    </w:p>
    <w:p>
      <w:pPr>
        <w:pStyle w:val="BodyText"/>
        <w:spacing w:line="256" w:lineRule="auto"/>
        <w:ind w:left="1338" w:right="1472"/>
        <w:jc w:val="both"/>
      </w:pPr>
      <w:r>
        <w:rPr/>
        <w:t>Of those taking part in EC, 28 per cent of claimant-side and 26 per cent of employer-side participants reached a COT3 settlement. This compares to 29 and 35 per cent in 2015 respectively. More than eight in ten of those settling on both sides reported a financial settlement, with a mean settlement value slightly in excess of £4,000 for each audience; around £500 more on average than those recorded in 2015. Ninety-four per cent of survey participants overall (94 per cent of claimant-side participants and 95 per cent of employer-side participants) said that the money had been paid by the time of the survey. Where a settlement had not taken place, financial or otherwise, claimant-side participants reported a lack of</w:t>
      </w:r>
      <w:r>
        <w:rPr>
          <w:spacing w:val="-3"/>
        </w:rPr>
        <w:t> </w:t>
      </w:r>
      <w:r>
        <w:rPr/>
        <w:t>employer</w:t>
      </w:r>
      <w:r>
        <w:rPr>
          <w:spacing w:val="-2"/>
        </w:rPr>
        <w:t> </w:t>
      </w:r>
      <w:r>
        <w:rPr/>
        <w:t>interest</w:t>
      </w:r>
      <w:r>
        <w:rPr>
          <w:spacing w:val="-3"/>
        </w:rPr>
        <w:t> </w:t>
      </w:r>
      <w:r>
        <w:rPr/>
        <w:t>in</w:t>
      </w:r>
      <w:r>
        <w:rPr>
          <w:spacing w:val="-3"/>
        </w:rPr>
        <w:t> </w:t>
      </w:r>
      <w:r>
        <w:rPr/>
        <w:t>discussing</w:t>
      </w:r>
      <w:r>
        <w:rPr>
          <w:spacing w:val="-3"/>
        </w:rPr>
        <w:t> </w:t>
      </w:r>
      <w:r>
        <w:rPr/>
        <w:t>a</w:t>
      </w:r>
      <w:r>
        <w:rPr>
          <w:spacing w:val="-3"/>
        </w:rPr>
        <w:t> </w:t>
      </w:r>
      <w:r>
        <w:rPr/>
        <w:t>settlement</w:t>
      </w:r>
      <w:r>
        <w:rPr>
          <w:spacing w:val="-3"/>
        </w:rPr>
        <w:t> </w:t>
      </w:r>
      <w:r>
        <w:rPr/>
        <w:t>and</w:t>
      </w:r>
      <w:r>
        <w:rPr>
          <w:spacing w:val="-3"/>
        </w:rPr>
        <w:t> </w:t>
      </w:r>
      <w:r>
        <w:rPr/>
        <w:t>employer-side</w:t>
      </w:r>
      <w:r>
        <w:rPr>
          <w:spacing w:val="-4"/>
        </w:rPr>
        <w:t> </w:t>
      </w:r>
      <w:r>
        <w:rPr/>
        <w:t>participants</w:t>
      </w:r>
      <w:r>
        <w:rPr>
          <w:spacing w:val="-3"/>
        </w:rPr>
        <w:t> </w:t>
      </w:r>
      <w:r>
        <w:rPr/>
        <w:t>felt there was no case to answer. These reasons closely match those given in 2015.</w:t>
      </w:r>
    </w:p>
    <w:p>
      <w:pPr>
        <w:pStyle w:val="BodyText"/>
        <w:spacing w:before="3"/>
        <w:rPr>
          <w:sz w:val="21"/>
        </w:rPr>
      </w:pPr>
    </w:p>
    <w:p>
      <w:pPr>
        <w:pStyle w:val="BodyText"/>
        <w:spacing w:line="256" w:lineRule="auto"/>
        <w:ind w:left="1338" w:right="1472"/>
        <w:jc w:val="both"/>
      </w:pPr>
      <w:r>
        <w:rPr/>
        <w:t>Overall satisfaction with the service provided by Acas among EC participants continues to be very high. Eighty-two per cent of claimant-side participants were satisfied, as were 80 per cent of employer-side participants. These satisfaction levels are virtually the same as those achieved in 2015 on the claimant-side (79 per cent) but are significantly lower for the employer side (86 per cent). These trends</w:t>
      </w:r>
      <w:r>
        <w:rPr>
          <w:spacing w:val="-9"/>
        </w:rPr>
        <w:t> </w:t>
      </w:r>
      <w:r>
        <w:rPr/>
        <w:t>are</w:t>
      </w:r>
      <w:r>
        <w:rPr>
          <w:spacing w:val="-10"/>
        </w:rPr>
        <w:t> </w:t>
      </w:r>
      <w:r>
        <w:rPr/>
        <w:t>likely</w:t>
      </w:r>
      <w:r>
        <w:rPr>
          <w:spacing w:val="-9"/>
        </w:rPr>
        <w:t> </w:t>
      </w:r>
      <w:r>
        <w:rPr/>
        <w:t>linked</w:t>
      </w:r>
      <w:r>
        <w:rPr>
          <w:spacing w:val="-9"/>
        </w:rPr>
        <w:t> </w:t>
      </w:r>
      <w:r>
        <w:rPr/>
        <w:t>to</w:t>
      </w:r>
      <w:r>
        <w:rPr>
          <w:spacing w:val="-9"/>
        </w:rPr>
        <w:t> </w:t>
      </w:r>
      <w:r>
        <w:rPr/>
        <w:t>similar</w:t>
      </w:r>
      <w:r>
        <w:rPr>
          <w:spacing w:val="-9"/>
        </w:rPr>
        <w:t> </w:t>
      </w:r>
      <w:r>
        <w:rPr/>
        <w:t>trends</w:t>
      </w:r>
      <w:r>
        <w:rPr>
          <w:spacing w:val="-9"/>
        </w:rPr>
        <w:t> </w:t>
      </w:r>
      <w:r>
        <w:rPr/>
        <w:t>observed</w:t>
      </w:r>
      <w:r>
        <w:rPr>
          <w:spacing w:val="-9"/>
        </w:rPr>
        <w:t> </w:t>
      </w:r>
      <w:r>
        <w:rPr/>
        <w:t>for</w:t>
      </w:r>
      <w:r>
        <w:rPr>
          <w:spacing w:val="-9"/>
        </w:rPr>
        <w:t> </w:t>
      </w:r>
      <w:r>
        <w:rPr/>
        <w:t>satisfaction</w:t>
      </w:r>
      <w:r>
        <w:rPr>
          <w:spacing w:val="-9"/>
        </w:rPr>
        <w:t> </w:t>
      </w:r>
      <w:r>
        <w:rPr/>
        <w:t>with</w:t>
      </w:r>
      <w:r>
        <w:rPr>
          <w:spacing w:val="-10"/>
        </w:rPr>
        <w:t> </w:t>
      </w:r>
      <w:r>
        <w:rPr/>
        <w:t>the</w:t>
      </w:r>
      <w:r>
        <w:rPr>
          <w:spacing w:val="-10"/>
        </w:rPr>
        <w:t> </w:t>
      </w:r>
      <w:r>
        <w:rPr>
          <w:i/>
        </w:rPr>
        <w:t>outcome</w:t>
      </w:r>
      <w:r>
        <w:rPr>
          <w:i/>
        </w:rPr>
        <w:t> </w:t>
      </w:r>
      <w:r>
        <w:rPr/>
        <w:t>of conciliation itself. Here, 49 per cent of claimant-side participants were satisfied (+1</w:t>
      </w:r>
      <w:r>
        <w:rPr>
          <w:spacing w:val="-3"/>
        </w:rPr>
        <w:t> </w:t>
      </w:r>
      <w:r>
        <w:rPr/>
        <w:t>point</w:t>
      </w:r>
      <w:r>
        <w:rPr>
          <w:spacing w:val="-4"/>
        </w:rPr>
        <w:t> </w:t>
      </w:r>
      <w:r>
        <w:rPr/>
        <w:t>from</w:t>
      </w:r>
      <w:r>
        <w:rPr>
          <w:spacing w:val="-4"/>
        </w:rPr>
        <w:t> </w:t>
      </w:r>
      <w:r>
        <w:rPr/>
        <w:t>2015)</w:t>
      </w:r>
      <w:r>
        <w:rPr>
          <w:spacing w:val="-3"/>
        </w:rPr>
        <w:t> </w:t>
      </w:r>
      <w:r>
        <w:rPr/>
        <w:t>as</w:t>
      </w:r>
      <w:r>
        <w:rPr>
          <w:spacing w:val="-3"/>
        </w:rPr>
        <w:t> </w:t>
      </w:r>
      <w:r>
        <w:rPr/>
        <w:t>were</w:t>
      </w:r>
      <w:r>
        <w:rPr>
          <w:spacing w:val="-4"/>
        </w:rPr>
        <w:t> </w:t>
      </w:r>
      <w:r>
        <w:rPr/>
        <w:t>54</w:t>
      </w:r>
      <w:r>
        <w:rPr>
          <w:spacing w:val="-3"/>
        </w:rPr>
        <w:t> </w:t>
      </w:r>
      <w:r>
        <w:rPr/>
        <w:t>per</w:t>
      </w:r>
      <w:r>
        <w:rPr>
          <w:spacing w:val="-4"/>
        </w:rPr>
        <w:t> </w:t>
      </w:r>
      <w:r>
        <w:rPr/>
        <w:t>cent</w:t>
      </w:r>
      <w:r>
        <w:rPr>
          <w:spacing w:val="-3"/>
        </w:rPr>
        <w:t> </w:t>
      </w:r>
      <w:r>
        <w:rPr/>
        <w:t>on</w:t>
      </w:r>
      <w:r>
        <w:rPr>
          <w:spacing w:val="-4"/>
        </w:rPr>
        <w:t> </w:t>
      </w:r>
      <w:r>
        <w:rPr/>
        <w:t>the</w:t>
      </w:r>
      <w:r>
        <w:rPr>
          <w:spacing w:val="-4"/>
        </w:rPr>
        <w:t> </w:t>
      </w:r>
      <w:r>
        <w:rPr/>
        <w:t>employer-side</w:t>
      </w:r>
      <w:r>
        <w:rPr>
          <w:spacing w:val="-4"/>
        </w:rPr>
        <w:t> </w:t>
      </w:r>
      <w:r>
        <w:rPr/>
        <w:t>(down</w:t>
      </w:r>
      <w:r>
        <w:rPr>
          <w:spacing w:val="-3"/>
        </w:rPr>
        <w:t> </w:t>
      </w:r>
      <w:r>
        <w:rPr/>
        <w:t>11</w:t>
      </w:r>
      <w:r>
        <w:rPr>
          <w:spacing w:val="-3"/>
        </w:rPr>
        <w:t> </w:t>
      </w:r>
      <w:r>
        <w:rPr/>
        <w:t>points). So as satisfaction with the outcome of conciliation falls on the employer-side, so too does satisfaction with the service provided.</w:t>
      </w:r>
    </w:p>
    <w:p>
      <w:pPr>
        <w:pStyle w:val="BodyText"/>
        <w:spacing w:before="4"/>
        <w:rPr>
          <w:sz w:val="21"/>
        </w:rPr>
      </w:pPr>
    </w:p>
    <w:p>
      <w:pPr>
        <w:pStyle w:val="BodyText"/>
        <w:spacing w:line="256" w:lineRule="auto"/>
        <w:ind w:left="1338" w:right="1471"/>
        <w:jc w:val="both"/>
      </w:pPr>
      <w:r>
        <w:rPr/>
        <w:t>The</w:t>
      </w:r>
      <w:r>
        <w:rPr>
          <w:spacing w:val="-12"/>
        </w:rPr>
        <w:t> </w:t>
      </w:r>
      <w:r>
        <w:rPr/>
        <w:t>relationship</w:t>
      </w:r>
      <w:r>
        <w:rPr>
          <w:spacing w:val="-11"/>
        </w:rPr>
        <w:t> </w:t>
      </w:r>
      <w:r>
        <w:rPr/>
        <w:t>between</w:t>
      </w:r>
      <w:r>
        <w:rPr>
          <w:spacing w:val="-11"/>
        </w:rPr>
        <w:t> </w:t>
      </w:r>
      <w:r>
        <w:rPr/>
        <w:t>satisfaction</w:t>
      </w:r>
      <w:r>
        <w:rPr>
          <w:spacing w:val="-11"/>
        </w:rPr>
        <w:t> </w:t>
      </w:r>
      <w:r>
        <w:rPr/>
        <w:t>and</w:t>
      </w:r>
      <w:r>
        <w:rPr>
          <w:spacing w:val="-11"/>
        </w:rPr>
        <w:t> </w:t>
      </w:r>
      <w:r>
        <w:rPr/>
        <w:t>outcome</w:t>
      </w:r>
      <w:r>
        <w:rPr>
          <w:spacing w:val="-12"/>
        </w:rPr>
        <w:t> </w:t>
      </w:r>
      <w:r>
        <w:rPr/>
        <w:t>is</w:t>
      </w:r>
      <w:r>
        <w:rPr>
          <w:spacing w:val="-11"/>
        </w:rPr>
        <w:t> </w:t>
      </w:r>
      <w:r>
        <w:rPr/>
        <w:t>complex.</w:t>
      </w:r>
      <w:r>
        <w:rPr>
          <w:spacing w:val="-11"/>
        </w:rPr>
        <w:t> </w:t>
      </w:r>
      <w:r>
        <w:rPr/>
        <w:t>Given</w:t>
      </w:r>
      <w:r>
        <w:rPr>
          <w:spacing w:val="-11"/>
        </w:rPr>
        <w:t> </w:t>
      </w:r>
      <w:r>
        <w:rPr/>
        <w:t>that</w:t>
      </w:r>
      <w:r>
        <w:rPr>
          <w:spacing w:val="-11"/>
        </w:rPr>
        <w:t> </w:t>
      </w:r>
      <w:r>
        <w:rPr/>
        <w:t>we</w:t>
      </w:r>
      <w:r>
        <w:rPr>
          <w:spacing w:val="-12"/>
        </w:rPr>
        <w:t> </w:t>
      </w:r>
      <w:r>
        <w:rPr/>
        <w:t>know there is a close link between whether a case was settled or not and satisfaction scores given (those achieving a settlement give better scores), the fall in the number of COT3 settlements observed for employers could be linked to declining satisfaction scores. However, this is not a one-way relationship. Survey findings show that 88 per cent of claimant-side and 72 per cent of employer-side participants that settled agreed that Acas was an important factor in the decision to resolve the case, ranging from 92 per cent among claimants to 59 per cent of employer representatives. Indeed, regression analysis shows that internal Acas factors,</w:t>
      </w:r>
      <w:r>
        <w:rPr>
          <w:spacing w:val="-18"/>
        </w:rPr>
        <w:t> </w:t>
      </w:r>
      <w:r>
        <w:rPr/>
        <w:t>such</w:t>
      </w:r>
      <w:r>
        <w:rPr>
          <w:spacing w:val="-18"/>
        </w:rPr>
        <w:t> </w:t>
      </w:r>
      <w:r>
        <w:rPr/>
        <w:t>as</w:t>
      </w:r>
      <w:r>
        <w:rPr>
          <w:spacing w:val="-17"/>
        </w:rPr>
        <w:t> </w:t>
      </w:r>
      <w:r>
        <w:rPr/>
        <w:t>the</w:t>
      </w:r>
      <w:r>
        <w:rPr>
          <w:spacing w:val="-18"/>
        </w:rPr>
        <w:t> </w:t>
      </w:r>
      <w:r>
        <w:rPr/>
        <w:t>quality</w:t>
      </w:r>
      <w:r>
        <w:rPr>
          <w:spacing w:val="-17"/>
        </w:rPr>
        <w:t> </w:t>
      </w:r>
      <w:r>
        <w:rPr/>
        <w:t>of</w:t>
      </w:r>
      <w:r>
        <w:rPr>
          <w:spacing w:val="-17"/>
        </w:rPr>
        <w:t> </w:t>
      </w:r>
      <w:r>
        <w:rPr/>
        <w:t>information</w:t>
      </w:r>
      <w:r>
        <w:rPr>
          <w:spacing w:val="-16"/>
        </w:rPr>
        <w:t> </w:t>
      </w:r>
      <w:r>
        <w:rPr/>
        <w:t>provided</w:t>
      </w:r>
      <w:r>
        <w:rPr>
          <w:spacing w:val="-17"/>
        </w:rPr>
        <w:t> </w:t>
      </w:r>
      <w:r>
        <w:rPr/>
        <w:t>at</w:t>
      </w:r>
      <w:r>
        <w:rPr>
          <w:spacing w:val="-17"/>
        </w:rPr>
        <w:t> </w:t>
      </w:r>
      <w:r>
        <w:rPr/>
        <w:t>the</w:t>
      </w:r>
      <w:r>
        <w:rPr>
          <w:spacing w:val="-18"/>
        </w:rPr>
        <w:t> </w:t>
      </w:r>
      <w:r>
        <w:rPr/>
        <w:t>EC</w:t>
      </w:r>
      <w:r>
        <w:rPr>
          <w:spacing w:val="-17"/>
        </w:rPr>
        <w:t> </w:t>
      </w:r>
      <w:r>
        <w:rPr/>
        <w:t>form</w:t>
      </w:r>
      <w:r>
        <w:rPr>
          <w:spacing w:val="-18"/>
        </w:rPr>
        <w:t> </w:t>
      </w:r>
      <w:r>
        <w:rPr/>
        <w:t>submission</w:t>
      </w:r>
      <w:r>
        <w:rPr>
          <w:spacing w:val="-17"/>
        </w:rPr>
        <w:t> </w:t>
      </w:r>
      <w:r>
        <w:rPr/>
        <w:t>stage or</w:t>
      </w:r>
      <w:r>
        <w:rPr>
          <w:spacing w:val="-18"/>
        </w:rPr>
        <w:t> </w:t>
      </w:r>
      <w:r>
        <w:rPr/>
        <w:t>the</w:t>
      </w:r>
      <w:r>
        <w:rPr>
          <w:spacing w:val="-18"/>
        </w:rPr>
        <w:t> </w:t>
      </w:r>
      <w:r>
        <w:rPr/>
        <w:t>frequency</w:t>
      </w:r>
      <w:r>
        <w:rPr>
          <w:spacing w:val="-17"/>
        </w:rPr>
        <w:t> </w:t>
      </w:r>
      <w:r>
        <w:rPr/>
        <w:t>and</w:t>
      </w:r>
      <w:r>
        <w:rPr>
          <w:spacing w:val="-18"/>
        </w:rPr>
        <w:t> </w:t>
      </w:r>
      <w:r>
        <w:rPr/>
        <w:t>quality</w:t>
      </w:r>
      <w:r>
        <w:rPr>
          <w:spacing w:val="-17"/>
        </w:rPr>
        <w:t> </w:t>
      </w:r>
      <w:r>
        <w:rPr/>
        <w:t>of</w:t>
      </w:r>
      <w:r>
        <w:rPr>
          <w:spacing w:val="-18"/>
        </w:rPr>
        <w:t> </w:t>
      </w:r>
      <w:r>
        <w:rPr/>
        <w:t>contact</w:t>
      </w:r>
      <w:r>
        <w:rPr>
          <w:spacing w:val="-18"/>
        </w:rPr>
        <w:t> </w:t>
      </w:r>
      <w:r>
        <w:rPr/>
        <w:t>with</w:t>
      </w:r>
      <w:r>
        <w:rPr>
          <w:spacing w:val="-17"/>
        </w:rPr>
        <w:t> </w:t>
      </w:r>
      <w:r>
        <w:rPr/>
        <w:t>a</w:t>
      </w:r>
      <w:r>
        <w:rPr>
          <w:spacing w:val="-18"/>
        </w:rPr>
        <w:t> </w:t>
      </w:r>
      <w:r>
        <w:rPr/>
        <w:t>conciliator,</w:t>
      </w:r>
      <w:r>
        <w:rPr>
          <w:spacing w:val="-17"/>
        </w:rPr>
        <w:t> </w:t>
      </w:r>
      <w:r>
        <w:rPr/>
        <w:t>also</w:t>
      </w:r>
      <w:r>
        <w:rPr>
          <w:spacing w:val="-18"/>
        </w:rPr>
        <w:t> </w:t>
      </w:r>
      <w:r>
        <w:rPr/>
        <w:t>impacts</w:t>
      </w:r>
      <w:r>
        <w:rPr>
          <w:spacing w:val="-17"/>
        </w:rPr>
        <w:t> </w:t>
      </w:r>
      <w:r>
        <w:rPr/>
        <w:t>the</w:t>
      </w:r>
      <w:r>
        <w:rPr>
          <w:spacing w:val="-18"/>
        </w:rPr>
        <w:t> </w:t>
      </w:r>
      <w:r>
        <w:rPr/>
        <w:t>likelihood of a settlement taking place. Therefore, Acas is not a passive actor in the relationship</w:t>
      </w:r>
      <w:r>
        <w:rPr>
          <w:spacing w:val="-14"/>
        </w:rPr>
        <w:t> </w:t>
      </w:r>
      <w:r>
        <w:rPr/>
        <w:t>between</w:t>
      </w:r>
      <w:r>
        <w:rPr>
          <w:spacing w:val="-13"/>
        </w:rPr>
        <w:t> </w:t>
      </w:r>
      <w:r>
        <w:rPr/>
        <w:t>satisfaction</w:t>
      </w:r>
      <w:r>
        <w:rPr>
          <w:spacing w:val="-13"/>
        </w:rPr>
        <w:t> </w:t>
      </w:r>
      <w:r>
        <w:rPr/>
        <w:t>with</w:t>
      </w:r>
      <w:r>
        <w:rPr>
          <w:spacing w:val="-13"/>
        </w:rPr>
        <w:t> </w:t>
      </w:r>
      <w:r>
        <w:rPr/>
        <w:t>the</w:t>
      </w:r>
      <w:r>
        <w:rPr>
          <w:spacing w:val="-14"/>
        </w:rPr>
        <w:t> </w:t>
      </w:r>
      <w:r>
        <w:rPr/>
        <w:t>outcome</w:t>
      </w:r>
      <w:r>
        <w:rPr>
          <w:spacing w:val="-14"/>
        </w:rPr>
        <w:t> </w:t>
      </w:r>
      <w:r>
        <w:rPr/>
        <w:t>and</w:t>
      </w:r>
      <w:r>
        <w:rPr>
          <w:spacing w:val="-14"/>
        </w:rPr>
        <w:t> </w:t>
      </w:r>
      <w:r>
        <w:rPr/>
        <w:t>satisfaction</w:t>
      </w:r>
      <w:r>
        <w:rPr>
          <w:spacing w:val="-13"/>
        </w:rPr>
        <w:t> </w:t>
      </w:r>
      <w:r>
        <w:rPr/>
        <w:t>with</w:t>
      </w:r>
      <w:r>
        <w:rPr>
          <w:spacing w:val="-13"/>
        </w:rPr>
        <w:t> </w:t>
      </w:r>
      <w:r>
        <w:rPr/>
        <w:t>the</w:t>
      </w:r>
      <w:r>
        <w:rPr>
          <w:spacing w:val="-14"/>
        </w:rPr>
        <w:t> </w:t>
      </w:r>
      <w:r>
        <w:rPr/>
        <w:t>quality of service as the latter can impact the former. Furthermore, those employer-side participants</w:t>
      </w:r>
      <w:r>
        <w:rPr>
          <w:spacing w:val="-13"/>
        </w:rPr>
        <w:t> </w:t>
      </w:r>
      <w:r>
        <w:rPr/>
        <w:t>that</w:t>
      </w:r>
      <w:r>
        <w:rPr>
          <w:spacing w:val="-14"/>
        </w:rPr>
        <w:t> </w:t>
      </w:r>
      <w:r>
        <w:rPr/>
        <w:t>were</w:t>
      </w:r>
      <w:r>
        <w:rPr>
          <w:spacing w:val="-13"/>
        </w:rPr>
        <w:t> </w:t>
      </w:r>
      <w:r>
        <w:rPr/>
        <w:t>explicitly</w:t>
      </w:r>
      <w:r>
        <w:rPr>
          <w:spacing w:val="-13"/>
        </w:rPr>
        <w:t> </w:t>
      </w:r>
      <w:r>
        <w:rPr/>
        <w:t>dissatisfied</w:t>
      </w:r>
      <w:r>
        <w:rPr>
          <w:spacing w:val="-13"/>
        </w:rPr>
        <w:t> </w:t>
      </w:r>
      <w:r>
        <w:rPr/>
        <w:t>with</w:t>
      </w:r>
      <w:r>
        <w:rPr>
          <w:spacing w:val="-12"/>
        </w:rPr>
        <w:t> </w:t>
      </w:r>
      <w:r>
        <w:rPr/>
        <w:t>the</w:t>
      </w:r>
      <w:r>
        <w:rPr>
          <w:spacing w:val="-14"/>
        </w:rPr>
        <w:t> </w:t>
      </w:r>
      <w:r>
        <w:rPr/>
        <w:t>service</w:t>
      </w:r>
      <w:r>
        <w:rPr>
          <w:spacing w:val="-13"/>
        </w:rPr>
        <w:t> </w:t>
      </w:r>
      <w:r>
        <w:rPr/>
        <w:t>were</w:t>
      </w:r>
      <w:r>
        <w:rPr>
          <w:spacing w:val="-13"/>
        </w:rPr>
        <w:t> </w:t>
      </w:r>
      <w:r>
        <w:rPr/>
        <w:t>most</w:t>
      </w:r>
      <w:r>
        <w:rPr>
          <w:spacing w:val="-12"/>
        </w:rPr>
        <w:t> </w:t>
      </w:r>
      <w:r>
        <w:rPr/>
        <w:t>likely</w:t>
      </w:r>
      <w:r>
        <w:rPr>
          <w:spacing w:val="-13"/>
        </w:rPr>
        <w:t> </w:t>
      </w:r>
      <w:r>
        <w:rPr/>
        <w:t>to</w:t>
      </w:r>
      <w:r>
        <w:rPr>
          <w:spacing w:val="-13"/>
        </w:rPr>
        <w:t> </w:t>
      </w:r>
      <w:r>
        <w:rPr/>
        <w:t>cite poor communication as the reason, suggesting EC outcome alone cannot explain scores</w:t>
      </w:r>
      <w:r>
        <w:rPr>
          <w:spacing w:val="9"/>
        </w:rPr>
        <w:t> </w:t>
      </w:r>
      <w:r>
        <w:rPr/>
        <w:t>for</w:t>
      </w:r>
      <w:r>
        <w:rPr>
          <w:spacing w:val="9"/>
        </w:rPr>
        <w:t> </w:t>
      </w:r>
      <w:r>
        <w:rPr/>
        <w:t>satisfaction</w:t>
      </w:r>
      <w:r>
        <w:rPr>
          <w:spacing w:val="9"/>
        </w:rPr>
        <w:t> </w:t>
      </w:r>
      <w:r>
        <w:rPr/>
        <w:t>with</w:t>
      </w:r>
      <w:r>
        <w:rPr>
          <w:spacing w:val="8"/>
        </w:rPr>
        <w:t> </w:t>
      </w:r>
      <w:r>
        <w:rPr/>
        <w:t>the</w:t>
      </w:r>
      <w:r>
        <w:rPr>
          <w:spacing w:val="9"/>
        </w:rPr>
        <w:t> </w:t>
      </w:r>
      <w:r>
        <w:rPr/>
        <w:t>Acas</w:t>
      </w:r>
      <w:r>
        <w:rPr>
          <w:spacing w:val="9"/>
        </w:rPr>
        <w:t> </w:t>
      </w:r>
      <w:r>
        <w:rPr/>
        <w:t>EC</w:t>
      </w:r>
      <w:r>
        <w:rPr>
          <w:spacing w:val="9"/>
        </w:rPr>
        <w:t> </w:t>
      </w:r>
      <w:r>
        <w:rPr/>
        <w:t>service.</w:t>
      </w:r>
      <w:r>
        <w:rPr>
          <w:spacing w:val="9"/>
        </w:rPr>
        <w:t> </w:t>
      </w:r>
      <w:r>
        <w:rPr/>
        <w:t>Or,</w:t>
      </w:r>
      <w:r>
        <w:rPr>
          <w:spacing w:val="10"/>
        </w:rPr>
        <w:t> </w:t>
      </w:r>
      <w:r>
        <w:rPr/>
        <w:t>at</w:t>
      </w:r>
      <w:r>
        <w:rPr>
          <w:spacing w:val="9"/>
        </w:rPr>
        <w:t> </w:t>
      </w:r>
      <w:r>
        <w:rPr/>
        <w:t>least,</w:t>
      </w:r>
      <w:r>
        <w:rPr>
          <w:spacing w:val="10"/>
        </w:rPr>
        <w:t> </w:t>
      </w:r>
      <w:r>
        <w:rPr/>
        <w:t>to</w:t>
      </w:r>
      <w:r>
        <w:rPr>
          <w:spacing w:val="7"/>
        </w:rPr>
        <w:t> </w:t>
      </w:r>
      <w:r>
        <w:rPr/>
        <w:t>the</w:t>
      </w:r>
      <w:r>
        <w:rPr>
          <w:spacing w:val="9"/>
        </w:rPr>
        <w:t> </w:t>
      </w:r>
      <w:r>
        <w:rPr/>
        <w:t>extent</w:t>
      </w:r>
      <w:r>
        <w:rPr>
          <w:spacing w:val="9"/>
        </w:rPr>
        <w:t> </w:t>
      </w:r>
      <w:r>
        <w:rPr/>
        <w:t>that</w:t>
      </w:r>
      <w:r>
        <w:rPr>
          <w:spacing w:val="9"/>
        </w:rPr>
        <w:t> </w:t>
      </w:r>
      <w:r>
        <w:rPr>
          <w:spacing w:val="-5"/>
        </w:rPr>
        <w:t>it</w:t>
      </w:r>
    </w:p>
    <w:p>
      <w:pPr>
        <w:spacing w:after="0" w:line="256" w:lineRule="auto"/>
        <w:jc w:val="both"/>
        <w:sectPr>
          <w:pgSz w:w="11910" w:h="16840"/>
          <w:pgMar w:header="0" w:footer="996" w:top="1360" w:bottom="1180" w:left="460" w:right="320"/>
        </w:sectPr>
      </w:pPr>
    </w:p>
    <w:p>
      <w:pPr>
        <w:pStyle w:val="BodyText"/>
        <w:spacing w:line="256" w:lineRule="auto" w:before="79"/>
        <w:ind w:left="1337" w:right="1473"/>
        <w:jc w:val="both"/>
      </w:pPr>
      <w:r>
        <w:rPr/>
        <w:t>does,</w:t>
      </w:r>
      <w:r>
        <w:rPr>
          <w:spacing w:val="-9"/>
        </w:rPr>
        <w:t> </w:t>
      </w:r>
      <w:r>
        <w:rPr/>
        <w:t>the</w:t>
      </w:r>
      <w:r>
        <w:rPr>
          <w:spacing w:val="-10"/>
        </w:rPr>
        <w:t> </w:t>
      </w:r>
      <w:r>
        <w:rPr/>
        <w:t>service</w:t>
      </w:r>
      <w:r>
        <w:rPr>
          <w:spacing w:val="-9"/>
        </w:rPr>
        <w:t> </w:t>
      </w:r>
      <w:r>
        <w:rPr/>
        <w:t>provided</w:t>
      </w:r>
      <w:r>
        <w:rPr>
          <w:spacing w:val="-9"/>
        </w:rPr>
        <w:t> </w:t>
      </w:r>
      <w:r>
        <w:rPr/>
        <w:t>by</w:t>
      </w:r>
      <w:r>
        <w:rPr>
          <w:spacing w:val="-9"/>
        </w:rPr>
        <w:t> </w:t>
      </w:r>
      <w:r>
        <w:rPr/>
        <w:t>Acas</w:t>
      </w:r>
      <w:r>
        <w:rPr>
          <w:spacing w:val="-10"/>
        </w:rPr>
        <w:t> </w:t>
      </w:r>
      <w:r>
        <w:rPr/>
        <w:t>plays</w:t>
      </w:r>
      <w:r>
        <w:rPr>
          <w:spacing w:val="-9"/>
        </w:rPr>
        <w:t> </w:t>
      </w:r>
      <w:r>
        <w:rPr/>
        <w:t>an</w:t>
      </w:r>
      <w:r>
        <w:rPr>
          <w:spacing w:val="-9"/>
        </w:rPr>
        <w:t> </w:t>
      </w:r>
      <w:r>
        <w:rPr/>
        <w:t>important</w:t>
      </w:r>
      <w:r>
        <w:rPr>
          <w:spacing w:val="-9"/>
        </w:rPr>
        <w:t> </w:t>
      </w:r>
      <w:r>
        <w:rPr/>
        <w:t>role</w:t>
      </w:r>
      <w:r>
        <w:rPr>
          <w:spacing w:val="-9"/>
        </w:rPr>
        <w:t> </w:t>
      </w:r>
      <w:r>
        <w:rPr/>
        <w:t>in</w:t>
      </w:r>
      <w:r>
        <w:rPr>
          <w:spacing w:val="-9"/>
        </w:rPr>
        <w:t> </w:t>
      </w:r>
      <w:r>
        <w:rPr/>
        <w:t>whether</w:t>
      </w:r>
      <w:r>
        <w:rPr>
          <w:spacing w:val="-11"/>
        </w:rPr>
        <w:t> </w:t>
      </w:r>
      <w:r>
        <w:rPr/>
        <w:t>a</w:t>
      </w:r>
      <w:r>
        <w:rPr>
          <w:spacing w:val="-9"/>
        </w:rPr>
        <w:t> </w:t>
      </w:r>
      <w:r>
        <w:rPr/>
        <w:t>settlement takes place too.</w:t>
      </w:r>
    </w:p>
    <w:p>
      <w:pPr>
        <w:pStyle w:val="BodyText"/>
        <w:spacing w:before="4"/>
        <w:rPr>
          <w:sz w:val="21"/>
        </w:rPr>
      </w:pPr>
    </w:p>
    <w:p>
      <w:pPr>
        <w:pStyle w:val="BodyText"/>
        <w:spacing w:line="256" w:lineRule="auto"/>
        <w:ind w:left="1337" w:right="1473"/>
        <w:jc w:val="both"/>
      </w:pPr>
      <w:r>
        <w:rPr/>
        <w:t>Finally,</w:t>
      </w:r>
      <w:r>
        <w:rPr>
          <w:spacing w:val="-8"/>
        </w:rPr>
        <w:t> </w:t>
      </w:r>
      <w:r>
        <w:rPr/>
        <w:t>all</w:t>
      </w:r>
      <w:r>
        <w:rPr>
          <w:spacing w:val="-9"/>
        </w:rPr>
        <w:t> </w:t>
      </w:r>
      <w:r>
        <w:rPr/>
        <w:t>survey</w:t>
      </w:r>
      <w:r>
        <w:rPr>
          <w:spacing w:val="-9"/>
        </w:rPr>
        <w:t> </w:t>
      </w:r>
      <w:r>
        <w:rPr/>
        <w:t>participants</w:t>
      </w:r>
      <w:r>
        <w:rPr>
          <w:spacing w:val="-9"/>
        </w:rPr>
        <w:t> </w:t>
      </w:r>
      <w:r>
        <w:rPr/>
        <w:t>were</w:t>
      </w:r>
      <w:r>
        <w:rPr>
          <w:spacing w:val="-10"/>
        </w:rPr>
        <w:t> </w:t>
      </w:r>
      <w:r>
        <w:rPr/>
        <w:t>asked</w:t>
      </w:r>
      <w:r>
        <w:rPr>
          <w:spacing w:val="-8"/>
        </w:rPr>
        <w:t> </w:t>
      </w:r>
      <w:r>
        <w:rPr/>
        <w:t>if</w:t>
      </w:r>
      <w:r>
        <w:rPr>
          <w:spacing w:val="-9"/>
        </w:rPr>
        <w:t> </w:t>
      </w:r>
      <w:r>
        <w:rPr/>
        <w:t>they</w:t>
      </w:r>
      <w:r>
        <w:rPr>
          <w:spacing w:val="-9"/>
        </w:rPr>
        <w:t> </w:t>
      </w:r>
      <w:r>
        <w:rPr/>
        <w:t>would</w:t>
      </w:r>
      <w:r>
        <w:rPr>
          <w:spacing w:val="-8"/>
        </w:rPr>
        <w:t> </w:t>
      </w:r>
      <w:r>
        <w:rPr/>
        <w:t>make</w:t>
      </w:r>
      <w:r>
        <w:rPr>
          <w:spacing w:val="-9"/>
        </w:rPr>
        <w:t> </w:t>
      </w:r>
      <w:r>
        <w:rPr/>
        <w:t>use</w:t>
      </w:r>
      <w:r>
        <w:rPr>
          <w:spacing w:val="-9"/>
        </w:rPr>
        <w:t> </w:t>
      </w:r>
      <w:r>
        <w:rPr/>
        <w:t>of</w:t>
      </w:r>
      <w:r>
        <w:rPr>
          <w:spacing w:val="-9"/>
        </w:rPr>
        <w:t> </w:t>
      </w:r>
      <w:r>
        <w:rPr/>
        <w:t>the</w:t>
      </w:r>
      <w:r>
        <w:rPr>
          <w:spacing w:val="-9"/>
        </w:rPr>
        <w:t> </w:t>
      </w:r>
      <w:r>
        <w:rPr/>
        <w:t>Acas</w:t>
      </w:r>
      <w:r>
        <w:rPr>
          <w:spacing w:val="-9"/>
        </w:rPr>
        <w:t> </w:t>
      </w:r>
      <w:r>
        <w:rPr/>
        <w:t>Early Conciliation</w:t>
      </w:r>
      <w:r>
        <w:rPr>
          <w:spacing w:val="-9"/>
        </w:rPr>
        <w:t> </w:t>
      </w:r>
      <w:r>
        <w:rPr/>
        <w:t>service</w:t>
      </w:r>
      <w:r>
        <w:rPr>
          <w:spacing w:val="-10"/>
        </w:rPr>
        <w:t> </w:t>
      </w:r>
      <w:r>
        <w:rPr/>
        <w:t>in</w:t>
      </w:r>
      <w:r>
        <w:rPr>
          <w:spacing w:val="-9"/>
        </w:rPr>
        <w:t> </w:t>
      </w:r>
      <w:r>
        <w:rPr/>
        <w:t>the</w:t>
      </w:r>
      <w:r>
        <w:rPr>
          <w:spacing w:val="-10"/>
        </w:rPr>
        <w:t> </w:t>
      </w:r>
      <w:r>
        <w:rPr/>
        <w:t>future</w:t>
      </w:r>
      <w:r>
        <w:rPr>
          <w:spacing w:val="-10"/>
        </w:rPr>
        <w:t> </w:t>
      </w:r>
      <w:r>
        <w:rPr/>
        <w:t>if</w:t>
      </w:r>
      <w:r>
        <w:rPr>
          <w:spacing w:val="-9"/>
        </w:rPr>
        <w:t> </w:t>
      </w:r>
      <w:r>
        <w:rPr/>
        <w:t>they</w:t>
      </w:r>
      <w:r>
        <w:rPr>
          <w:spacing w:val="-10"/>
        </w:rPr>
        <w:t> </w:t>
      </w:r>
      <w:r>
        <w:rPr/>
        <w:t>were</w:t>
      </w:r>
      <w:r>
        <w:rPr>
          <w:spacing w:val="-10"/>
        </w:rPr>
        <w:t> </w:t>
      </w:r>
      <w:r>
        <w:rPr/>
        <w:t>involved</w:t>
      </w:r>
      <w:r>
        <w:rPr>
          <w:spacing w:val="-9"/>
        </w:rPr>
        <w:t> </w:t>
      </w:r>
      <w:r>
        <w:rPr/>
        <w:t>in</w:t>
      </w:r>
      <w:r>
        <w:rPr>
          <w:spacing w:val="-9"/>
        </w:rPr>
        <w:t> </w:t>
      </w:r>
      <w:r>
        <w:rPr/>
        <w:t>a</w:t>
      </w:r>
      <w:r>
        <w:rPr>
          <w:spacing w:val="-10"/>
        </w:rPr>
        <w:t> </w:t>
      </w:r>
      <w:r>
        <w:rPr/>
        <w:t>similar</w:t>
      </w:r>
      <w:r>
        <w:rPr>
          <w:spacing w:val="-10"/>
        </w:rPr>
        <w:t> </w:t>
      </w:r>
      <w:r>
        <w:rPr/>
        <w:t>situation.</w:t>
      </w:r>
      <w:r>
        <w:rPr>
          <w:spacing w:val="-9"/>
        </w:rPr>
        <w:t> </w:t>
      </w:r>
      <w:r>
        <w:rPr/>
        <w:t>Overall 90 per cent of claimants-side and 87 per cent of employer-side participants said they either ‘definitely’ or ‘probably would’. 68 per cent of claimants said that they ‘definitely would’ (an increase from the 62 per cent that said the same in 2015) compared</w:t>
      </w:r>
      <w:r>
        <w:rPr>
          <w:spacing w:val="-7"/>
        </w:rPr>
        <w:t> </w:t>
      </w:r>
      <w:r>
        <w:rPr/>
        <w:t>to</w:t>
      </w:r>
      <w:r>
        <w:rPr>
          <w:spacing w:val="-7"/>
        </w:rPr>
        <w:t> </w:t>
      </w:r>
      <w:r>
        <w:rPr/>
        <w:t>83</w:t>
      </w:r>
      <w:r>
        <w:rPr>
          <w:spacing w:val="-7"/>
        </w:rPr>
        <w:t> </w:t>
      </w:r>
      <w:r>
        <w:rPr/>
        <w:t>per</w:t>
      </w:r>
      <w:r>
        <w:rPr>
          <w:spacing w:val="-7"/>
        </w:rPr>
        <w:t> </w:t>
      </w:r>
      <w:r>
        <w:rPr/>
        <w:t>cent</w:t>
      </w:r>
      <w:r>
        <w:rPr>
          <w:spacing w:val="-7"/>
        </w:rPr>
        <w:t> </w:t>
      </w:r>
      <w:r>
        <w:rPr/>
        <w:t>of</w:t>
      </w:r>
      <w:r>
        <w:rPr>
          <w:spacing w:val="-8"/>
        </w:rPr>
        <w:t> </w:t>
      </w:r>
      <w:r>
        <w:rPr/>
        <w:t>claimant</w:t>
      </w:r>
      <w:r>
        <w:rPr>
          <w:spacing w:val="-7"/>
        </w:rPr>
        <w:t> </w:t>
      </w:r>
      <w:r>
        <w:rPr/>
        <w:t>reps</w:t>
      </w:r>
      <w:r>
        <w:rPr>
          <w:spacing w:val="-7"/>
        </w:rPr>
        <w:t> </w:t>
      </w:r>
      <w:r>
        <w:rPr/>
        <w:t>(up</w:t>
      </w:r>
      <w:r>
        <w:rPr>
          <w:spacing w:val="-8"/>
        </w:rPr>
        <w:t> </w:t>
      </w:r>
      <w:r>
        <w:rPr/>
        <w:t>six</w:t>
      </w:r>
      <w:r>
        <w:rPr>
          <w:spacing w:val="-7"/>
        </w:rPr>
        <w:t> </w:t>
      </w:r>
      <w:r>
        <w:rPr/>
        <w:t>points),</w:t>
      </w:r>
      <w:r>
        <w:rPr>
          <w:spacing w:val="-8"/>
        </w:rPr>
        <w:t> </w:t>
      </w:r>
      <w:r>
        <w:rPr/>
        <w:t>51</w:t>
      </w:r>
      <w:r>
        <w:rPr>
          <w:spacing w:val="-7"/>
        </w:rPr>
        <w:t> </w:t>
      </w:r>
      <w:r>
        <w:rPr/>
        <w:t>per</w:t>
      </w:r>
      <w:r>
        <w:rPr>
          <w:spacing w:val="-7"/>
        </w:rPr>
        <w:t> </w:t>
      </w:r>
      <w:r>
        <w:rPr/>
        <w:t>cent</w:t>
      </w:r>
      <w:r>
        <w:rPr>
          <w:spacing w:val="-8"/>
        </w:rPr>
        <w:t> </w:t>
      </w:r>
      <w:r>
        <w:rPr/>
        <w:t>of</w:t>
      </w:r>
      <w:r>
        <w:rPr>
          <w:spacing w:val="-6"/>
        </w:rPr>
        <w:t> </w:t>
      </w:r>
      <w:r>
        <w:rPr/>
        <w:t>employers (down four points) and 71 per cent of employer reps (up seven points). The main benefits</w:t>
      </w:r>
      <w:r>
        <w:rPr>
          <w:spacing w:val="-10"/>
        </w:rPr>
        <w:t> </w:t>
      </w:r>
      <w:r>
        <w:rPr/>
        <w:t>of</w:t>
      </w:r>
      <w:r>
        <w:rPr>
          <w:spacing w:val="-11"/>
        </w:rPr>
        <w:t> </w:t>
      </w:r>
      <w:r>
        <w:rPr/>
        <w:t>EC</w:t>
      </w:r>
      <w:r>
        <w:rPr>
          <w:spacing w:val="-11"/>
        </w:rPr>
        <w:t> </w:t>
      </w:r>
      <w:r>
        <w:rPr/>
        <w:t>across</w:t>
      </w:r>
      <w:r>
        <w:rPr>
          <w:spacing w:val="-10"/>
        </w:rPr>
        <w:t> </w:t>
      </w:r>
      <w:r>
        <w:rPr/>
        <w:t>both</w:t>
      </w:r>
      <w:r>
        <w:rPr>
          <w:spacing w:val="-10"/>
        </w:rPr>
        <w:t> </w:t>
      </w:r>
      <w:r>
        <w:rPr/>
        <w:t>audiences</w:t>
      </w:r>
      <w:r>
        <w:rPr>
          <w:spacing w:val="-10"/>
        </w:rPr>
        <w:t> </w:t>
      </w:r>
      <w:r>
        <w:rPr/>
        <w:t>were</w:t>
      </w:r>
      <w:r>
        <w:rPr>
          <w:spacing w:val="-11"/>
        </w:rPr>
        <w:t> </w:t>
      </w:r>
      <w:r>
        <w:rPr/>
        <w:t>seen</w:t>
      </w:r>
      <w:r>
        <w:rPr>
          <w:spacing w:val="-10"/>
        </w:rPr>
        <w:t> </w:t>
      </w:r>
      <w:r>
        <w:rPr/>
        <w:t>as</w:t>
      </w:r>
      <w:r>
        <w:rPr>
          <w:spacing w:val="-10"/>
        </w:rPr>
        <w:t> </w:t>
      </w:r>
      <w:r>
        <w:rPr/>
        <w:t>resolving</w:t>
      </w:r>
      <w:r>
        <w:rPr>
          <w:spacing w:val="-10"/>
        </w:rPr>
        <w:t> </w:t>
      </w:r>
      <w:r>
        <w:rPr/>
        <w:t>the</w:t>
      </w:r>
      <w:r>
        <w:rPr>
          <w:spacing w:val="-11"/>
        </w:rPr>
        <w:t> </w:t>
      </w:r>
      <w:r>
        <w:rPr/>
        <w:t>issue</w:t>
      </w:r>
      <w:r>
        <w:rPr>
          <w:spacing w:val="-12"/>
        </w:rPr>
        <w:t> </w:t>
      </w:r>
      <w:r>
        <w:rPr/>
        <w:t>more</w:t>
      </w:r>
      <w:r>
        <w:rPr>
          <w:spacing w:val="-11"/>
        </w:rPr>
        <w:t> </w:t>
      </w:r>
      <w:r>
        <w:rPr/>
        <w:t>quickly and</w:t>
      </w:r>
      <w:r>
        <w:rPr>
          <w:spacing w:val="-3"/>
        </w:rPr>
        <w:t> </w:t>
      </w:r>
      <w:r>
        <w:rPr/>
        <w:t>avoiding</w:t>
      </w:r>
      <w:r>
        <w:rPr>
          <w:spacing w:val="-3"/>
        </w:rPr>
        <w:t> </w:t>
      </w:r>
      <w:r>
        <w:rPr/>
        <w:t>a</w:t>
      </w:r>
      <w:r>
        <w:rPr>
          <w:spacing w:val="-3"/>
        </w:rPr>
        <w:t> </w:t>
      </w:r>
      <w:r>
        <w:rPr/>
        <w:t>tribunal.</w:t>
      </w:r>
      <w:r>
        <w:rPr>
          <w:spacing w:val="-4"/>
        </w:rPr>
        <w:t> </w:t>
      </w:r>
      <w:r>
        <w:rPr/>
        <w:t>Claimant-side</w:t>
      </w:r>
      <w:r>
        <w:rPr>
          <w:spacing w:val="-3"/>
        </w:rPr>
        <w:t> </w:t>
      </w:r>
      <w:r>
        <w:rPr/>
        <w:t>participants</w:t>
      </w:r>
      <w:r>
        <w:rPr>
          <w:spacing w:val="-3"/>
        </w:rPr>
        <w:t> </w:t>
      </w:r>
      <w:r>
        <w:rPr/>
        <w:t>also</w:t>
      </w:r>
      <w:r>
        <w:rPr>
          <w:spacing w:val="-3"/>
        </w:rPr>
        <w:t> </w:t>
      </w:r>
      <w:r>
        <w:rPr/>
        <w:t>mentioned</w:t>
      </w:r>
      <w:r>
        <w:rPr>
          <w:spacing w:val="-3"/>
        </w:rPr>
        <w:t> </w:t>
      </w:r>
      <w:r>
        <w:rPr/>
        <w:t>reducing</w:t>
      </w:r>
      <w:r>
        <w:rPr>
          <w:spacing w:val="-4"/>
        </w:rPr>
        <w:t> </w:t>
      </w:r>
      <w:r>
        <w:rPr/>
        <w:t>stress whilst employer-side participants thought it would be cheaper (primarily due to legal / associated time costs).</w:t>
      </w:r>
    </w:p>
    <w:p>
      <w:pPr>
        <w:pStyle w:val="BodyText"/>
        <w:spacing w:before="3"/>
        <w:rPr>
          <w:sz w:val="21"/>
        </w:rPr>
      </w:pPr>
    </w:p>
    <w:p>
      <w:pPr>
        <w:pStyle w:val="Heading3"/>
      </w:pPr>
      <w:r>
        <w:rPr/>
        <w:t>Employment</w:t>
      </w:r>
      <w:r>
        <w:rPr>
          <w:spacing w:val="-9"/>
        </w:rPr>
        <w:t> </w:t>
      </w:r>
      <w:r>
        <w:rPr/>
        <w:t>Tribunal</w:t>
      </w:r>
      <w:r>
        <w:rPr>
          <w:spacing w:val="-9"/>
        </w:rPr>
        <w:t> </w:t>
      </w:r>
      <w:r>
        <w:rPr/>
        <w:t>claim</w:t>
      </w:r>
      <w:r>
        <w:rPr>
          <w:spacing w:val="-8"/>
        </w:rPr>
        <w:t> </w:t>
      </w:r>
      <w:r>
        <w:rPr/>
        <w:t>decision-</w:t>
      </w:r>
      <w:r>
        <w:rPr>
          <w:spacing w:val="-2"/>
        </w:rPr>
        <w:t>making</w:t>
      </w:r>
    </w:p>
    <w:p>
      <w:pPr>
        <w:pStyle w:val="BodyText"/>
        <w:spacing w:before="9"/>
        <w:rPr>
          <w:b/>
          <w:sz w:val="22"/>
        </w:rPr>
      </w:pPr>
    </w:p>
    <w:p>
      <w:pPr>
        <w:pStyle w:val="BodyText"/>
        <w:spacing w:line="256" w:lineRule="auto" w:before="1"/>
        <w:ind w:left="1336" w:right="1472"/>
        <w:jc w:val="both"/>
      </w:pPr>
      <w:r>
        <w:rPr/>
        <w:t>Sixty-one per cent of claimant-side participants who had not reached a COT3 settlement according to Acas records (regardless of whether EC had taken place) said</w:t>
      </w:r>
      <w:r>
        <w:rPr>
          <w:spacing w:val="-2"/>
        </w:rPr>
        <w:t> </w:t>
      </w:r>
      <w:r>
        <w:rPr/>
        <w:t>that</w:t>
      </w:r>
      <w:r>
        <w:rPr>
          <w:spacing w:val="-3"/>
        </w:rPr>
        <w:t> </w:t>
      </w:r>
      <w:r>
        <w:rPr/>
        <w:t>they</w:t>
      </w:r>
      <w:r>
        <w:rPr>
          <w:spacing w:val="-2"/>
        </w:rPr>
        <w:t> </w:t>
      </w:r>
      <w:r>
        <w:rPr/>
        <w:t>had</w:t>
      </w:r>
      <w:r>
        <w:rPr>
          <w:spacing w:val="-3"/>
        </w:rPr>
        <w:t> </w:t>
      </w:r>
      <w:r>
        <w:rPr/>
        <w:t>either</w:t>
      </w:r>
      <w:r>
        <w:rPr>
          <w:spacing w:val="-2"/>
        </w:rPr>
        <w:t> </w:t>
      </w:r>
      <w:r>
        <w:rPr/>
        <w:t>submitted,</w:t>
      </w:r>
      <w:r>
        <w:rPr>
          <w:spacing w:val="-2"/>
        </w:rPr>
        <w:t> </w:t>
      </w:r>
      <w:r>
        <w:rPr/>
        <w:t>or</w:t>
      </w:r>
      <w:r>
        <w:rPr>
          <w:spacing w:val="-4"/>
        </w:rPr>
        <w:t> </w:t>
      </w:r>
      <w:r>
        <w:rPr/>
        <w:t>planned</w:t>
      </w:r>
      <w:r>
        <w:rPr>
          <w:spacing w:val="-2"/>
        </w:rPr>
        <w:t> </w:t>
      </w:r>
      <w:r>
        <w:rPr/>
        <w:t>to</w:t>
      </w:r>
      <w:r>
        <w:rPr>
          <w:spacing w:val="-4"/>
        </w:rPr>
        <w:t> </w:t>
      </w:r>
      <w:r>
        <w:rPr/>
        <w:t>submit,</w:t>
      </w:r>
      <w:r>
        <w:rPr>
          <w:spacing w:val="-2"/>
        </w:rPr>
        <w:t> </w:t>
      </w:r>
      <w:r>
        <w:rPr/>
        <w:t>an</w:t>
      </w:r>
      <w:r>
        <w:rPr>
          <w:spacing w:val="-3"/>
        </w:rPr>
        <w:t> </w:t>
      </w:r>
      <w:r>
        <w:rPr/>
        <w:t>ET</w:t>
      </w:r>
      <w:r>
        <w:rPr>
          <w:spacing w:val="-3"/>
        </w:rPr>
        <w:t> </w:t>
      </w:r>
      <w:r>
        <w:rPr/>
        <w:t>claim.</w:t>
      </w:r>
      <w:r>
        <w:rPr>
          <w:spacing w:val="-2"/>
        </w:rPr>
        <w:t> </w:t>
      </w:r>
      <w:r>
        <w:rPr/>
        <w:t>This</w:t>
      </w:r>
      <w:r>
        <w:rPr>
          <w:spacing w:val="-2"/>
        </w:rPr>
        <w:t> </w:t>
      </w:r>
      <w:r>
        <w:rPr/>
        <w:t>figure has increased sharply from 46 per cent in 2015. Of those who had not reached a COT3</w:t>
      </w:r>
      <w:r>
        <w:rPr>
          <w:spacing w:val="-2"/>
        </w:rPr>
        <w:t> </w:t>
      </w:r>
      <w:r>
        <w:rPr/>
        <w:t>settlement,</w:t>
      </w:r>
      <w:r>
        <w:rPr>
          <w:spacing w:val="-3"/>
        </w:rPr>
        <w:t> </w:t>
      </w:r>
      <w:r>
        <w:rPr/>
        <w:t>nor</w:t>
      </w:r>
      <w:r>
        <w:rPr>
          <w:spacing w:val="-2"/>
        </w:rPr>
        <w:t> </w:t>
      </w:r>
      <w:r>
        <w:rPr/>
        <w:t>submitted</w:t>
      </w:r>
      <w:r>
        <w:rPr>
          <w:spacing w:val="-2"/>
        </w:rPr>
        <w:t> </w:t>
      </w:r>
      <w:r>
        <w:rPr/>
        <w:t>an</w:t>
      </w:r>
      <w:r>
        <w:rPr>
          <w:spacing w:val="-3"/>
        </w:rPr>
        <w:t> </w:t>
      </w:r>
      <w:r>
        <w:rPr/>
        <w:t>ET</w:t>
      </w:r>
      <w:r>
        <w:rPr>
          <w:spacing w:val="-2"/>
        </w:rPr>
        <w:t> </w:t>
      </w:r>
      <w:r>
        <w:rPr/>
        <w:t>claim,</w:t>
      </w:r>
      <w:r>
        <w:rPr>
          <w:spacing w:val="-2"/>
        </w:rPr>
        <w:t> </w:t>
      </w:r>
      <w:r>
        <w:rPr/>
        <w:t>78</w:t>
      </w:r>
      <w:r>
        <w:rPr>
          <w:spacing w:val="-2"/>
        </w:rPr>
        <w:t> </w:t>
      </w:r>
      <w:r>
        <w:rPr/>
        <w:t>per</w:t>
      </w:r>
      <w:r>
        <w:rPr>
          <w:spacing w:val="-2"/>
        </w:rPr>
        <w:t> </w:t>
      </w:r>
      <w:r>
        <w:rPr/>
        <w:t>cent</w:t>
      </w:r>
      <w:r>
        <w:rPr>
          <w:spacing w:val="-2"/>
        </w:rPr>
        <w:t> </w:t>
      </w:r>
      <w:r>
        <w:rPr/>
        <w:t>said</w:t>
      </w:r>
      <w:r>
        <w:rPr>
          <w:spacing w:val="-2"/>
        </w:rPr>
        <w:t> </w:t>
      </w:r>
      <w:r>
        <w:rPr/>
        <w:t>that</w:t>
      </w:r>
      <w:r>
        <w:rPr>
          <w:spacing w:val="-2"/>
        </w:rPr>
        <w:t> </w:t>
      </w:r>
      <w:r>
        <w:rPr/>
        <w:t>they</w:t>
      </w:r>
      <w:r>
        <w:rPr>
          <w:spacing w:val="-2"/>
        </w:rPr>
        <w:t> </w:t>
      </w:r>
      <w:r>
        <w:rPr/>
        <w:t>had</w:t>
      </w:r>
      <w:r>
        <w:rPr>
          <w:spacing w:val="-2"/>
        </w:rPr>
        <w:t> </w:t>
      </w:r>
      <w:r>
        <w:rPr/>
        <w:t>made a</w:t>
      </w:r>
      <w:r>
        <w:rPr>
          <w:spacing w:val="-1"/>
        </w:rPr>
        <w:t> </w:t>
      </w:r>
      <w:r>
        <w:rPr/>
        <w:t>final</w:t>
      </w:r>
      <w:r>
        <w:rPr>
          <w:spacing w:val="-2"/>
        </w:rPr>
        <w:t> </w:t>
      </w:r>
      <w:r>
        <w:rPr/>
        <w:t>decision (same</w:t>
      </w:r>
      <w:r>
        <w:rPr>
          <w:spacing w:val="-1"/>
        </w:rPr>
        <w:t> </w:t>
      </w:r>
      <w:r>
        <w:rPr/>
        <w:t>as</w:t>
      </w:r>
      <w:r>
        <w:rPr>
          <w:spacing w:val="-1"/>
        </w:rPr>
        <w:t> </w:t>
      </w:r>
      <w:r>
        <w:rPr/>
        <w:t>2015)</w:t>
      </w:r>
      <w:r>
        <w:rPr>
          <w:spacing w:val="-2"/>
        </w:rPr>
        <w:t> </w:t>
      </w:r>
      <w:r>
        <w:rPr/>
        <w:t>and</w:t>
      </w:r>
      <w:r>
        <w:rPr>
          <w:spacing w:val="-2"/>
        </w:rPr>
        <w:t> </w:t>
      </w:r>
      <w:r>
        <w:rPr/>
        <w:t>81</w:t>
      </w:r>
      <w:r>
        <w:rPr>
          <w:spacing w:val="-2"/>
        </w:rPr>
        <w:t> </w:t>
      </w:r>
      <w:r>
        <w:rPr/>
        <w:t>per</w:t>
      </w:r>
      <w:r>
        <w:rPr>
          <w:spacing w:val="-1"/>
        </w:rPr>
        <w:t> </w:t>
      </w:r>
      <w:r>
        <w:rPr/>
        <w:t>cent</w:t>
      </w:r>
      <w:r>
        <w:rPr>
          <w:spacing w:val="-2"/>
        </w:rPr>
        <w:t> </w:t>
      </w:r>
      <w:r>
        <w:rPr/>
        <w:t>of</w:t>
      </w:r>
      <w:r>
        <w:rPr>
          <w:spacing w:val="-2"/>
        </w:rPr>
        <w:t> </w:t>
      </w:r>
      <w:r>
        <w:rPr/>
        <w:t>this</w:t>
      </w:r>
      <w:r>
        <w:rPr>
          <w:spacing w:val="-1"/>
        </w:rPr>
        <w:t> </w:t>
      </w:r>
      <w:r>
        <w:rPr/>
        <w:t>group</w:t>
      </w:r>
      <w:r>
        <w:rPr>
          <w:spacing w:val="-1"/>
        </w:rPr>
        <w:t> </w:t>
      </w:r>
      <w:r>
        <w:rPr/>
        <w:t>said</w:t>
      </w:r>
      <w:r>
        <w:rPr>
          <w:spacing w:val="-1"/>
        </w:rPr>
        <w:t> </w:t>
      </w:r>
      <w:r>
        <w:rPr/>
        <w:t>that</w:t>
      </w:r>
      <w:r>
        <w:rPr>
          <w:spacing w:val="-2"/>
        </w:rPr>
        <w:t> </w:t>
      </w:r>
      <w:r>
        <w:rPr/>
        <w:t>they</w:t>
      </w:r>
      <w:r>
        <w:rPr>
          <w:spacing w:val="-2"/>
        </w:rPr>
        <w:t> </w:t>
      </w:r>
      <w:r>
        <w:rPr/>
        <w:t>would </w:t>
      </w:r>
      <w:r>
        <w:rPr>
          <w:i/>
        </w:rPr>
        <w:t>not </w:t>
      </w:r>
      <w:r>
        <w:rPr/>
        <w:t>be submitting a claim. Just nine per cent said they would submit an ET claim, and</w:t>
      </w:r>
      <w:r>
        <w:rPr>
          <w:spacing w:val="-9"/>
        </w:rPr>
        <w:t> </w:t>
      </w:r>
      <w:r>
        <w:rPr/>
        <w:t>a</w:t>
      </w:r>
      <w:r>
        <w:rPr>
          <w:spacing w:val="-11"/>
        </w:rPr>
        <w:t> </w:t>
      </w:r>
      <w:r>
        <w:rPr/>
        <w:t>further</w:t>
      </w:r>
      <w:r>
        <w:rPr>
          <w:spacing w:val="-10"/>
        </w:rPr>
        <w:t> </w:t>
      </w:r>
      <w:r>
        <w:rPr/>
        <w:t>one</w:t>
      </w:r>
      <w:r>
        <w:rPr>
          <w:spacing w:val="-10"/>
        </w:rPr>
        <w:t> </w:t>
      </w:r>
      <w:r>
        <w:rPr/>
        <w:t>in</w:t>
      </w:r>
      <w:r>
        <w:rPr>
          <w:spacing w:val="-10"/>
        </w:rPr>
        <w:t> </w:t>
      </w:r>
      <w:r>
        <w:rPr/>
        <w:t>ten</w:t>
      </w:r>
      <w:r>
        <w:rPr>
          <w:spacing w:val="-10"/>
        </w:rPr>
        <w:t> </w:t>
      </w:r>
      <w:r>
        <w:rPr/>
        <w:t>said</w:t>
      </w:r>
      <w:r>
        <w:rPr>
          <w:spacing w:val="-9"/>
        </w:rPr>
        <w:t> </w:t>
      </w:r>
      <w:r>
        <w:rPr/>
        <w:t>it</w:t>
      </w:r>
      <w:r>
        <w:rPr>
          <w:spacing w:val="-9"/>
        </w:rPr>
        <w:t> </w:t>
      </w:r>
      <w:r>
        <w:rPr/>
        <w:t>was</w:t>
      </w:r>
      <w:r>
        <w:rPr>
          <w:spacing w:val="-10"/>
        </w:rPr>
        <w:t> </w:t>
      </w:r>
      <w:r>
        <w:rPr/>
        <w:t>too</w:t>
      </w:r>
      <w:r>
        <w:rPr>
          <w:spacing w:val="-10"/>
        </w:rPr>
        <w:t> </w:t>
      </w:r>
      <w:r>
        <w:rPr/>
        <w:t>late</w:t>
      </w:r>
      <w:r>
        <w:rPr>
          <w:spacing w:val="-10"/>
        </w:rPr>
        <w:t> </w:t>
      </w:r>
      <w:r>
        <w:rPr/>
        <w:t>to</w:t>
      </w:r>
      <w:r>
        <w:rPr>
          <w:spacing w:val="-10"/>
        </w:rPr>
        <w:t> </w:t>
      </w:r>
      <w:r>
        <w:rPr/>
        <w:t>do</w:t>
      </w:r>
      <w:r>
        <w:rPr>
          <w:spacing w:val="-10"/>
        </w:rPr>
        <w:t> </w:t>
      </w:r>
      <w:r>
        <w:rPr/>
        <w:t>so.</w:t>
      </w:r>
      <w:r>
        <w:rPr>
          <w:spacing w:val="-10"/>
        </w:rPr>
        <w:t> </w:t>
      </w:r>
      <w:r>
        <w:rPr/>
        <w:t>Figures</w:t>
      </w:r>
      <w:r>
        <w:rPr>
          <w:spacing w:val="-9"/>
        </w:rPr>
        <w:t> </w:t>
      </w:r>
      <w:r>
        <w:rPr/>
        <w:t>here</w:t>
      </w:r>
      <w:r>
        <w:rPr>
          <w:spacing w:val="-10"/>
        </w:rPr>
        <w:t> </w:t>
      </w:r>
      <w:r>
        <w:rPr/>
        <w:t>align</w:t>
      </w:r>
      <w:r>
        <w:rPr>
          <w:spacing w:val="-10"/>
        </w:rPr>
        <w:t> </w:t>
      </w:r>
      <w:r>
        <w:rPr/>
        <w:t>closely</w:t>
      </w:r>
      <w:r>
        <w:rPr>
          <w:spacing w:val="-9"/>
        </w:rPr>
        <w:t> </w:t>
      </w:r>
      <w:r>
        <w:rPr/>
        <w:t>with </w:t>
      </w:r>
      <w:r>
        <w:rPr>
          <w:spacing w:val="-2"/>
        </w:rPr>
        <w:t>2015.</w:t>
      </w:r>
    </w:p>
    <w:p>
      <w:pPr>
        <w:pStyle w:val="BodyText"/>
        <w:spacing w:before="3"/>
        <w:rPr>
          <w:sz w:val="21"/>
        </w:rPr>
      </w:pPr>
    </w:p>
    <w:p>
      <w:pPr>
        <w:pStyle w:val="BodyText"/>
        <w:spacing w:line="256" w:lineRule="auto"/>
        <w:ind w:left="1336" w:right="1474"/>
        <w:jc w:val="both"/>
      </w:pPr>
      <w:r>
        <w:rPr/>
        <w:t>Aside</w:t>
      </w:r>
      <w:r>
        <w:rPr>
          <w:spacing w:val="-18"/>
        </w:rPr>
        <w:t> </w:t>
      </w:r>
      <w:r>
        <w:rPr/>
        <w:t>from</w:t>
      </w:r>
      <w:r>
        <w:rPr>
          <w:spacing w:val="-18"/>
        </w:rPr>
        <w:t> </w:t>
      </w:r>
      <w:r>
        <w:rPr/>
        <w:t>practical</w:t>
      </w:r>
      <w:r>
        <w:rPr>
          <w:spacing w:val="-17"/>
        </w:rPr>
        <w:t> </w:t>
      </w:r>
      <w:r>
        <w:rPr/>
        <w:t>considerations,</w:t>
      </w:r>
      <w:r>
        <w:rPr>
          <w:spacing w:val="-18"/>
        </w:rPr>
        <w:t> </w:t>
      </w:r>
      <w:r>
        <w:rPr/>
        <w:t>such</w:t>
      </w:r>
      <w:r>
        <w:rPr>
          <w:spacing w:val="-17"/>
        </w:rPr>
        <w:t> </w:t>
      </w:r>
      <w:r>
        <w:rPr/>
        <w:t>as</w:t>
      </w:r>
      <w:r>
        <w:rPr>
          <w:spacing w:val="-18"/>
        </w:rPr>
        <w:t> </w:t>
      </w:r>
      <w:r>
        <w:rPr/>
        <w:t>EC</w:t>
      </w:r>
      <w:r>
        <w:rPr>
          <w:spacing w:val="-18"/>
        </w:rPr>
        <w:t> </w:t>
      </w:r>
      <w:r>
        <w:rPr/>
        <w:t>not</w:t>
      </w:r>
      <w:r>
        <w:rPr>
          <w:spacing w:val="-17"/>
        </w:rPr>
        <w:t> </w:t>
      </w:r>
      <w:r>
        <w:rPr/>
        <w:t>resolving</w:t>
      </w:r>
      <w:r>
        <w:rPr>
          <w:spacing w:val="-16"/>
        </w:rPr>
        <w:t> </w:t>
      </w:r>
      <w:r>
        <w:rPr/>
        <w:t>the</w:t>
      </w:r>
      <w:r>
        <w:rPr>
          <w:spacing w:val="-18"/>
        </w:rPr>
        <w:t> </w:t>
      </w:r>
      <w:r>
        <w:rPr/>
        <w:t>issue</w:t>
      </w:r>
      <w:r>
        <w:rPr>
          <w:spacing w:val="-18"/>
        </w:rPr>
        <w:t> </w:t>
      </w:r>
      <w:r>
        <w:rPr/>
        <w:t>(24</w:t>
      </w:r>
      <w:r>
        <w:rPr>
          <w:spacing w:val="-17"/>
        </w:rPr>
        <w:t> </w:t>
      </w:r>
      <w:r>
        <w:rPr/>
        <w:t>per</w:t>
      </w:r>
      <w:r>
        <w:rPr>
          <w:spacing w:val="-18"/>
        </w:rPr>
        <w:t> </w:t>
      </w:r>
      <w:r>
        <w:rPr/>
        <w:t>cent) or the employer not engaging in EC (20 per cent), the primary reasons given for submitting a claim included wanting to recover money owed (20 per cent) and wanting to hold the employer accountable (16 per cent). Among those submitting an</w:t>
      </w:r>
      <w:r>
        <w:rPr>
          <w:spacing w:val="-2"/>
        </w:rPr>
        <w:t> </w:t>
      </w:r>
      <w:r>
        <w:rPr/>
        <w:t>ET</w:t>
      </w:r>
      <w:r>
        <w:rPr>
          <w:spacing w:val="-2"/>
        </w:rPr>
        <w:t> </w:t>
      </w:r>
      <w:r>
        <w:rPr/>
        <w:t>claim (or</w:t>
      </w:r>
      <w:r>
        <w:rPr>
          <w:spacing w:val="-1"/>
        </w:rPr>
        <w:t> </w:t>
      </w:r>
      <w:r>
        <w:rPr/>
        <w:t>intending</w:t>
      </w:r>
      <w:r>
        <w:rPr>
          <w:spacing w:val="-2"/>
        </w:rPr>
        <w:t> </w:t>
      </w:r>
      <w:r>
        <w:rPr/>
        <w:t>to</w:t>
      </w:r>
      <w:r>
        <w:rPr>
          <w:spacing w:val="-1"/>
        </w:rPr>
        <w:t> </w:t>
      </w:r>
      <w:r>
        <w:rPr/>
        <w:t>do</w:t>
      </w:r>
      <w:r>
        <w:rPr>
          <w:spacing w:val="-2"/>
        </w:rPr>
        <w:t> </w:t>
      </w:r>
      <w:r>
        <w:rPr/>
        <w:t>so),</w:t>
      </w:r>
      <w:r>
        <w:rPr>
          <w:spacing w:val="-1"/>
        </w:rPr>
        <w:t> </w:t>
      </w:r>
      <w:r>
        <w:rPr/>
        <w:t>66</w:t>
      </w:r>
      <w:r>
        <w:rPr>
          <w:spacing w:val="-2"/>
        </w:rPr>
        <w:t> </w:t>
      </w:r>
      <w:r>
        <w:rPr/>
        <w:t>per</w:t>
      </w:r>
      <w:r>
        <w:rPr>
          <w:spacing w:val="-1"/>
        </w:rPr>
        <w:t> </w:t>
      </w:r>
      <w:r>
        <w:rPr/>
        <w:t>cent</w:t>
      </w:r>
      <w:r>
        <w:rPr>
          <w:spacing w:val="-1"/>
        </w:rPr>
        <w:t> </w:t>
      </w:r>
      <w:r>
        <w:rPr/>
        <w:t>said</w:t>
      </w:r>
      <w:r>
        <w:rPr>
          <w:spacing w:val="-1"/>
        </w:rPr>
        <w:t> </w:t>
      </w:r>
      <w:r>
        <w:rPr/>
        <w:t>there</w:t>
      </w:r>
      <w:r>
        <w:rPr>
          <w:spacing w:val="-3"/>
        </w:rPr>
        <w:t> </w:t>
      </w:r>
      <w:r>
        <w:rPr/>
        <w:t>was</w:t>
      </w:r>
      <w:r>
        <w:rPr>
          <w:spacing w:val="-2"/>
        </w:rPr>
        <w:t> </w:t>
      </w:r>
      <w:r>
        <w:rPr/>
        <w:t>nothing</w:t>
      </w:r>
      <w:r>
        <w:rPr>
          <w:spacing w:val="-2"/>
        </w:rPr>
        <w:t> </w:t>
      </w:r>
      <w:r>
        <w:rPr/>
        <w:t>more</w:t>
      </w:r>
      <w:r>
        <w:rPr>
          <w:spacing w:val="-1"/>
        </w:rPr>
        <w:t> </w:t>
      </w:r>
      <w:r>
        <w:rPr/>
        <w:t>Acas could</w:t>
      </w:r>
      <w:r>
        <w:rPr>
          <w:spacing w:val="-8"/>
        </w:rPr>
        <w:t> </w:t>
      </w:r>
      <w:r>
        <w:rPr/>
        <w:t>have</w:t>
      </w:r>
      <w:r>
        <w:rPr>
          <w:spacing w:val="-10"/>
        </w:rPr>
        <w:t> </w:t>
      </w:r>
      <w:r>
        <w:rPr/>
        <w:t>done</w:t>
      </w:r>
      <w:r>
        <w:rPr>
          <w:spacing w:val="-9"/>
        </w:rPr>
        <w:t> </w:t>
      </w:r>
      <w:r>
        <w:rPr/>
        <w:t>to</w:t>
      </w:r>
      <w:r>
        <w:rPr>
          <w:spacing w:val="-10"/>
        </w:rPr>
        <w:t> </w:t>
      </w:r>
      <w:r>
        <w:rPr/>
        <w:t>stop</w:t>
      </w:r>
      <w:r>
        <w:rPr>
          <w:spacing w:val="-8"/>
        </w:rPr>
        <w:t> </w:t>
      </w:r>
      <w:r>
        <w:rPr/>
        <w:t>this</w:t>
      </w:r>
      <w:r>
        <w:rPr>
          <w:spacing w:val="-9"/>
        </w:rPr>
        <w:t> </w:t>
      </w:r>
      <w:r>
        <w:rPr/>
        <w:t>compared</w:t>
      </w:r>
      <w:r>
        <w:rPr>
          <w:spacing w:val="-8"/>
        </w:rPr>
        <w:t> </w:t>
      </w:r>
      <w:r>
        <w:rPr/>
        <w:t>to</w:t>
      </w:r>
      <w:r>
        <w:rPr>
          <w:spacing w:val="-8"/>
        </w:rPr>
        <w:t> </w:t>
      </w:r>
      <w:r>
        <w:rPr/>
        <w:t>70</w:t>
      </w:r>
      <w:r>
        <w:rPr>
          <w:spacing w:val="-8"/>
        </w:rPr>
        <w:t> </w:t>
      </w:r>
      <w:r>
        <w:rPr/>
        <w:t>per</w:t>
      </w:r>
      <w:r>
        <w:rPr>
          <w:spacing w:val="-8"/>
        </w:rPr>
        <w:t> </w:t>
      </w:r>
      <w:r>
        <w:rPr/>
        <w:t>cent</w:t>
      </w:r>
      <w:r>
        <w:rPr>
          <w:spacing w:val="-8"/>
        </w:rPr>
        <w:t> </w:t>
      </w:r>
      <w:r>
        <w:rPr/>
        <w:t>in</w:t>
      </w:r>
      <w:r>
        <w:rPr>
          <w:spacing w:val="-9"/>
        </w:rPr>
        <w:t> </w:t>
      </w:r>
      <w:r>
        <w:rPr/>
        <w:t>2015</w:t>
      </w:r>
      <w:r>
        <w:rPr>
          <w:color w:val="FF0000"/>
        </w:rPr>
        <w:t>.</w:t>
      </w:r>
      <w:r>
        <w:rPr>
          <w:color w:val="FF0000"/>
          <w:spacing w:val="-9"/>
        </w:rPr>
        <w:t> </w:t>
      </w:r>
      <w:r>
        <w:rPr/>
        <w:t>Encouragingly,</w:t>
      </w:r>
      <w:r>
        <w:rPr>
          <w:spacing w:val="-8"/>
        </w:rPr>
        <w:t> </w:t>
      </w:r>
      <w:r>
        <w:rPr/>
        <w:t>two- thirds (66 per cent) of</w:t>
      </w:r>
      <w:r>
        <w:rPr>
          <w:spacing w:val="-1"/>
        </w:rPr>
        <w:t> </w:t>
      </w:r>
      <w:r>
        <w:rPr/>
        <w:t>those that had decided</w:t>
      </w:r>
      <w:r>
        <w:rPr>
          <w:spacing w:val="-1"/>
        </w:rPr>
        <w:t> </w:t>
      </w:r>
      <w:r>
        <w:rPr>
          <w:i/>
        </w:rPr>
        <w:t>against </w:t>
      </w:r>
      <w:r>
        <w:rPr/>
        <w:t>submitting an</w:t>
      </w:r>
      <w:r>
        <w:rPr>
          <w:spacing w:val="-1"/>
        </w:rPr>
        <w:t> </w:t>
      </w:r>
      <w:r>
        <w:rPr/>
        <w:t>ET claim said Acas was a factor in helping them reach this conclusion at least to some extent.</w:t>
      </w:r>
    </w:p>
    <w:p>
      <w:pPr>
        <w:pStyle w:val="BodyText"/>
        <w:spacing w:before="11"/>
        <w:rPr>
          <w:sz w:val="19"/>
        </w:rPr>
      </w:pPr>
    </w:p>
    <w:p>
      <w:pPr>
        <w:pStyle w:val="BodyText"/>
        <w:ind w:left="1336" w:right="1474"/>
        <w:jc w:val="both"/>
      </w:pPr>
      <w:r>
        <w:rPr/>
        <w:t>Among those deciding not to submit an ET claim (and not reaching a COT3 settlement) the main reason for not doing so was that the issue had already been resolved by this point (47 per cent) along with a feeling that the claimant would not win the case (26 per cent). In 2015, tribunal fees were reported to be a key driver of non-submission, mentioned by one quarter (26 per cent) of those who had decided against submitting a claim</w:t>
      </w:r>
      <w:r>
        <w:rPr>
          <w:color w:val="FF0000"/>
        </w:rPr>
        <w:t>.</w:t>
      </w:r>
    </w:p>
    <w:p>
      <w:pPr>
        <w:pStyle w:val="BodyText"/>
        <w:spacing w:before="9"/>
        <w:rPr>
          <w:sz w:val="22"/>
        </w:rPr>
      </w:pPr>
    </w:p>
    <w:p>
      <w:pPr>
        <w:pStyle w:val="BodyText"/>
        <w:spacing w:line="256" w:lineRule="auto"/>
        <w:ind w:left="1336" w:right="1473"/>
        <w:jc w:val="both"/>
      </w:pPr>
      <w:r>
        <w:rPr/>
        <w:t>It</w:t>
      </w:r>
      <w:r>
        <w:rPr>
          <w:spacing w:val="-7"/>
        </w:rPr>
        <w:t> </w:t>
      </w:r>
      <w:r>
        <w:rPr/>
        <w:t>is</w:t>
      </w:r>
      <w:r>
        <w:rPr>
          <w:spacing w:val="-7"/>
        </w:rPr>
        <w:t> </w:t>
      </w:r>
      <w:r>
        <w:rPr/>
        <w:t>possible</w:t>
      </w:r>
      <w:r>
        <w:rPr>
          <w:spacing w:val="-7"/>
        </w:rPr>
        <w:t> </w:t>
      </w:r>
      <w:r>
        <w:rPr/>
        <w:t>to</w:t>
      </w:r>
      <w:r>
        <w:rPr>
          <w:spacing w:val="-8"/>
        </w:rPr>
        <w:t> </w:t>
      </w:r>
      <w:r>
        <w:rPr/>
        <w:t>estimate</w:t>
      </w:r>
      <w:r>
        <w:rPr>
          <w:spacing w:val="-7"/>
        </w:rPr>
        <w:t> </w:t>
      </w:r>
      <w:r>
        <w:rPr/>
        <w:t>the</w:t>
      </w:r>
      <w:r>
        <w:rPr>
          <w:spacing w:val="-9"/>
        </w:rPr>
        <w:t> </w:t>
      </w:r>
      <w:r>
        <w:rPr/>
        <w:t>proportion</w:t>
      </w:r>
      <w:r>
        <w:rPr>
          <w:spacing w:val="-6"/>
        </w:rPr>
        <w:t> </w:t>
      </w:r>
      <w:r>
        <w:rPr/>
        <w:t>of</w:t>
      </w:r>
      <w:r>
        <w:rPr>
          <w:spacing w:val="-8"/>
        </w:rPr>
        <w:t> </w:t>
      </w:r>
      <w:r>
        <w:rPr/>
        <w:t>claimants</w:t>
      </w:r>
      <w:r>
        <w:rPr>
          <w:spacing w:val="-9"/>
        </w:rPr>
        <w:t> </w:t>
      </w:r>
      <w:r>
        <w:rPr/>
        <w:t>who</w:t>
      </w:r>
      <w:r>
        <w:rPr>
          <w:spacing w:val="-10"/>
        </w:rPr>
        <w:t> </w:t>
      </w:r>
      <w:r>
        <w:rPr/>
        <w:t>participated</w:t>
      </w:r>
      <w:r>
        <w:rPr>
          <w:spacing w:val="-6"/>
        </w:rPr>
        <w:t> </w:t>
      </w:r>
      <w:r>
        <w:rPr/>
        <w:t>in</w:t>
      </w:r>
      <w:r>
        <w:rPr>
          <w:spacing w:val="-7"/>
        </w:rPr>
        <w:t> </w:t>
      </w:r>
      <w:r>
        <w:rPr/>
        <w:t>EC</w:t>
      </w:r>
      <w:r>
        <w:rPr>
          <w:spacing w:val="-8"/>
        </w:rPr>
        <w:t> </w:t>
      </w:r>
      <w:r>
        <w:rPr/>
        <w:t>but</w:t>
      </w:r>
      <w:r>
        <w:rPr>
          <w:spacing w:val="-8"/>
        </w:rPr>
        <w:t> </w:t>
      </w:r>
      <w:r>
        <w:rPr/>
        <w:t>did not go on to submit an ET claim, for whom Acas’ intervention was a contributing factor to this outcome. This includes those who reached a settlement through EC as well as those who did not settle their case but reported that Acas was a factor in their decision not to submit an ET claim. The proportion of claimants who fall into this group – who experienced an ‘Acas effect’ – was 44 per cent, a score that is not significantly different to the 48 per cent who said so in 2015.</w:t>
      </w:r>
    </w:p>
    <w:p>
      <w:pPr>
        <w:spacing w:after="0" w:line="256" w:lineRule="auto"/>
        <w:jc w:val="both"/>
        <w:sectPr>
          <w:pgSz w:w="11910" w:h="16840"/>
          <w:pgMar w:header="0" w:footer="996" w:top="1360" w:bottom="1180" w:left="460" w:right="320"/>
        </w:sectPr>
      </w:pPr>
    </w:p>
    <w:p>
      <w:pPr>
        <w:pStyle w:val="Heading3"/>
        <w:spacing w:line="256" w:lineRule="auto" w:before="79"/>
        <w:ind w:right="1473" w:hanging="1"/>
      </w:pPr>
      <w:r>
        <w:rPr/>
        <w:t>CONCILIATION IN EMPLOYMENT TRIBUNAL APPLICATIONS (‘POST-ET1 </w:t>
      </w:r>
      <w:r>
        <w:rPr>
          <w:spacing w:val="-2"/>
        </w:rPr>
        <w:t>CONCILIATION’)</w:t>
      </w:r>
    </w:p>
    <w:p>
      <w:pPr>
        <w:pStyle w:val="BodyText"/>
        <w:spacing w:before="11"/>
        <w:rPr>
          <w:b/>
          <w:sz w:val="19"/>
        </w:rPr>
      </w:pPr>
    </w:p>
    <w:p>
      <w:pPr>
        <w:pStyle w:val="BodyText"/>
        <w:spacing w:before="1"/>
        <w:ind w:left="1337" w:right="1472"/>
        <w:jc w:val="both"/>
      </w:pPr>
      <w:r>
        <w:rPr/>
        <w:t>This</w:t>
      </w:r>
      <w:r>
        <w:rPr>
          <w:spacing w:val="-8"/>
        </w:rPr>
        <w:t> </w:t>
      </w:r>
      <w:r>
        <w:rPr/>
        <w:t>is</w:t>
      </w:r>
      <w:r>
        <w:rPr>
          <w:spacing w:val="-9"/>
        </w:rPr>
        <w:t> </w:t>
      </w:r>
      <w:r>
        <w:rPr/>
        <w:t>the</w:t>
      </w:r>
      <w:r>
        <w:rPr>
          <w:spacing w:val="-10"/>
        </w:rPr>
        <w:t> </w:t>
      </w:r>
      <w:r>
        <w:rPr/>
        <w:t>second</w:t>
      </w:r>
      <w:r>
        <w:rPr>
          <w:spacing w:val="-8"/>
        </w:rPr>
        <w:t> </w:t>
      </w:r>
      <w:r>
        <w:rPr/>
        <w:t>evaluation</w:t>
      </w:r>
      <w:r>
        <w:rPr>
          <w:spacing w:val="-7"/>
        </w:rPr>
        <w:t> </w:t>
      </w:r>
      <w:r>
        <w:rPr/>
        <w:t>of</w:t>
      </w:r>
      <w:r>
        <w:rPr>
          <w:spacing w:val="-9"/>
        </w:rPr>
        <w:t> </w:t>
      </w:r>
      <w:r>
        <w:rPr/>
        <w:t>post-ET1</w:t>
      </w:r>
      <w:r>
        <w:rPr>
          <w:spacing w:val="-9"/>
        </w:rPr>
        <w:t> </w:t>
      </w:r>
      <w:r>
        <w:rPr/>
        <w:t>conciliation</w:t>
      </w:r>
      <w:r>
        <w:rPr>
          <w:spacing w:val="-7"/>
        </w:rPr>
        <w:t> </w:t>
      </w:r>
      <w:r>
        <w:rPr/>
        <w:t>since</w:t>
      </w:r>
      <w:r>
        <w:rPr>
          <w:spacing w:val="-10"/>
        </w:rPr>
        <w:t> </w:t>
      </w:r>
      <w:r>
        <w:rPr/>
        <w:t>the</w:t>
      </w:r>
      <w:r>
        <w:rPr>
          <w:spacing w:val="-8"/>
        </w:rPr>
        <w:t> </w:t>
      </w:r>
      <w:r>
        <w:rPr/>
        <w:t>introduction</w:t>
      </w:r>
      <w:r>
        <w:rPr>
          <w:spacing w:val="-7"/>
        </w:rPr>
        <w:t> </w:t>
      </w:r>
      <w:r>
        <w:rPr/>
        <w:t>of</w:t>
      </w:r>
      <w:r>
        <w:rPr>
          <w:spacing w:val="-10"/>
        </w:rPr>
        <w:t> </w:t>
      </w:r>
      <w:r>
        <w:rPr/>
        <w:t>EC</w:t>
      </w:r>
      <w:r>
        <w:rPr>
          <w:spacing w:val="-7"/>
        </w:rPr>
        <w:t> </w:t>
      </w:r>
      <w:r>
        <w:rPr/>
        <w:t>– the</w:t>
      </w:r>
      <w:r>
        <w:rPr>
          <w:spacing w:val="-18"/>
        </w:rPr>
        <w:t> </w:t>
      </w:r>
      <w:r>
        <w:rPr/>
        <w:t>first</w:t>
      </w:r>
      <w:r>
        <w:rPr>
          <w:spacing w:val="-18"/>
        </w:rPr>
        <w:t> </w:t>
      </w:r>
      <w:r>
        <w:rPr/>
        <w:t>since</w:t>
      </w:r>
      <w:r>
        <w:rPr>
          <w:spacing w:val="-17"/>
        </w:rPr>
        <w:t> </w:t>
      </w:r>
      <w:r>
        <w:rPr/>
        <w:t>the</w:t>
      </w:r>
      <w:r>
        <w:rPr>
          <w:spacing w:val="-18"/>
        </w:rPr>
        <w:t> </w:t>
      </w:r>
      <w:r>
        <w:rPr/>
        <w:t>abolition</w:t>
      </w:r>
      <w:r>
        <w:rPr>
          <w:spacing w:val="-17"/>
        </w:rPr>
        <w:t> </w:t>
      </w:r>
      <w:r>
        <w:rPr/>
        <w:t>of</w:t>
      </w:r>
      <w:r>
        <w:rPr>
          <w:spacing w:val="-18"/>
        </w:rPr>
        <w:t> </w:t>
      </w:r>
      <w:r>
        <w:rPr/>
        <w:t>ET</w:t>
      </w:r>
      <w:r>
        <w:rPr>
          <w:spacing w:val="-18"/>
        </w:rPr>
        <w:t> </w:t>
      </w:r>
      <w:r>
        <w:rPr/>
        <w:t>fees</w:t>
      </w:r>
      <w:r>
        <w:rPr>
          <w:spacing w:val="-17"/>
        </w:rPr>
        <w:t> </w:t>
      </w:r>
      <w:r>
        <w:rPr/>
        <w:t>–</w:t>
      </w:r>
      <w:r>
        <w:rPr>
          <w:spacing w:val="-18"/>
        </w:rPr>
        <w:t> </w:t>
      </w:r>
      <w:r>
        <w:rPr/>
        <w:t>and</w:t>
      </w:r>
      <w:r>
        <w:rPr>
          <w:spacing w:val="-17"/>
        </w:rPr>
        <w:t> </w:t>
      </w:r>
      <w:r>
        <w:rPr/>
        <w:t>is</w:t>
      </w:r>
      <w:r>
        <w:rPr>
          <w:spacing w:val="-18"/>
        </w:rPr>
        <w:t> </w:t>
      </w:r>
      <w:r>
        <w:rPr/>
        <w:t>based</w:t>
      </w:r>
      <w:r>
        <w:rPr>
          <w:spacing w:val="-17"/>
        </w:rPr>
        <w:t> </w:t>
      </w:r>
      <w:r>
        <w:rPr/>
        <w:t>on</w:t>
      </w:r>
      <w:r>
        <w:rPr>
          <w:spacing w:val="-18"/>
        </w:rPr>
        <w:t> </w:t>
      </w:r>
      <w:r>
        <w:rPr/>
        <w:t>a</w:t>
      </w:r>
      <w:r>
        <w:rPr>
          <w:spacing w:val="-18"/>
        </w:rPr>
        <w:t> </w:t>
      </w:r>
      <w:r>
        <w:rPr/>
        <w:t>representative</w:t>
      </w:r>
      <w:r>
        <w:rPr>
          <w:spacing w:val="-17"/>
        </w:rPr>
        <w:t> </w:t>
      </w:r>
      <w:r>
        <w:rPr/>
        <w:t>(telephone) survey of claimants, employers and representatives whose corresponding EC notification windows had closed between March and May 2018; 481 claimant-side interviews and 464 employer-side interviews were undertaken. Fieldwork took place between June and August 2019.</w:t>
      </w:r>
    </w:p>
    <w:p>
      <w:pPr>
        <w:pStyle w:val="BodyText"/>
        <w:spacing w:before="9"/>
        <w:rPr>
          <w:sz w:val="22"/>
        </w:rPr>
      </w:pPr>
    </w:p>
    <w:p>
      <w:pPr>
        <w:pStyle w:val="Heading3"/>
        <w:spacing w:before="1"/>
      </w:pPr>
      <w:r>
        <w:rPr/>
        <w:t>Profile</w:t>
      </w:r>
      <w:r>
        <w:rPr>
          <w:spacing w:val="-4"/>
        </w:rPr>
        <w:t> </w:t>
      </w:r>
      <w:r>
        <w:rPr/>
        <w:t>of</w:t>
      </w:r>
      <w:r>
        <w:rPr>
          <w:spacing w:val="-4"/>
        </w:rPr>
        <w:t> </w:t>
      </w:r>
      <w:r>
        <w:rPr/>
        <w:t>parties</w:t>
      </w:r>
      <w:r>
        <w:rPr>
          <w:spacing w:val="-4"/>
        </w:rPr>
        <w:t> </w:t>
      </w:r>
      <w:r>
        <w:rPr/>
        <w:t>at</w:t>
      </w:r>
      <w:r>
        <w:rPr>
          <w:spacing w:val="-5"/>
        </w:rPr>
        <w:t> </w:t>
      </w:r>
      <w:r>
        <w:rPr/>
        <w:t>post-ET1</w:t>
      </w:r>
      <w:r>
        <w:rPr>
          <w:spacing w:val="-3"/>
        </w:rPr>
        <w:t> </w:t>
      </w:r>
      <w:r>
        <w:rPr>
          <w:spacing w:val="-2"/>
        </w:rPr>
        <w:t>conciliation</w:t>
      </w:r>
    </w:p>
    <w:p>
      <w:pPr>
        <w:pStyle w:val="BodyText"/>
        <w:spacing w:before="4"/>
        <w:rPr>
          <w:b/>
          <w:sz w:val="21"/>
        </w:rPr>
      </w:pPr>
    </w:p>
    <w:p>
      <w:pPr>
        <w:pStyle w:val="BodyText"/>
        <w:spacing w:line="259" w:lineRule="auto"/>
        <w:ind w:left="1337" w:right="1474" w:hanging="1"/>
        <w:jc w:val="both"/>
      </w:pPr>
      <w:r>
        <w:rPr/>
        <w:t>The</w:t>
      </w:r>
      <w:r>
        <w:rPr>
          <w:spacing w:val="-7"/>
        </w:rPr>
        <w:t> </w:t>
      </w:r>
      <w:r>
        <w:rPr/>
        <w:t>profile</w:t>
      </w:r>
      <w:r>
        <w:rPr>
          <w:spacing w:val="-7"/>
        </w:rPr>
        <w:t> </w:t>
      </w:r>
      <w:r>
        <w:rPr/>
        <w:t>of</w:t>
      </w:r>
      <w:r>
        <w:rPr>
          <w:spacing w:val="-6"/>
        </w:rPr>
        <w:t> </w:t>
      </w:r>
      <w:r>
        <w:rPr/>
        <w:t>participants</w:t>
      </w:r>
      <w:r>
        <w:rPr>
          <w:spacing w:val="-7"/>
        </w:rPr>
        <w:t> </w:t>
      </w:r>
      <w:r>
        <w:rPr/>
        <w:t>in</w:t>
      </w:r>
      <w:r>
        <w:rPr>
          <w:spacing w:val="-7"/>
        </w:rPr>
        <w:t> </w:t>
      </w:r>
      <w:r>
        <w:rPr/>
        <w:t>2019</w:t>
      </w:r>
      <w:r>
        <w:rPr>
          <w:spacing w:val="-8"/>
        </w:rPr>
        <w:t> </w:t>
      </w:r>
      <w:r>
        <w:rPr/>
        <w:t>matched</w:t>
      </w:r>
      <w:r>
        <w:rPr>
          <w:spacing w:val="-7"/>
        </w:rPr>
        <w:t> </w:t>
      </w:r>
      <w:r>
        <w:rPr/>
        <w:t>that</w:t>
      </w:r>
      <w:r>
        <w:rPr>
          <w:spacing w:val="-6"/>
        </w:rPr>
        <w:t> </w:t>
      </w:r>
      <w:r>
        <w:rPr/>
        <w:t>of</w:t>
      </w:r>
      <w:r>
        <w:rPr>
          <w:spacing w:val="-6"/>
        </w:rPr>
        <w:t> </w:t>
      </w:r>
      <w:r>
        <w:rPr/>
        <w:t>2016</w:t>
      </w:r>
      <w:r>
        <w:rPr>
          <w:spacing w:val="-8"/>
        </w:rPr>
        <w:t> </w:t>
      </w:r>
      <w:r>
        <w:rPr/>
        <w:t>very</w:t>
      </w:r>
      <w:r>
        <w:rPr>
          <w:spacing w:val="-6"/>
        </w:rPr>
        <w:t> </w:t>
      </w:r>
      <w:r>
        <w:rPr/>
        <w:t>closely,</w:t>
      </w:r>
      <w:r>
        <w:rPr>
          <w:spacing w:val="-6"/>
        </w:rPr>
        <w:t> </w:t>
      </w:r>
      <w:r>
        <w:rPr/>
        <w:t>including</w:t>
      </w:r>
      <w:r>
        <w:rPr>
          <w:spacing w:val="-7"/>
        </w:rPr>
        <w:t> </w:t>
      </w:r>
      <w:r>
        <w:rPr/>
        <w:t>the demographics</w:t>
      </w:r>
      <w:r>
        <w:rPr>
          <w:spacing w:val="-18"/>
        </w:rPr>
        <w:t> </w:t>
      </w:r>
      <w:r>
        <w:rPr/>
        <w:t>of</w:t>
      </w:r>
      <w:r>
        <w:rPr>
          <w:spacing w:val="-18"/>
        </w:rPr>
        <w:t> </w:t>
      </w:r>
      <w:r>
        <w:rPr/>
        <w:t>claimants</w:t>
      </w:r>
      <w:r>
        <w:rPr>
          <w:spacing w:val="-17"/>
        </w:rPr>
        <w:t> </w:t>
      </w:r>
      <w:r>
        <w:rPr/>
        <w:t>and</w:t>
      </w:r>
      <w:r>
        <w:rPr>
          <w:spacing w:val="-18"/>
        </w:rPr>
        <w:t> </w:t>
      </w:r>
      <w:r>
        <w:rPr/>
        <w:t>the</w:t>
      </w:r>
      <w:r>
        <w:rPr>
          <w:spacing w:val="-17"/>
        </w:rPr>
        <w:t> </w:t>
      </w:r>
      <w:r>
        <w:rPr/>
        <w:t>‘firmographic’</w:t>
      </w:r>
      <w:r>
        <w:rPr>
          <w:spacing w:val="-18"/>
        </w:rPr>
        <w:t> </w:t>
      </w:r>
      <w:r>
        <w:rPr/>
        <w:t>information</w:t>
      </w:r>
      <w:r>
        <w:rPr>
          <w:spacing w:val="-18"/>
        </w:rPr>
        <w:t> </w:t>
      </w:r>
      <w:r>
        <w:rPr/>
        <w:t>about</w:t>
      </w:r>
      <w:r>
        <w:rPr>
          <w:spacing w:val="-17"/>
        </w:rPr>
        <w:t> </w:t>
      </w:r>
      <w:r>
        <w:rPr/>
        <w:t>employers</w:t>
      </w:r>
      <w:r>
        <w:rPr>
          <w:spacing w:val="-17"/>
        </w:rPr>
        <w:t> </w:t>
      </w:r>
      <w:r>
        <w:rPr/>
        <w:t>who used the service.</w:t>
      </w:r>
    </w:p>
    <w:p>
      <w:pPr>
        <w:pStyle w:val="BodyText"/>
        <w:spacing w:line="259" w:lineRule="auto" w:before="159"/>
        <w:ind w:left="1337" w:right="1473"/>
        <w:jc w:val="both"/>
      </w:pPr>
      <w:r>
        <w:rPr/>
        <w:t>Claimants in the survey were likely to be male, aged over 45, working full-time in the private sector and from a White ethnic background. Two thirds (66 per cent) had worked for their employer for at least one year and one fifth (20 per cent) reported</w:t>
      </w:r>
      <w:r>
        <w:rPr>
          <w:spacing w:val="-1"/>
        </w:rPr>
        <w:t> </w:t>
      </w:r>
      <w:r>
        <w:rPr/>
        <w:t>being</w:t>
      </w:r>
      <w:r>
        <w:rPr>
          <w:spacing w:val="-1"/>
        </w:rPr>
        <w:t> </w:t>
      </w:r>
      <w:r>
        <w:rPr/>
        <w:t>a</w:t>
      </w:r>
      <w:r>
        <w:rPr>
          <w:spacing w:val="-1"/>
        </w:rPr>
        <w:t> </w:t>
      </w:r>
      <w:r>
        <w:rPr/>
        <w:t>member</w:t>
      </w:r>
      <w:r>
        <w:rPr>
          <w:spacing w:val="-1"/>
        </w:rPr>
        <w:t> </w:t>
      </w:r>
      <w:r>
        <w:rPr/>
        <w:t>of</w:t>
      </w:r>
      <w:r>
        <w:rPr>
          <w:spacing w:val="-1"/>
        </w:rPr>
        <w:t> </w:t>
      </w:r>
      <w:r>
        <w:rPr/>
        <w:t>a</w:t>
      </w:r>
      <w:r>
        <w:rPr>
          <w:spacing w:val="-1"/>
        </w:rPr>
        <w:t> </w:t>
      </w:r>
      <w:r>
        <w:rPr/>
        <w:t>Trade</w:t>
      </w:r>
      <w:r>
        <w:rPr>
          <w:spacing w:val="-1"/>
        </w:rPr>
        <w:t> </w:t>
      </w:r>
      <w:r>
        <w:rPr/>
        <w:t>Union or</w:t>
      </w:r>
      <w:r>
        <w:rPr>
          <w:spacing w:val="-1"/>
        </w:rPr>
        <w:t> </w:t>
      </w:r>
      <w:r>
        <w:rPr/>
        <w:t>staff association. Nine</w:t>
      </w:r>
      <w:r>
        <w:rPr>
          <w:spacing w:val="-1"/>
        </w:rPr>
        <w:t> </w:t>
      </w:r>
      <w:r>
        <w:rPr/>
        <w:t>in ten had</w:t>
      </w:r>
      <w:r>
        <w:rPr>
          <w:spacing w:val="-2"/>
        </w:rPr>
        <w:t> </w:t>
      </w:r>
      <w:r>
        <w:rPr/>
        <w:t>no previous experience of making an Employment Tribunal claim at any workplace.</w:t>
      </w:r>
    </w:p>
    <w:p>
      <w:pPr>
        <w:pStyle w:val="BodyText"/>
        <w:spacing w:line="259" w:lineRule="auto" w:before="160"/>
        <w:ind w:left="1337" w:right="1473"/>
        <w:jc w:val="both"/>
      </w:pPr>
      <w:r>
        <w:rPr/>
        <w:t>Employers were most likely to be based in the private sector (80 per cent) and from</w:t>
      </w:r>
      <w:r>
        <w:rPr>
          <w:spacing w:val="-7"/>
        </w:rPr>
        <w:t> </w:t>
      </w:r>
      <w:r>
        <w:rPr/>
        <w:t>organisations</w:t>
      </w:r>
      <w:r>
        <w:rPr>
          <w:spacing w:val="-7"/>
        </w:rPr>
        <w:t> </w:t>
      </w:r>
      <w:r>
        <w:rPr/>
        <w:t>with</w:t>
      </w:r>
      <w:r>
        <w:rPr>
          <w:spacing w:val="-8"/>
        </w:rPr>
        <w:t> </w:t>
      </w:r>
      <w:r>
        <w:rPr/>
        <w:t>more</w:t>
      </w:r>
      <w:r>
        <w:rPr>
          <w:spacing w:val="-7"/>
        </w:rPr>
        <w:t> </w:t>
      </w:r>
      <w:r>
        <w:rPr/>
        <w:t>than</w:t>
      </w:r>
      <w:r>
        <w:rPr>
          <w:spacing w:val="-8"/>
        </w:rPr>
        <w:t> </w:t>
      </w:r>
      <w:r>
        <w:rPr/>
        <w:t>one</w:t>
      </w:r>
      <w:r>
        <w:rPr>
          <w:spacing w:val="-7"/>
        </w:rPr>
        <w:t> </w:t>
      </w:r>
      <w:r>
        <w:rPr/>
        <w:t>workplace</w:t>
      </w:r>
      <w:r>
        <w:rPr>
          <w:spacing w:val="-7"/>
        </w:rPr>
        <w:t> </w:t>
      </w:r>
      <w:r>
        <w:rPr/>
        <w:t>in</w:t>
      </w:r>
      <w:r>
        <w:rPr>
          <w:spacing w:val="-6"/>
        </w:rPr>
        <w:t> </w:t>
      </w:r>
      <w:r>
        <w:rPr/>
        <w:t>the</w:t>
      </w:r>
      <w:r>
        <w:rPr>
          <w:spacing w:val="-7"/>
        </w:rPr>
        <w:t> </w:t>
      </w:r>
      <w:r>
        <w:rPr/>
        <w:t>UK</w:t>
      </w:r>
      <w:r>
        <w:rPr>
          <w:spacing w:val="-8"/>
        </w:rPr>
        <w:t> </w:t>
      </w:r>
      <w:r>
        <w:rPr/>
        <w:t>(52</w:t>
      </w:r>
      <w:r>
        <w:rPr>
          <w:spacing w:val="-7"/>
        </w:rPr>
        <w:t> </w:t>
      </w:r>
      <w:r>
        <w:rPr/>
        <w:t>per</w:t>
      </w:r>
      <w:r>
        <w:rPr>
          <w:spacing w:val="-7"/>
        </w:rPr>
        <w:t> </w:t>
      </w:r>
      <w:r>
        <w:rPr/>
        <w:t>cent).</w:t>
      </w:r>
      <w:r>
        <w:rPr>
          <w:spacing w:val="-8"/>
        </w:rPr>
        <w:t> </w:t>
      </w:r>
      <w:r>
        <w:rPr/>
        <w:t>Half</w:t>
      </w:r>
      <w:r>
        <w:rPr>
          <w:spacing w:val="-6"/>
        </w:rPr>
        <w:t> </w:t>
      </w:r>
      <w:r>
        <w:rPr/>
        <w:t>(50 per cent) were from small organisations (between one and 49 employees) and a similar proportion (52 per cent) reported having a formal HR department.</w:t>
      </w:r>
    </w:p>
    <w:p>
      <w:pPr>
        <w:pStyle w:val="BodyText"/>
        <w:spacing w:line="259" w:lineRule="auto" w:before="158"/>
        <w:ind w:left="1337" w:right="1472"/>
        <w:jc w:val="both"/>
      </w:pPr>
      <w:r>
        <w:rPr/>
        <w:t>The</w:t>
      </w:r>
      <w:r>
        <w:rPr>
          <w:spacing w:val="-18"/>
        </w:rPr>
        <w:t> </w:t>
      </w:r>
      <w:r>
        <w:rPr/>
        <w:t>proportion</w:t>
      </w:r>
      <w:r>
        <w:rPr>
          <w:spacing w:val="-18"/>
        </w:rPr>
        <w:t> </w:t>
      </w:r>
      <w:r>
        <w:rPr/>
        <w:t>of</w:t>
      </w:r>
      <w:r>
        <w:rPr>
          <w:spacing w:val="-17"/>
        </w:rPr>
        <w:t> </w:t>
      </w:r>
      <w:r>
        <w:rPr/>
        <w:t>smaller</w:t>
      </w:r>
      <w:r>
        <w:rPr>
          <w:spacing w:val="-18"/>
        </w:rPr>
        <w:t> </w:t>
      </w:r>
      <w:r>
        <w:rPr/>
        <w:t>organisations</w:t>
      </w:r>
      <w:r>
        <w:rPr>
          <w:spacing w:val="-17"/>
        </w:rPr>
        <w:t> </w:t>
      </w:r>
      <w:r>
        <w:rPr/>
        <w:t>involved</w:t>
      </w:r>
      <w:r>
        <w:rPr>
          <w:spacing w:val="-17"/>
        </w:rPr>
        <w:t> </w:t>
      </w:r>
      <w:r>
        <w:rPr/>
        <w:t>in</w:t>
      </w:r>
      <w:r>
        <w:rPr>
          <w:spacing w:val="-18"/>
        </w:rPr>
        <w:t> </w:t>
      </w:r>
      <w:r>
        <w:rPr/>
        <w:t>ET</w:t>
      </w:r>
      <w:r>
        <w:rPr>
          <w:spacing w:val="-17"/>
        </w:rPr>
        <w:t> </w:t>
      </w:r>
      <w:r>
        <w:rPr/>
        <w:t>claims</w:t>
      </w:r>
      <w:r>
        <w:rPr>
          <w:spacing w:val="-17"/>
        </w:rPr>
        <w:t> </w:t>
      </w:r>
      <w:r>
        <w:rPr/>
        <w:t>has</w:t>
      </w:r>
      <w:r>
        <w:rPr>
          <w:spacing w:val="-18"/>
        </w:rPr>
        <w:t> </w:t>
      </w:r>
      <w:r>
        <w:rPr/>
        <w:t>grown</w:t>
      </w:r>
      <w:r>
        <w:rPr>
          <w:spacing w:val="-17"/>
        </w:rPr>
        <w:t> </w:t>
      </w:r>
      <w:r>
        <w:rPr/>
        <w:t>since</w:t>
      </w:r>
      <w:r>
        <w:rPr>
          <w:spacing w:val="-18"/>
        </w:rPr>
        <w:t> </w:t>
      </w:r>
      <w:r>
        <w:rPr/>
        <w:t>2016, while</w:t>
      </w:r>
      <w:r>
        <w:rPr>
          <w:spacing w:val="-5"/>
        </w:rPr>
        <w:t> </w:t>
      </w:r>
      <w:r>
        <w:rPr/>
        <w:t>the</w:t>
      </w:r>
      <w:r>
        <w:rPr>
          <w:spacing w:val="-6"/>
        </w:rPr>
        <w:t> </w:t>
      </w:r>
      <w:r>
        <w:rPr/>
        <w:t>proportion</w:t>
      </w:r>
      <w:r>
        <w:rPr>
          <w:spacing w:val="-4"/>
        </w:rPr>
        <w:t> </w:t>
      </w:r>
      <w:r>
        <w:rPr/>
        <w:t>of</w:t>
      </w:r>
      <w:r>
        <w:rPr>
          <w:spacing w:val="-4"/>
        </w:rPr>
        <w:t> </w:t>
      </w:r>
      <w:r>
        <w:rPr/>
        <w:t>larger</w:t>
      </w:r>
      <w:r>
        <w:rPr>
          <w:spacing w:val="-5"/>
        </w:rPr>
        <w:t> </w:t>
      </w:r>
      <w:r>
        <w:rPr/>
        <w:t>organisations</w:t>
      </w:r>
      <w:r>
        <w:rPr>
          <w:spacing w:val="-4"/>
        </w:rPr>
        <w:t> </w:t>
      </w:r>
      <w:r>
        <w:rPr/>
        <w:t>involved</w:t>
      </w:r>
      <w:r>
        <w:rPr>
          <w:spacing w:val="-4"/>
        </w:rPr>
        <w:t> </w:t>
      </w:r>
      <w:r>
        <w:rPr/>
        <w:t>in</w:t>
      </w:r>
      <w:r>
        <w:rPr>
          <w:spacing w:val="-4"/>
        </w:rPr>
        <w:t> </w:t>
      </w:r>
      <w:r>
        <w:rPr/>
        <w:t>claims</w:t>
      </w:r>
      <w:r>
        <w:rPr>
          <w:spacing w:val="-4"/>
        </w:rPr>
        <w:t> </w:t>
      </w:r>
      <w:r>
        <w:rPr/>
        <w:t>has</w:t>
      </w:r>
      <w:r>
        <w:rPr>
          <w:spacing w:val="-5"/>
        </w:rPr>
        <w:t> </w:t>
      </w:r>
      <w:r>
        <w:rPr/>
        <w:t>fallen</w:t>
      </w:r>
      <w:r>
        <w:rPr>
          <w:spacing w:val="-4"/>
        </w:rPr>
        <w:t> </w:t>
      </w:r>
      <w:r>
        <w:rPr/>
        <w:t>compared with the EC survey results. Overall, representation levels for claimants and employers</w:t>
      </w:r>
      <w:r>
        <w:rPr>
          <w:spacing w:val="-11"/>
        </w:rPr>
        <w:t> </w:t>
      </w:r>
      <w:r>
        <w:rPr/>
        <w:t>have</w:t>
      </w:r>
      <w:r>
        <w:rPr>
          <w:spacing w:val="-13"/>
        </w:rPr>
        <w:t> </w:t>
      </w:r>
      <w:r>
        <w:rPr/>
        <w:t>decreased</w:t>
      </w:r>
      <w:r>
        <w:rPr>
          <w:spacing w:val="-13"/>
        </w:rPr>
        <w:t> </w:t>
      </w:r>
      <w:r>
        <w:rPr/>
        <w:t>substantially</w:t>
      </w:r>
      <w:r>
        <w:rPr>
          <w:spacing w:val="-12"/>
        </w:rPr>
        <w:t> </w:t>
      </w:r>
      <w:r>
        <w:rPr/>
        <w:t>since</w:t>
      </w:r>
      <w:r>
        <w:rPr>
          <w:spacing w:val="-13"/>
        </w:rPr>
        <w:t> </w:t>
      </w:r>
      <w:r>
        <w:rPr/>
        <w:t>2016.</w:t>
      </w:r>
      <w:r>
        <w:rPr>
          <w:spacing w:val="-14"/>
        </w:rPr>
        <w:t> </w:t>
      </w:r>
      <w:r>
        <w:rPr/>
        <w:t>Half</w:t>
      </w:r>
      <w:r>
        <w:rPr>
          <w:spacing w:val="-12"/>
        </w:rPr>
        <w:t> </w:t>
      </w:r>
      <w:r>
        <w:rPr/>
        <w:t>(56</w:t>
      </w:r>
      <w:r>
        <w:rPr>
          <w:spacing w:val="-13"/>
        </w:rPr>
        <w:t> </w:t>
      </w:r>
      <w:r>
        <w:rPr/>
        <w:t>per</w:t>
      </w:r>
      <w:r>
        <w:rPr>
          <w:spacing w:val="-13"/>
        </w:rPr>
        <w:t> </w:t>
      </w:r>
      <w:r>
        <w:rPr/>
        <w:t>cent)</w:t>
      </w:r>
      <w:r>
        <w:rPr>
          <w:spacing w:val="-14"/>
        </w:rPr>
        <w:t> </w:t>
      </w:r>
      <w:r>
        <w:rPr/>
        <w:t>of</w:t>
      </w:r>
      <w:r>
        <w:rPr>
          <w:spacing w:val="-12"/>
        </w:rPr>
        <w:t> </w:t>
      </w:r>
      <w:r>
        <w:rPr/>
        <w:t>claimants reported</w:t>
      </w:r>
      <w:r>
        <w:rPr>
          <w:spacing w:val="-12"/>
        </w:rPr>
        <w:t> </w:t>
      </w:r>
      <w:r>
        <w:rPr/>
        <w:t>using</w:t>
      </w:r>
      <w:r>
        <w:rPr>
          <w:spacing w:val="-12"/>
        </w:rPr>
        <w:t> </w:t>
      </w:r>
      <w:r>
        <w:rPr/>
        <w:t>a</w:t>
      </w:r>
      <w:r>
        <w:rPr>
          <w:spacing w:val="-13"/>
        </w:rPr>
        <w:t> </w:t>
      </w:r>
      <w:r>
        <w:rPr/>
        <w:t>representative</w:t>
      </w:r>
      <w:r>
        <w:rPr>
          <w:spacing w:val="-13"/>
        </w:rPr>
        <w:t> </w:t>
      </w:r>
      <w:r>
        <w:rPr/>
        <w:t>and</w:t>
      </w:r>
      <w:r>
        <w:rPr>
          <w:spacing w:val="-12"/>
        </w:rPr>
        <w:t> </w:t>
      </w:r>
      <w:r>
        <w:rPr/>
        <w:t>three-quarters</w:t>
      </w:r>
      <w:r>
        <w:rPr>
          <w:spacing w:val="-12"/>
        </w:rPr>
        <w:t> </w:t>
      </w:r>
      <w:r>
        <w:rPr/>
        <w:t>(74</w:t>
      </w:r>
      <w:r>
        <w:rPr>
          <w:spacing w:val="-13"/>
        </w:rPr>
        <w:t> </w:t>
      </w:r>
      <w:r>
        <w:rPr/>
        <w:t>per</w:t>
      </w:r>
      <w:r>
        <w:rPr>
          <w:spacing w:val="-13"/>
        </w:rPr>
        <w:t> </w:t>
      </w:r>
      <w:r>
        <w:rPr/>
        <w:t>cent)</w:t>
      </w:r>
      <w:r>
        <w:rPr>
          <w:spacing w:val="-12"/>
        </w:rPr>
        <w:t> </w:t>
      </w:r>
      <w:r>
        <w:rPr/>
        <w:t>of</w:t>
      </w:r>
      <w:r>
        <w:rPr>
          <w:spacing w:val="-12"/>
        </w:rPr>
        <w:t> </w:t>
      </w:r>
      <w:r>
        <w:rPr/>
        <w:t>employers</w:t>
      </w:r>
      <w:r>
        <w:rPr>
          <w:spacing w:val="-12"/>
        </w:rPr>
        <w:t> </w:t>
      </w:r>
      <w:r>
        <w:rPr/>
        <w:t>said the same, a drop of 22 points and 10 points respectively since 2016. Despite this fall, which may reflect a change in the service user base, claimants and employer were still much more likely to be represented in post-ET1 conciliation than EC, consistent with findings from 2016.</w:t>
      </w:r>
    </w:p>
    <w:p>
      <w:pPr>
        <w:pStyle w:val="BodyText"/>
        <w:spacing w:line="259" w:lineRule="auto" w:before="158"/>
        <w:ind w:left="1336" w:right="1473"/>
        <w:jc w:val="both"/>
      </w:pPr>
      <w:r>
        <w:rPr/>
        <w:t>As</w:t>
      </w:r>
      <w:r>
        <w:rPr>
          <w:spacing w:val="-6"/>
        </w:rPr>
        <w:t> </w:t>
      </w:r>
      <w:r>
        <w:rPr/>
        <w:t>was</w:t>
      </w:r>
      <w:r>
        <w:rPr>
          <w:spacing w:val="-7"/>
        </w:rPr>
        <w:t> </w:t>
      </w:r>
      <w:r>
        <w:rPr/>
        <w:t>the</w:t>
      </w:r>
      <w:r>
        <w:rPr>
          <w:spacing w:val="-7"/>
        </w:rPr>
        <w:t> </w:t>
      </w:r>
      <w:r>
        <w:rPr/>
        <w:t>case</w:t>
      </w:r>
      <w:r>
        <w:rPr>
          <w:spacing w:val="-6"/>
        </w:rPr>
        <w:t> </w:t>
      </w:r>
      <w:r>
        <w:rPr/>
        <w:t>in</w:t>
      </w:r>
      <w:r>
        <w:rPr>
          <w:spacing w:val="-5"/>
        </w:rPr>
        <w:t> </w:t>
      </w:r>
      <w:r>
        <w:rPr/>
        <w:t>the</w:t>
      </w:r>
      <w:r>
        <w:rPr>
          <w:spacing w:val="-7"/>
        </w:rPr>
        <w:t> </w:t>
      </w:r>
      <w:r>
        <w:rPr/>
        <w:t>EC</w:t>
      </w:r>
      <w:r>
        <w:rPr>
          <w:spacing w:val="-6"/>
        </w:rPr>
        <w:t> </w:t>
      </w:r>
      <w:r>
        <w:rPr/>
        <w:t>evaluation,</w:t>
      </w:r>
      <w:r>
        <w:rPr>
          <w:spacing w:val="-5"/>
        </w:rPr>
        <w:t> </w:t>
      </w:r>
      <w:r>
        <w:rPr/>
        <w:t>representatives</w:t>
      </w:r>
      <w:r>
        <w:rPr>
          <w:spacing w:val="-6"/>
        </w:rPr>
        <w:t> </w:t>
      </w:r>
      <w:r>
        <w:rPr/>
        <w:t>at</w:t>
      </w:r>
      <w:r>
        <w:rPr>
          <w:spacing w:val="-8"/>
        </w:rPr>
        <w:t> </w:t>
      </w:r>
      <w:r>
        <w:rPr/>
        <w:t>post-ET1</w:t>
      </w:r>
      <w:r>
        <w:rPr>
          <w:spacing w:val="-7"/>
        </w:rPr>
        <w:t> </w:t>
      </w:r>
      <w:r>
        <w:rPr/>
        <w:t>were</w:t>
      </w:r>
      <w:r>
        <w:rPr>
          <w:spacing w:val="-6"/>
        </w:rPr>
        <w:t> </w:t>
      </w:r>
      <w:r>
        <w:rPr/>
        <w:t>most</w:t>
      </w:r>
      <w:r>
        <w:rPr>
          <w:spacing w:val="-5"/>
        </w:rPr>
        <w:t> </w:t>
      </w:r>
      <w:r>
        <w:rPr/>
        <w:t>likely to be legal professionals, followed by family members and trade union representatives. The proportion of claimants and employers using legal professionals</w:t>
      </w:r>
      <w:r>
        <w:rPr>
          <w:spacing w:val="-10"/>
        </w:rPr>
        <w:t> </w:t>
      </w:r>
      <w:r>
        <w:rPr/>
        <w:t>at</w:t>
      </w:r>
      <w:r>
        <w:rPr>
          <w:spacing w:val="-10"/>
        </w:rPr>
        <w:t> </w:t>
      </w:r>
      <w:r>
        <w:rPr/>
        <w:t>post-ET1</w:t>
      </w:r>
      <w:r>
        <w:rPr>
          <w:spacing w:val="-10"/>
        </w:rPr>
        <w:t> </w:t>
      </w:r>
      <w:r>
        <w:rPr/>
        <w:t>has</w:t>
      </w:r>
      <w:r>
        <w:rPr>
          <w:spacing w:val="-10"/>
        </w:rPr>
        <w:t> </w:t>
      </w:r>
      <w:r>
        <w:rPr/>
        <w:t>fallen</w:t>
      </w:r>
      <w:r>
        <w:rPr>
          <w:spacing w:val="-10"/>
        </w:rPr>
        <w:t> </w:t>
      </w:r>
      <w:r>
        <w:rPr/>
        <w:t>slightly</w:t>
      </w:r>
      <w:r>
        <w:rPr>
          <w:spacing w:val="-10"/>
        </w:rPr>
        <w:t> </w:t>
      </w:r>
      <w:r>
        <w:rPr/>
        <w:t>–</w:t>
      </w:r>
      <w:r>
        <w:rPr>
          <w:spacing w:val="-10"/>
        </w:rPr>
        <w:t> </w:t>
      </w:r>
      <w:r>
        <w:rPr/>
        <w:t>but</w:t>
      </w:r>
      <w:r>
        <w:rPr>
          <w:spacing w:val="-10"/>
        </w:rPr>
        <w:t> </w:t>
      </w:r>
      <w:r>
        <w:rPr/>
        <w:t>not</w:t>
      </w:r>
      <w:r>
        <w:rPr>
          <w:spacing w:val="-11"/>
        </w:rPr>
        <w:t> </w:t>
      </w:r>
      <w:r>
        <w:rPr/>
        <w:t>significantly</w:t>
      </w:r>
      <w:r>
        <w:rPr>
          <w:spacing w:val="-10"/>
        </w:rPr>
        <w:t> </w:t>
      </w:r>
      <w:r>
        <w:rPr/>
        <w:t>–</w:t>
      </w:r>
      <w:r>
        <w:rPr>
          <w:spacing w:val="-10"/>
        </w:rPr>
        <w:t> </w:t>
      </w:r>
      <w:r>
        <w:rPr/>
        <w:t>since</w:t>
      </w:r>
      <w:r>
        <w:rPr>
          <w:spacing w:val="-11"/>
        </w:rPr>
        <w:t> </w:t>
      </w:r>
      <w:r>
        <w:rPr/>
        <w:t>2016</w:t>
      </w:r>
      <w:r>
        <w:rPr>
          <w:spacing w:val="-11"/>
        </w:rPr>
        <w:t> </w:t>
      </w:r>
      <w:r>
        <w:rPr/>
        <w:t>(72 per</w:t>
      </w:r>
      <w:r>
        <w:rPr>
          <w:spacing w:val="-16"/>
        </w:rPr>
        <w:t> </w:t>
      </w:r>
      <w:r>
        <w:rPr/>
        <w:t>cent,</w:t>
      </w:r>
      <w:r>
        <w:rPr>
          <w:spacing w:val="-16"/>
        </w:rPr>
        <w:t> </w:t>
      </w:r>
      <w:r>
        <w:rPr/>
        <w:t>down</w:t>
      </w:r>
      <w:r>
        <w:rPr>
          <w:spacing w:val="-16"/>
        </w:rPr>
        <w:t> </w:t>
      </w:r>
      <w:r>
        <w:rPr/>
        <w:t>from</w:t>
      </w:r>
      <w:r>
        <w:rPr>
          <w:spacing w:val="-16"/>
        </w:rPr>
        <w:t> </w:t>
      </w:r>
      <w:r>
        <w:rPr/>
        <w:t>76</w:t>
      </w:r>
      <w:r>
        <w:rPr>
          <w:spacing w:val="-18"/>
        </w:rPr>
        <w:t> </w:t>
      </w:r>
      <w:r>
        <w:rPr/>
        <w:t>per</w:t>
      </w:r>
      <w:r>
        <w:rPr>
          <w:spacing w:val="-16"/>
        </w:rPr>
        <w:t> </w:t>
      </w:r>
      <w:r>
        <w:rPr/>
        <w:t>cent).</w:t>
      </w:r>
      <w:r>
        <w:rPr>
          <w:spacing w:val="-16"/>
        </w:rPr>
        <w:t> </w:t>
      </w:r>
      <w:r>
        <w:rPr/>
        <w:t>Compared</w:t>
      </w:r>
      <w:r>
        <w:rPr>
          <w:spacing w:val="-15"/>
        </w:rPr>
        <w:t> </w:t>
      </w:r>
      <w:r>
        <w:rPr/>
        <w:t>with</w:t>
      </w:r>
      <w:r>
        <w:rPr>
          <w:spacing w:val="-15"/>
        </w:rPr>
        <w:t> </w:t>
      </w:r>
      <w:r>
        <w:rPr/>
        <w:t>representatives</w:t>
      </w:r>
      <w:r>
        <w:rPr>
          <w:spacing w:val="-16"/>
        </w:rPr>
        <w:t> </w:t>
      </w:r>
      <w:r>
        <w:rPr/>
        <w:t>used</w:t>
      </w:r>
      <w:r>
        <w:rPr>
          <w:spacing w:val="-16"/>
        </w:rPr>
        <w:t> </w:t>
      </w:r>
      <w:r>
        <w:rPr/>
        <w:t>in</w:t>
      </w:r>
      <w:r>
        <w:rPr>
          <w:spacing w:val="-15"/>
        </w:rPr>
        <w:t> </w:t>
      </w:r>
      <w:r>
        <w:rPr/>
        <w:t>EC,</w:t>
      </w:r>
      <w:r>
        <w:rPr>
          <w:spacing w:val="-16"/>
        </w:rPr>
        <w:t> </w:t>
      </w:r>
      <w:r>
        <w:rPr/>
        <w:t>those involved at this latter stage were more experienced, with three quarters (75 per cent)</w:t>
      </w:r>
      <w:r>
        <w:rPr>
          <w:spacing w:val="-2"/>
        </w:rPr>
        <w:t> </w:t>
      </w:r>
      <w:r>
        <w:rPr/>
        <w:t>having</w:t>
      </w:r>
      <w:r>
        <w:rPr>
          <w:spacing w:val="-1"/>
        </w:rPr>
        <w:t> </w:t>
      </w:r>
      <w:r>
        <w:rPr/>
        <w:t>more</w:t>
      </w:r>
      <w:r>
        <w:rPr>
          <w:spacing w:val="-1"/>
        </w:rPr>
        <w:t> </w:t>
      </w:r>
      <w:r>
        <w:rPr/>
        <w:t>than 5</w:t>
      </w:r>
      <w:r>
        <w:rPr>
          <w:spacing w:val="-2"/>
        </w:rPr>
        <w:t> </w:t>
      </w:r>
      <w:r>
        <w:rPr/>
        <w:t>years</w:t>
      </w:r>
      <w:r>
        <w:rPr>
          <w:spacing w:val="-1"/>
        </w:rPr>
        <w:t> </w:t>
      </w:r>
      <w:r>
        <w:rPr/>
        <w:t>of</w:t>
      </w:r>
      <w:r>
        <w:rPr>
          <w:spacing w:val="-1"/>
        </w:rPr>
        <w:t> </w:t>
      </w:r>
      <w:r>
        <w:rPr/>
        <w:t>experience</w:t>
      </w:r>
      <w:r>
        <w:rPr>
          <w:spacing w:val="-1"/>
        </w:rPr>
        <w:t> </w:t>
      </w:r>
      <w:r>
        <w:rPr/>
        <w:t>dealing</w:t>
      </w:r>
      <w:r>
        <w:rPr>
          <w:spacing w:val="-1"/>
        </w:rPr>
        <w:t> </w:t>
      </w:r>
      <w:r>
        <w:rPr/>
        <w:t>with employment claims.</w:t>
      </w:r>
      <w:r>
        <w:rPr>
          <w:spacing w:val="-1"/>
        </w:rPr>
        <w:t> </w:t>
      </w:r>
      <w:r>
        <w:rPr/>
        <w:t>At the EC stage this figure was six in ten (61 per cent).</w:t>
      </w:r>
    </w:p>
    <w:p>
      <w:pPr>
        <w:pStyle w:val="Heading3"/>
        <w:spacing w:before="158"/>
        <w:ind w:left="1336"/>
      </w:pPr>
      <w:r>
        <w:rPr/>
        <w:t>Acas</w:t>
      </w:r>
      <w:r>
        <w:rPr>
          <w:spacing w:val="-5"/>
        </w:rPr>
        <w:t> </w:t>
      </w:r>
      <w:r>
        <w:rPr/>
        <w:t>involvement</w:t>
      </w:r>
      <w:r>
        <w:rPr>
          <w:spacing w:val="-5"/>
        </w:rPr>
        <w:t> </w:t>
      </w:r>
      <w:r>
        <w:rPr/>
        <w:t>following</w:t>
      </w:r>
      <w:r>
        <w:rPr>
          <w:spacing w:val="-4"/>
        </w:rPr>
        <w:t> </w:t>
      </w:r>
      <w:r>
        <w:rPr/>
        <w:t>the</w:t>
      </w:r>
      <w:r>
        <w:rPr>
          <w:spacing w:val="-5"/>
        </w:rPr>
        <w:t> </w:t>
      </w:r>
      <w:r>
        <w:rPr/>
        <w:t>ET</w:t>
      </w:r>
      <w:r>
        <w:rPr>
          <w:spacing w:val="-3"/>
        </w:rPr>
        <w:t> </w:t>
      </w:r>
      <w:r>
        <w:rPr>
          <w:spacing w:val="-2"/>
        </w:rPr>
        <w:t>application</w:t>
      </w:r>
    </w:p>
    <w:p>
      <w:pPr>
        <w:pStyle w:val="BodyText"/>
        <w:spacing w:line="259" w:lineRule="auto" w:before="179"/>
        <w:ind w:left="1336" w:right="1474"/>
        <w:jc w:val="both"/>
      </w:pPr>
      <w:r>
        <w:rPr/>
        <w:t>Claimants (and their representatives) were slightly more likely to report that they had</w:t>
      </w:r>
      <w:r>
        <w:rPr>
          <w:spacing w:val="-7"/>
        </w:rPr>
        <w:t> </w:t>
      </w:r>
      <w:r>
        <w:rPr/>
        <w:t>made</w:t>
      </w:r>
      <w:r>
        <w:rPr>
          <w:spacing w:val="-8"/>
        </w:rPr>
        <w:t> </w:t>
      </w:r>
      <w:r>
        <w:rPr/>
        <w:t>initial</w:t>
      </w:r>
      <w:r>
        <w:rPr>
          <w:spacing w:val="-8"/>
        </w:rPr>
        <w:t> </w:t>
      </w:r>
      <w:r>
        <w:rPr/>
        <w:t>contact</w:t>
      </w:r>
      <w:r>
        <w:rPr>
          <w:spacing w:val="-8"/>
        </w:rPr>
        <w:t> </w:t>
      </w:r>
      <w:r>
        <w:rPr/>
        <w:t>with</w:t>
      </w:r>
      <w:r>
        <w:rPr>
          <w:spacing w:val="-6"/>
        </w:rPr>
        <w:t> </w:t>
      </w:r>
      <w:r>
        <w:rPr/>
        <w:t>Acas</w:t>
      </w:r>
      <w:r>
        <w:rPr>
          <w:spacing w:val="-8"/>
        </w:rPr>
        <w:t> </w:t>
      </w:r>
      <w:r>
        <w:rPr/>
        <w:t>after</w:t>
      </w:r>
      <w:r>
        <w:rPr>
          <w:spacing w:val="-7"/>
        </w:rPr>
        <w:t> </w:t>
      </w:r>
      <w:r>
        <w:rPr/>
        <w:t>the</w:t>
      </w:r>
      <w:r>
        <w:rPr>
          <w:spacing w:val="-7"/>
        </w:rPr>
        <w:t> </w:t>
      </w:r>
      <w:r>
        <w:rPr/>
        <w:t>submission</w:t>
      </w:r>
      <w:r>
        <w:rPr>
          <w:spacing w:val="-6"/>
        </w:rPr>
        <w:t> </w:t>
      </w:r>
      <w:r>
        <w:rPr/>
        <w:t>of</w:t>
      </w:r>
      <w:r>
        <w:rPr>
          <w:spacing w:val="-7"/>
        </w:rPr>
        <w:t> </w:t>
      </w:r>
      <w:r>
        <w:rPr/>
        <w:t>the</w:t>
      </w:r>
      <w:r>
        <w:rPr>
          <w:spacing w:val="-8"/>
        </w:rPr>
        <w:t> </w:t>
      </w:r>
      <w:r>
        <w:rPr/>
        <w:t>ET1</w:t>
      </w:r>
      <w:r>
        <w:rPr>
          <w:spacing w:val="-8"/>
        </w:rPr>
        <w:t> </w:t>
      </w:r>
      <w:r>
        <w:rPr/>
        <w:t>form.</w:t>
      </w:r>
      <w:r>
        <w:rPr>
          <w:spacing w:val="-6"/>
        </w:rPr>
        <w:t> </w:t>
      </w:r>
      <w:r>
        <w:rPr/>
        <w:t>Removing those</w:t>
      </w:r>
      <w:r>
        <w:rPr>
          <w:spacing w:val="-15"/>
        </w:rPr>
        <w:t> </w:t>
      </w:r>
      <w:r>
        <w:rPr/>
        <w:t>who</w:t>
      </w:r>
      <w:r>
        <w:rPr>
          <w:spacing w:val="-14"/>
        </w:rPr>
        <w:t> </w:t>
      </w:r>
      <w:r>
        <w:rPr/>
        <w:t>could</w:t>
      </w:r>
      <w:r>
        <w:rPr>
          <w:spacing w:val="-14"/>
        </w:rPr>
        <w:t> </w:t>
      </w:r>
      <w:r>
        <w:rPr/>
        <w:t>not</w:t>
      </w:r>
      <w:r>
        <w:rPr>
          <w:spacing w:val="-14"/>
        </w:rPr>
        <w:t> </w:t>
      </w:r>
      <w:r>
        <w:rPr/>
        <w:t>recall</w:t>
      </w:r>
      <w:r>
        <w:rPr>
          <w:spacing w:val="-15"/>
        </w:rPr>
        <w:t> </w:t>
      </w:r>
      <w:r>
        <w:rPr/>
        <w:t>who</w:t>
      </w:r>
      <w:r>
        <w:rPr>
          <w:spacing w:val="-14"/>
        </w:rPr>
        <w:t> </w:t>
      </w:r>
      <w:r>
        <w:rPr/>
        <w:t>had</w:t>
      </w:r>
      <w:r>
        <w:rPr>
          <w:spacing w:val="-15"/>
        </w:rPr>
        <w:t> </w:t>
      </w:r>
      <w:r>
        <w:rPr/>
        <w:t>made</w:t>
      </w:r>
      <w:r>
        <w:rPr>
          <w:spacing w:val="-15"/>
        </w:rPr>
        <w:t> </w:t>
      </w:r>
      <w:r>
        <w:rPr/>
        <w:t>first</w:t>
      </w:r>
      <w:r>
        <w:rPr>
          <w:spacing w:val="-14"/>
        </w:rPr>
        <w:t> </w:t>
      </w:r>
      <w:r>
        <w:rPr/>
        <w:t>contact,</w:t>
      </w:r>
      <w:r>
        <w:rPr>
          <w:spacing w:val="-15"/>
        </w:rPr>
        <w:t> </w:t>
      </w:r>
      <w:r>
        <w:rPr/>
        <w:t>50</w:t>
      </w:r>
      <w:r>
        <w:rPr>
          <w:spacing w:val="-14"/>
        </w:rPr>
        <w:t> </w:t>
      </w:r>
      <w:r>
        <w:rPr/>
        <w:t>per</w:t>
      </w:r>
      <w:r>
        <w:rPr>
          <w:spacing w:val="-14"/>
        </w:rPr>
        <w:t> </w:t>
      </w:r>
      <w:r>
        <w:rPr/>
        <w:t>cent</w:t>
      </w:r>
      <w:r>
        <w:rPr>
          <w:spacing w:val="-14"/>
        </w:rPr>
        <w:t> </w:t>
      </w:r>
      <w:r>
        <w:rPr/>
        <w:t>on</w:t>
      </w:r>
      <w:r>
        <w:rPr>
          <w:spacing w:val="-14"/>
        </w:rPr>
        <w:t> </w:t>
      </w:r>
      <w:r>
        <w:rPr/>
        <w:t>the</w:t>
      </w:r>
      <w:r>
        <w:rPr>
          <w:spacing w:val="-15"/>
        </w:rPr>
        <w:t> </w:t>
      </w:r>
      <w:r>
        <w:rPr/>
        <w:t>claimant- side said they had made the first contact, while 46 per cent said that Acas had initiated contact. The comparable figures from 2016 were 61 per cent and 31 per cent</w:t>
      </w:r>
      <w:r>
        <w:rPr>
          <w:spacing w:val="-2"/>
        </w:rPr>
        <w:t> </w:t>
      </w:r>
      <w:r>
        <w:rPr/>
        <w:t>respectively.</w:t>
      </w:r>
      <w:r>
        <w:rPr>
          <w:spacing w:val="-1"/>
        </w:rPr>
        <w:t> </w:t>
      </w:r>
      <w:r>
        <w:rPr/>
        <w:t>Where</w:t>
      </w:r>
      <w:r>
        <w:rPr>
          <w:spacing w:val="-2"/>
        </w:rPr>
        <w:t> </w:t>
      </w:r>
      <w:r>
        <w:rPr/>
        <w:t>Acas</w:t>
      </w:r>
      <w:r>
        <w:rPr>
          <w:spacing w:val="-2"/>
        </w:rPr>
        <w:t> </w:t>
      </w:r>
      <w:r>
        <w:rPr/>
        <w:t>made</w:t>
      </w:r>
      <w:r>
        <w:rPr>
          <w:spacing w:val="-2"/>
        </w:rPr>
        <w:t> </w:t>
      </w:r>
      <w:r>
        <w:rPr/>
        <w:t>the</w:t>
      </w:r>
      <w:r>
        <w:rPr>
          <w:spacing w:val="-2"/>
        </w:rPr>
        <w:t> </w:t>
      </w:r>
      <w:r>
        <w:rPr/>
        <w:t>first</w:t>
      </w:r>
      <w:r>
        <w:rPr>
          <w:spacing w:val="-2"/>
        </w:rPr>
        <w:t> </w:t>
      </w:r>
      <w:r>
        <w:rPr/>
        <w:t>contact,</w:t>
      </w:r>
      <w:r>
        <w:rPr>
          <w:spacing w:val="-3"/>
        </w:rPr>
        <w:t> </w:t>
      </w:r>
      <w:r>
        <w:rPr/>
        <w:t>15</w:t>
      </w:r>
      <w:r>
        <w:rPr>
          <w:spacing w:val="-2"/>
        </w:rPr>
        <w:t> </w:t>
      </w:r>
      <w:r>
        <w:rPr/>
        <w:t>per</w:t>
      </w:r>
      <w:r>
        <w:rPr>
          <w:spacing w:val="-2"/>
        </w:rPr>
        <w:t> </w:t>
      </w:r>
      <w:r>
        <w:rPr/>
        <w:t>cent</w:t>
      </w:r>
      <w:r>
        <w:rPr>
          <w:spacing w:val="-2"/>
        </w:rPr>
        <w:t> </w:t>
      </w:r>
      <w:r>
        <w:rPr/>
        <w:t>of</w:t>
      </w:r>
      <w:r>
        <w:rPr>
          <w:spacing w:val="-1"/>
        </w:rPr>
        <w:t> </w:t>
      </w:r>
      <w:r>
        <w:rPr/>
        <w:t>claimant-side participants</w:t>
      </w:r>
      <w:r>
        <w:rPr>
          <w:spacing w:val="29"/>
        </w:rPr>
        <w:t> </w:t>
      </w:r>
      <w:r>
        <w:rPr/>
        <w:t>said</w:t>
      </w:r>
      <w:r>
        <w:rPr>
          <w:spacing w:val="29"/>
        </w:rPr>
        <w:t> </w:t>
      </w:r>
      <w:r>
        <w:rPr/>
        <w:t>this</w:t>
      </w:r>
      <w:r>
        <w:rPr>
          <w:spacing w:val="29"/>
        </w:rPr>
        <w:t> </w:t>
      </w:r>
      <w:r>
        <w:rPr/>
        <w:t>took</w:t>
      </w:r>
      <w:r>
        <w:rPr>
          <w:spacing w:val="30"/>
        </w:rPr>
        <w:t> </w:t>
      </w:r>
      <w:r>
        <w:rPr/>
        <w:t>place</w:t>
      </w:r>
      <w:r>
        <w:rPr>
          <w:spacing w:val="29"/>
        </w:rPr>
        <w:t> </w:t>
      </w:r>
      <w:r>
        <w:rPr/>
        <w:t>within</w:t>
      </w:r>
      <w:r>
        <w:rPr>
          <w:spacing w:val="30"/>
        </w:rPr>
        <w:t> </w:t>
      </w:r>
      <w:r>
        <w:rPr/>
        <w:t>two</w:t>
      </w:r>
      <w:r>
        <w:rPr>
          <w:spacing w:val="27"/>
        </w:rPr>
        <w:t> </w:t>
      </w:r>
      <w:r>
        <w:rPr/>
        <w:t>working</w:t>
      </w:r>
      <w:r>
        <w:rPr>
          <w:spacing w:val="29"/>
        </w:rPr>
        <w:t> </w:t>
      </w:r>
      <w:r>
        <w:rPr/>
        <w:t>days</w:t>
      </w:r>
      <w:r>
        <w:rPr>
          <w:spacing w:val="29"/>
        </w:rPr>
        <w:t> </w:t>
      </w:r>
      <w:r>
        <w:rPr/>
        <w:t>of</w:t>
      </w:r>
      <w:r>
        <w:rPr>
          <w:spacing w:val="29"/>
        </w:rPr>
        <w:t> </w:t>
      </w:r>
      <w:r>
        <w:rPr/>
        <w:t>them</w:t>
      </w:r>
      <w:r>
        <w:rPr>
          <w:spacing w:val="29"/>
        </w:rPr>
        <w:t> </w:t>
      </w:r>
      <w:r>
        <w:rPr/>
        <w:t>receiving</w:t>
      </w:r>
      <w:r>
        <w:rPr>
          <w:spacing w:val="29"/>
        </w:rPr>
        <w:t> </w:t>
      </w:r>
      <w:r>
        <w:rPr/>
        <w:t>the</w:t>
      </w:r>
    </w:p>
    <w:p>
      <w:pPr>
        <w:spacing w:after="0" w:line="259" w:lineRule="auto"/>
        <w:jc w:val="both"/>
        <w:sectPr>
          <w:pgSz w:w="11910" w:h="16840"/>
          <w:pgMar w:header="0" w:footer="996" w:top="1360" w:bottom="1180" w:left="460" w:right="320"/>
        </w:sectPr>
      </w:pPr>
    </w:p>
    <w:p>
      <w:pPr>
        <w:pStyle w:val="BodyText"/>
        <w:spacing w:line="259" w:lineRule="auto" w:before="82"/>
        <w:ind w:left="1337" w:right="1472"/>
        <w:jc w:val="both"/>
      </w:pPr>
      <w:r>
        <w:rPr/>
        <w:t>notification</w:t>
      </w:r>
      <w:r>
        <w:rPr>
          <w:spacing w:val="-8"/>
        </w:rPr>
        <w:t> </w:t>
      </w:r>
      <w:r>
        <w:rPr/>
        <w:t>letter</w:t>
      </w:r>
      <w:r>
        <w:rPr>
          <w:spacing w:val="-8"/>
        </w:rPr>
        <w:t> </w:t>
      </w:r>
      <w:r>
        <w:rPr/>
        <w:t>and</w:t>
      </w:r>
      <w:r>
        <w:rPr>
          <w:spacing w:val="-8"/>
        </w:rPr>
        <w:t> </w:t>
      </w:r>
      <w:r>
        <w:rPr/>
        <w:t>four</w:t>
      </w:r>
      <w:r>
        <w:rPr>
          <w:spacing w:val="-8"/>
        </w:rPr>
        <w:t> </w:t>
      </w:r>
      <w:r>
        <w:rPr/>
        <w:t>in</w:t>
      </w:r>
      <w:r>
        <w:rPr>
          <w:spacing w:val="-8"/>
        </w:rPr>
        <w:t> </w:t>
      </w:r>
      <w:r>
        <w:rPr/>
        <w:t>ten</w:t>
      </w:r>
      <w:r>
        <w:rPr>
          <w:spacing w:val="-8"/>
        </w:rPr>
        <w:t> </w:t>
      </w:r>
      <w:r>
        <w:rPr/>
        <w:t>(39</w:t>
      </w:r>
      <w:r>
        <w:rPr>
          <w:spacing w:val="-8"/>
        </w:rPr>
        <w:t> </w:t>
      </w:r>
      <w:r>
        <w:rPr/>
        <w:t>per</w:t>
      </w:r>
      <w:r>
        <w:rPr>
          <w:spacing w:val="-8"/>
        </w:rPr>
        <w:t> </w:t>
      </w:r>
      <w:r>
        <w:rPr/>
        <w:t>cent)</w:t>
      </w:r>
      <w:r>
        <w:rPr>
          <w:spacing w:val="-8"/>
        </w:rPr>
        <w:t> </w:t>
      </w:r>
      <w:r>
        <w:rPr/>
        <w:t>reported</w:t>
      </w:r>
      <w:r>
        <w:rPr>
          <w:spacing w:val="-8"/>
        </w:rPr>
        <w:t> </w:t>
      </w:r>
      <w:r>
        <w:rPr/>
        <w:t>that</w:t>
      </w:r>
      <w:r>
        <w:rPr>
          <w:spacing w:val="-8"/>
        </w:rPr>
        <w:t> </w:t>
      </w:r>
      <w:r>
        <w:rPr/>
        <w:t>this</w:t>
      </w:r>
      <w:r>
        <w:rPr>
          <w:spacing w:val="-8"/>
        </w:rPr>
        <w:t> </w:t>
      </w:r>
      <w:r>
        <w:rPr/>
        <w:t>contact</w:t>
      </w:r>
      <w:r>
        <w:rPr>
          <w:spacing w:val="-8"/>
        </w:rPr>
        <w:t> </w:t>
      </w:r>
      <w:r>
        <w:rPr/>
        <w:t>happened between</w:t>
      </w:r>
      <w:r>
        <w:rPr>
          <w:spacing w:val="-8"/>
        </w:rPr>
        <w:t> </w:t>
      </w:r>
      <w:r>
        <w:rPr/>
        <w:t>two</w:t>
      </w:r>
      <w:r>
        <w:rPr>
          <w:spacing w:val="-7"/>
        </w:rPr>
        <w:t> </w:t>
      </w:r>
      <w:r>
        <w:rPr/>
        <w:t>working</w:t>
      </w:r>
      <w:r>
        <w:rPr>
          <w:spacing w:val="-7"/>
        </w:rPr>
        <w:t> </w:t>
      </w:r>
      <w:r>
        <w:rPr/>
        <w:t>days</w:t>
      </w:r>
      <w:r>
        <w:rPr>
          <w:spacing w:val="-7"/>
        </w:rPr>
        <w:t> </w:t>
      </w:r>
      <w:r>
        <w:rPr/>
        <w:t>and</w:t>
      </w:r>
      <w:r>
        <w:rPr>
          <w:spacing w:val="-8"/>
        </w:rPr>
        <w:t> </w:t>
      </w:r>
      <w:r>
        <w:rPr/>
        <w:t>a</w:t>
      </w:r>
      <w:r>
        <w:rPr>
          <w:spacing w:val="-8"/>
        </w:rPr>
        <w:t> </w:t>
      </w:r>
      <w:r>
        <w:rPr/>
        <w:t>week</w:t>
      </w:r>
      <w:r>
        <w:rPr>
          <w:spacing w:val="-7"/>
        </w:rPr>
        <w:t> </w:t>
      </w:r>
      <w:r>
        <w:rPr/>
        <w:t>of</w:t>
      </w:r>
      <w:r>
        <w:rPr>
          <w:spacing w:val="-6"/>
        </w:rPr>
        <w:t> </w:t>
      </w:r>
      <w:r>
        <w:rPr/>
        <w:t>them</w:t>
      </w:r>
      <w:r>
        <w:rPr>
          <w:spacing w:val="-7"/>
        </w:rPr>
        <w:t> </w:t>
      </w:r>
      <w:r>
        <w:rPr/>
        <w:t>receiving</w:t>
      </w:r>
      <w:r>
        <w:rPr>
          <w:spacing w:val="-7"/>
        </w:rPr>
        <w:t> </w:t>
      </w:r>
      <w:r>
        <w:rPr/>
        <w:t>the</w:t>
      </w:r>
      <w:r>
        <w:rPr>
          <w:spacing w:val="-7"/>
        </w:rPr>
        <w:t> </w:t>
      </w:r>
      <w:r>
        <w:rPr/>
        <w:t>letter.</w:t>
      </w:r>
      <w:r>
        <w:rPr>
          <w:spacing w:val="-7"/>
        </w:rPr>
        <w:t> </w:t>
      </w:r>
      <w:r>
        <w:rPr/>
        <w:t>Just</w:t>
      </w:r>
      <w:r>
        <w:rPr>
          <w:spacing w:val="-7"/>
        </w:rPr>
        <w:t> </w:t>
      </w:r>
      <w:r>
        <w:rPr/>
        <w:t>under</w:t>
      </w:r>
      <w:r>
        <w:rPr>
          <w:spacing w:val="-8"/>
        </w:rPr>
        <w:t> </w:t>
      </w:r>
      <w:r>
        <w:rPr/>
        <w:t>half (48 per cent) of employers did not recall when contact was first made by Acas, perhaps reflecting their more passive role in this stage of the process.</w:t>
      </w:r>
    </w:p>
    <w:p>
      <w:pPr>
        <w:pStyle w:val="BodyText"/>
        <w:spacing w:line="259" w:lineRule="auto" w:before="159"/>
        <w:ind w:left="1337" w:right="1474"/>
        <w:jc w:val="both"/>
      </w:pPr>
      <w:r>
        <w:rPr/>
        <w:t>Just over half (55 per cent) of claimant-side participants who had been in contact with</w:t>
      </w:r>
      <w:r>
        <w:rPr>
          <w:spacing w:val="-18"/>
        </w:rPr>
        <w:t> </w:t>
      </w:r>
      <w:r>
        <w:rPr/>
        <w:t>Acas</w:t>
      </w:r>
      <w:r>
        <w:rPr>
          <w:spacing w:val="-18"/>
        </w:rPr>
        <w:t> </w:t>
      </w:r>
      <w:r>
        <w:rPr/>
        <w:t>since</w:t>
      </w:r>
      <w:r>
        <w:rPr>
          <w:spacing w:val="-17"/>
        </w:rPr>
        <w:t> </w:t>
      </w:r>
      <w:r>
        <w:rPr/>
        <w:t>the</w:t>
      </w:r>
      <w:r>
        <w:rPr>
          <w:spacing w:val="-18"/>
        </w:rPr>
        <w:t> </w:t>
      </w:r>
      <w:r>
        <w:rPr/>
        <w:t>submission</w:t>
      </w:r>
      <w:r>
        <w:rPr>
          <w:spacing w:val="-17"/>
        </w:rPr>
        <w:t> </w:t>
      </w:r>
      <w:r>
        <w:rPr/>
        <w:t>of</w:t>
      </w:r>
      <w:r>
        <w:rPr>
          <w:spacing w:val="-18"/>
        </w:rPr>
        <w:t> </w:t>
      </w:r>
      <w:r>
        <w:rPr/>
        <w:t>their</w:t>
      </w:r>
      <w:r>
        <w:rPr>
          <w:spacing w:val="-18"/>
        </w:rPr>
        <w:t> </w:t>
      </w:r>
      <w:r>
        <w:rPr/>
        <w:t>ET</w:t>
      </w:r>
      <w:r>
        <w:rPr>
          <w:spacing w:val="-17"/>
        </w:rPr>
        <w:t> </w:t>
      </w:r>
      <w:r>
        <w:rPr/>
        <w:t>claim</w:t>
      </w:r>
      <w:r>
        <w:rPr>
          <w:spacing w:val="-18"/>
        </w:rPr>
        <w:t> </w:t>
      </w:r>
      <w:r>
        <w:rPr/>
        <w:t>confirmed</w:t>
      </w:r>
      <w:r>
        <w:rPr>
          <w:spacing w:val="-17"/>
        </w:rPr>
        <w:t> </w:t>
      </w:r>
      <w:r>
        <w:rPr/>
        <w:t>taking</w:t>
      </w:r>
      <w:r>
        <w:rPr>
          <w:spacing w:val="-18"/>
        </w:rPr>
        <w:t> </w:t>
      </w:r>
      <w:r>
        <w:rPr/>
        <w:t>part</w:t>
      </w:r>
      <w:r>
        <w:rPr>
          <w:spacing w:val="-17"/>
        </w:rPr>
        <w:t> </w:t>
      </w:r>
      <w:r>
        <w:rPr/>
        <w:t>in</w:t>
      </w:r>
      <w:r>
        <w:rPr>
          <w:spacing w:val="-18"/>
        </w:rPr>
        <w:t> </w:t>
      </w:r>
      <w:r>
        <w:rPr/>
        <w:t>conciliation at</w:t>
      </w:r>
      <w:r>
        <w:rPr>
          <w:spacing w:val="-11"/>
        </w:rPr>
        <w:t> </w:t>
      </w:r>
      <w:r>
        <w:rPr/>
        <w:t>this</w:t>
      </w:r>
      <w:r>
        <w:rPr>
          <w:spacing w:val="-11"/>
        </w:rPr>
        <w:t> </w:t>
      </w:r>
      <w:r>
        <w:rPr/>
        <w:t>point.</w:t>
      </w:r>
      <w:r>
        <w:rPr>
          <w:spacing w:val="-11"/>
        </w:rPr>
        <w:t> </w:t>
      </w:r>
      <w:r>
        <w:rPr/>
        <w:t>This</w:t>
      </w:r>
      <w:r>
        <w:rPr>
          <w:spacing w:val="-11"/>
        </w:rPr>
        <w:t> </w:t>
      </w:r>
      <w:r>
        <w:rPr/>
        <w:t>proportion</w:t>
      </w:r>
      <w:r>
        <w:rPr>
          <w:spacing w:val="-11"/>
        </w:rPr>
        <w:t> </w:t>
      </w:r>
      <w:r>
        <w:rPr/>
        <w:t>was</w:t>
      </w:r>
      <w:r>
        <w:rPr>
          <w:spacing w:val="-12"/>
        </w:rPr>
        <w:t> </w:t>
      </w:r>
      <w:r>
        <w:rPr/>
        <w:t>similar</w:t>
      </w:r>
      <w:r>
        <w:rPr>
          <w:spacing w:val="-11"/>
        </w:rPr>
        <w:t> </w:t>
      </w:r>
      <w:r>
        <w:rPr/>
        <w:t>among</w:t>
      </w:r>
      <w:r>
        <w:rPr>
          <w:spacing w:val="-11"/>
        </w:rPr>
        <w:t> </w:t>
      </w:r>
      <w:r>
        <w:rPr/>
        <w:t>employer-side</w:t>
      </w:r>
      <w:r>
        <w:rPr>
          <w:spacing w:val="-12"/>
        </w:rPr>
        <w:t> </w:t>
      </w:r>
      <w:r>
        <w:rPr/>
        <w:t>participants</w:t>
      </w:r>
      <w:r>
        <w:rPr>
          <w:spacing w:val="-12"/>
        </w:rPr>
        <w:t> </w:t>
      </w:r>
      <w:r>
        <w:rPr/>
        <w:t>(58</w:t>
      </w:r>
      <w:r>
        <w:rPr>
          <w:spacing w:val="-13"/>
        </w:rPr>
        <w:t> </w:t>
      </w:r>
      <w:r>
        <w:rPr/>
        <w:t>per cent). This level of service uptake for post-ET1 was lower than the uptake of EC, which was 68 per cent across both audiences.</w:t>
      </w:r>
    </w:p>
    <w:p>
      <w:pPr>
        <w:pStyle w:val="BodyText"/>
        <w:spacing w:line="259" w:lineRule="auto" w:before="159"/>
        <w:ind w:left="1337" w:right="1472"/>
        <w:jc w:val="both"/>
      </w:pPr>
      <w:r>
        <w:rPr/>
        <w:t>Driver analysis for both employer- and claimant-side participants found that recalling</w:t>
      </w:r>
      <w:r>
        <w:rPr>
          <w:spacing w:val="-13"/>
        </w:rPr>
        <w:t> </w:t>
      </w:r>
      <w:r>
        <w:rPr/>
        <w:t>receiving</w:t>
      </w:r>
      <w:r>
        <w:rPr>
          <w:spacing w:val="-13"/>
        </w:rPr>
        <w:t> </w:t>
      </w:r>
      <w:r>
        <w:rPr/>
        <w:t>a</w:t>
      </w:r>
      <w:r>
        <w:rPr>
          <w:spacing w:val="-13"/>
        </w:rPr>
        <w:t> </w:t>
      </w:r>
      <w:r>
        <w:rPr/>
        <w:t>letter</w:t>
      </w:r>
      <w:r>
        <w:rPr>
          <w:spacing w:val="-13"/>
        </w:rPr>
        <w:t> </w:t>
      </w:r>
      <w:r>
        <w:rPr/>
        <w:t>from</w:t>
      </w:r>
      <w:r>
        <w:rPr>
          <w:spacing w:val="-13"/>
        </w:rPr>
        <w:t> </w:t>
      </w:r>
      <w:r>
        <w:rPr/>
        <w:t>the</w:t>
      </w:r>
      <w:r>
        <w:rPr>
          <w:spacing w:val="-15"/>
        </w:rPr>
        <w:t> </w:t>
      </w:r>
      <w:r>
        <w:rPr/>
        <w:t>Acas</w:t>
      </w:r>
      <w:r>
        <w:rPr>
          <w:spacing w:val="-13"/>
        </w:rPr>
        <w:t> </w:t>
      </w:r>
      <w:r>
        <w:rPr/>
        <w:t>conciliator</w:t>
      </w:r>
      <w:r>
        <w:rPr>
          <w:spacing w:val="-13"/>
        </w:rPr>
        <w:t> </w:t>
      </w:r>
      <w:r>
        <w:rPr/>
        <w:t>saying</w:t>
      </w:r>
      <w:r>
        <w:rPr>
          <w:spacing w:val="-14"/>
        </w:rPr>
        <w:t> </w:t>
      </w:r>
      <w:r>
        <w:rPr/>
        <w:t>they</w:t>
      </w:r>
      <w:r>
        <w:rPr>
          <w:spacing w:val="-14"/>
        </w:rPr>
        <w:t> </w:t>
      </w:r>
      <w:r>
        <w:rPr/>
        <w:t>would</w:t>
      </w:r>
      <w:r>
        <w:rPr>
          <w:spacing w:val="-14"/>
        </w:rPr>
        <w:t> </w:t>
      </w:r>
      <w:r>
        <w:rPr/>
        <w:t>be</w:t>
      </w:r>
      <w:r>
        <w:rPr>
          <w:spacing w:val="-13"/>
        </w:rPr>
        <w:t> </w:t>
      </w:r>
      <w:r>
        <w:rPr/>
        <w:t>in</w:t>
      </w:r>
      <w:r>
        <w:rPr>
          <w:spacing w:val="-12"/>
        </w:rPr>
        <w:t> </w:t>
      </w:r>
      <w:r>
        <w:rPr/>
        <w:t>contact to try and settle the case and participation in EC in the same dispute were both associated with an increased likelihood of participating in post-ET1 conciliation. Additionally, for claimants, being from a white ethnic background was associated with a lower likelihood of participating in post-ET1.</w:t>
      </w:r>
    </w:p>
    <w:p>
      <w:pPr>
        <w:pStyle w:val="Heading3"/>
        <w:spacing w:before="158"/>
      </w:pPr>
      <w:r>
        <w:rPr/>
        <w:t>The</w:t>
      </w:r>
      <w:r>
        <w:rPr>
          <w:spacing w:val="-5"/>
        </w:rPr>
        <w:t> </w:t>
      </w:r>
      <w:r>
        <w:rPr/>
        <w:t>post-ET1</w:t>
      </w:r>
      <w:r>
        <w:rPr>
          <w:spacing w:val="-5"/>
        </w:rPr>
        <w:t> </w:t>
      </w:r>
      <w:r>
        <w:rPr/>
        <w:t>conciliation</w:t>
      </w:r>
      <w:r>
        <w:rPr>
          <w:spacing w:val="-5"/>
        </w:rPr>
        <w:t> </w:t>
      </w:r>
      <w:r>
        <w:rPr>
          <w:spacing w:val="-2"/>
        </w:rPr>
        <w:t>experience</w:t>
      </w:r>
    </w:p>
    <w:p>
      <w:pPr>
        <w:pStyle w:val="BodyText"/>
        <w:spacing w:line="259" w:lineRule="auto" w:before="180"/>
        <w:ind w:left="1337" w:right="1472"/>
        <w:jc w:val="both"/>
      </w:pPr>
      <w:r>
        <w:rPr/>
        <w:t>A large majority of claimant and employer-side participants who were in contact with</w:t>
      </w:r>
      <w:r>
        <w:rPr>
          <w:spacing w:val="-17"/>
        </w:rPr>
        <w:t> </w:t>
      </w:r>
      <w:r>
        <w:rPr/>
        <w:t>a</w:t>
      </w:r>
      <w:r>
        <w:rPr>
          <w:spacing w:val="-17"/>
        </w:rPr>
        <w:t> </w:t>
      </w:r>
      <w:r>
        <w:rPr/>
        <w:t>conciliator</w:t>
      </w:r>
      <w:r>
        <w:rPr>
          <w:spacing w:val="-17"/>
        </w:rPr>
        <w:t> </w:t>
      </w:r>
      <w:r>
        <w:rPr/>
        <w:t>dealt</w:t>
      </w:r>
      <w:r>
        <w:rPr>
          <w:spacing w:val="-16"/>
        </w:rPr>
        <w:t> </w:t>
      </w:r>
      <w:r>
        <w:rPr/>
        <w:t>with</w:t>
      </w:r>
      <w:r>
        <w:rPr>
          <w:spacing w:val="-17"/>
        </w:rPr>
        <w:t> </w:t>
      </w:r>
      <w:r>
        <w:rPr/>
        <w:t>only</w:t>
      </w:r>
      <w:r>
        <w:rPr>
          <w:spacing w:val="-16"/>
        </w:rPr>
        <w:t> </w:t>
      </w:r>
      <w:r>
        <w:rPr/>
        <w:t>one</w:t>
      </w:r>
      <w:r>
        <w:rPr>
          <w:spacing w:val="-17"/>
        </w:rPr>
        <w:t> </w:t>
      </w:r>
      <w:r>
        <w:rPr/>
        <w:t>(both</w:t>
      </w:r>
      <w:r>
        <w:rPr>
          <w:spacing w:val="-17"/>
        </w:rPr>
        <w:t> </w:t>
      </w:r>
      <w:r>
        <w:rPr/>
        <w:t>71</w:t>
      </w:r>
      <w:r>
        <w:rPr>
          <w:spacing w:val="-18"/>
        </w:rPr>
        <w:t> </w:t>
      </w:r>
      <w:r>
        <w:rPr/>
        <w:t>per</w:t>
      </w:r>
      <w:r>
        <w:rPr>
          <w:spacing w:val="-16"/>
        </w:rPr>
        <w:t> </w:t>
      </w:r>
      <w:r>
        <w:rPr/>
        <w:t>cent).</w:t>
      </w:r>
      <w:r>
        <w:rPr>
          <w:spacing w:val="-17"/>
        </w:rPr>
        <w:t> </w:t>
      </w:r>
      <w:r>
        <w:rPr/>
        <w:t>Overall,</w:t>
      </w:r>
      <w:r>
        <w:rPr>
          <w:spacing w:val="-16"/>
        </w:rPr>
        <w:t> </w:t>
      </w:r>
      <w:r>
        <w:rPr/>
        <w:t>telephone</w:t>
      </w:r>
      <w:r>
        <w:rPr>
          <w:spacing w:val="-17"/>
        </w:rPr>
        <w:t> </w:t>
      </w:r>
      <w:r>
        <w:rPr/>
        <w:t>remains the</w:t>
      </w:r>
      <w:r>
        <w:rPr>
          <w:spacing w:val="-2"/>
        </w:rPr>
        <w:t> </w:t>
      </w:r>
      <w:r>
        <w:rPr/>
        <w:t>main</w:t>
      </w:r>
      <w:r>
        <w:rPr>
          <w:spacing w:val="-1"/>
        </w:rPr>
        <w:t> </w:t>
      </w:r>
      <w:r>
        <w:rPr/>
        <w:t>method</w:t>
      </w:r>
      <w:r>
        <w:rPr>
          <w:spacing w:val="-2"/>
        </w:rPr>
        <w:t> </w:t>
      </w:r>
      <w:r>
        <w:rPr/>
        <w:t>of</w:t>
      </w:r>
      <w:r>
        <w:rPr>
          <w:spacing w:val="-2"/>
        </w:rPr>
        <w:t> </w:t>
      </w:r>
      <w:r>
        <w:rPr/>
        <w:t>contact</w:t>
      </w:r>
      <w:r>
        <w:rPr>
          <w:spacing w:val="-3"/>
        </w:rPr>
        <w:t> </w:t>
      </w:r>
      <w:r>
        <w:rPr/>
        <w:t>for</w:t>
      </w:r>
      <w:r>
        <w:rPr>
          <w:spacing w:val="-2"/>
        </w:rPr>
        <w:t> </w:t>
      </w:r>
      <w:r>
        <w:rPr/>
        <w:t>service</w:t>
      </w:r>
      <w:r>
        <w:rPr>
          <w:spacing w:val="-2"/>
        </w:rPr>
        <w:t> </w:t>
      </w:r>
      <w:r>
        <w:rPr/>
        <w:t>users,</w:t>
      </w:r>
      <w:r>
        <w:rPr>
          <w:spacing w:val="-1"/>
        </w:rPr>
        <w:t> </w:t>
      </w:r>
      <w:r>
        <w:rPr/>
        <w:t>although</w:t>
      </w:r>
      <w:r>
        <w:rPr>
          <w:spacing w:val="-1"/>
        </w:rPr>
        <w:t> </w:t>
      </w:r>
      <w:r>
        <w:rPr/>
        <w:t>employer-side</w:t>
      </w:r>
      <w:r>
        <w:rPr>
          <w:spacing w:val="-2"/>
        </w:rPr>
        <w:t> </w:t>
      </w:r>
      <w:r>
        <w:rPr/>
        <w:t>participants were equally likely to use email or telephone. Use of email has risen significantly since 2016 and is higher still among employer representatives, for whom it is the most-used</w:t>
      </w:r>
      <w:r>
        <w:rPr>
          <w:spacing w:val="-8"/>
        </w:rPr>
        <w:t> </w:t>
      </w:r>
      <w:r>
        <w:rPr/>
        <w:t>method</w:t>
      </w:r>
      <w:r>
        <w:rPr>
          <w:spacing w:val="-6"/>
        </w:rPr>
        <w:t> </w:t>
      </w:r>
      <w:r>
        <w:rPr/>
        <w:t>of</w:t>
      </w:r>
      <w:r>
        <w:rPr>
          <w:spacing w:val="-7"/>
        </w:rPr>
        <w:t> </w:t>
      </w:r>
      <w:r>
        <w:rPr/>
        <w:t>contact.</w:t>
      </w:r>
      <w:r>
        <w:rPr>
          <w:spacing w:val="-7"/>
        </w:rPr>
        <w:t> </w:t>
      </w:r>
      <w:r>
        <w:rPr/>
        <w:t>For</w:t>
      </w:r>
      <w:r>
        <w:rPr>
          <w:spacing w:val="-8"/>
        </w:rPr>
        <w:t> </w:t>
      </w:r>
      <w:r>
        <w:rPr/>
        <w:t>those</w:t>
      </w:r>
      <w:r>
        <w:rPr>
          <w:spacing w:val="-7"/>
        </w:rPr>
        <w:t> </w:t>
      </w:r>
      <w:r>
        <w:rPr/>
        <w:t>where</w:t>
      </w:r>
      <w:r>
        <w:rPr>
          <w:spacing w:val="-6"/>
        </w:rPr>
        <w:t> </w:t>
      </w:r>
      <w:r>
        <w:rPr/>
        <w:t>post-ET1</w:t>
      </w:r>
      <w:r>
        <w:rPr>
          <w:spacing w:val="-7"/>
        </w:rPr>
        <w:t> </w:t>
      </w:r>
      <w:r>
        <w:rPr/>
        <w:t>took</w:t>
      </w:r>
      <w:r>
        <w:rPr>
          <w:spacing w:val="-5"/>
        </w:rPr>
        <w:t> </w:t>
      </w:r>
      <w:r>
        <w:rPr/>
        <w:t>place,</w:t>
      </w:r>
      <w:r>
        <w:rPr>
          <w:spacing w:val="-5"/>
        </w:rPr>
        <w:t> </w:t>
      </w:r>
      <w:r>
        <w:rPr/>
        <w:t>70</w:t>
      </w:r>
      <w:r>
        <w:rPr>
          <w:spacing w:val="-6"/>
        </w:rPr>
        <w:t> </w:t>
      </w:r>
      <w:r>
        <w:rPr/>
        <w:t>per</w:t>
      </w:r>
      <w:r>
        <w:rPr>
          <w:spacing w:val="-6"/>
        </w:rPr>
        <w:t> </w:t>
      </w:r>
      <w:r>
        <w:rPr/>
        <w:t>cent</w:t>
      </w:r>
      <w:r>
        <w:rPr>
          <w:spacing w:val="-7"/>
        </w:rPr>
        <w:t> </w:t>
      </w:r>
      <w:r>
        <w:rPr/>
        <w:t>of claimant-side and 81 per cent of employer-side participants were happy with the amount of contact they received from Acas during the dispute. Regardless of whether conciliation took place, both audiences agreed that the conciliator was available when needed (69 per cent of claimant-side participants and 65 per cent of employer-side participants respectively).</w:t>
      </w:r>
    </w:p>
    <w:p>
      <w:pPr>
        <w:pStyle w:val="BodyText"/>
        <w:spacing w:line="259" w:lineRule="auto" w:before="157"/>
        <w:ind w:left="1337" w:right="1473"/>
        <w:jc w:val="both"/>
      </w:pPr>
      <w:r>
        <w:rPr/>
        <w:t>Ratings of the Acas conciliator remained positive across claimant and employer- side participants in conciliation. Conciliators were rated highest for ‘relaying proposals</w:t>
      </w:r>
      <w:r>
        <w:rPr>
          <w:spacing w:val="-18"/>
        </w:rPr>
        <w:t> </w:t>
      </w:r>
      <w:r>
        <w:rPr/>
        <w:t>and</w:t>
      </w:r>
      <w:r>
        <w:rPr>
          <w:spacing w:val="-18"/>
        </w:rPr>
        <w:t> </w:t>
      </w:r>
      <w:r>
        <w:rPr/>
        <w:t>offers</w:t>
      </w:r>
      <w:r>
        <w:rPr>
          <w:spacing w:val="-17"/>
        </w:rPr>
        <w:t> </w:t>
      </w:r>
      <w:r>
        <w:rPr/>
        <w:t>to</w:t>
      </w:r>
      <w:r>
        <w:rPr>
          <w:spacing w:val="-18"/>
        </w:rPr>
        <w:t> </w:t>
      </w:r>
      <w:r>
        <w:rPr/>
        <w:t>and</w:t>
      </w:r>
      <w:r>
        <w:rPr>
          <w:spacing w:val="-17"/>
        </w:rPr>
        <w:t> </w:t>
      </w:r>
      <w:r>
        <w:rPr/>
        <w:t>from</w:t>
      </w:r>
      <w:r>
        <w:rPr>
          <w:spacing w:val="-18"/>
        </w:rPr>
        <w:t> </w:t>
      </w:r>
      <w:r>
        <w:rPr/>
        <w:t>employer</w:t>
      </w:r>
      <w:r>
        <w:rPr>
          <w:spacing w:val="-18"/>
        </w:rPr>
        <w:t> </w:t>
      </w:r>
      <w:r>
        <w:rPr/>
        <w:t>/</w:t>
      </w:r>
      <w:r>
        <w:rPr>
          <w:spacing w:val="-17"/>
        </w:rPr>
        <w:t> </w:t>
      </w:r>
      <w:r>
        <w:rPr/>
        <w:t>claimant’</w:t>
      </w:r>
      <w:r>
        <w:rPr>
          <w:spacing w:val="-18"/>
        </w:rPr>
        <w:t> </w:t>
      </w:r>
      <w:r>
        <w:rPr/>
        <w:t>(73</w:t>
      </w:r>
      <w:r>
        <w:rPr>
          <w:spacing w:val="-17"/>
        </w:rPr>
        <w:t> </w:t>
      </w:r>
      <w:r>
        <w:rPr/>
        <w:t>per</w:t>
      </w:r>
      <w:r>
        <w:rPr>
          <w:spacing w:val="-18"/>
        </w:rPr>
        <w:t> </w:t>
      </w:r>
      <w:r>
        <w:rPr/>
        <w:t>cent</w:t>
      </w:r>
      <w:r>
        <w:rPr>
          <w:spacing w:val="-17"/>
        </w:rPr>
        <w:t> </w:t>
      </w:r>
      <w:r>
        <w:rPr/>
        <w:t>among</w:t>
      </w:r>
      <w:r>
        <w:rPr>
          <w:spacing w:val="-18"/>
        </w:rPr>
        <w:t> </w:t>
      </w:r>
      <w:r>
        <w:rPr/>
        <w:t>claimant- side</w:t>
      </w:r>
      <w:r>
        <w:rPr>
          <w:spacing w:val="-13"/>
        </w:rPr>
        <w:t> </w:t>
      </w:r>
      <w:r>
        <w:rPr/>
        <w:t>participants</w:t>
      </w:r>
      <w:r>
        <w:rPr>
          <w:spacing w:val="-13"/>
        </w:rPr>
        <w:t> </w:t>
      </w:r>
      <w:r>
        <w:rPr/>
        <w:t>and</w:t>
      </w:r>
      <w:r>
        <w:rPr>
          <w:spacing w:val="-13"/>
        </w:rPr>
        <w:t> </w:t>
      </w:r>
      <w:r>
        <w:rPr/>
        <w:t>78</w:t>
      </w:r>
      <w:r>
        <w:rPr>
          <w:spacing w:val="-14"/>
        </w:rPr>
        <w:t> </w:t>
      </w:r>
      <w:r>
        <w:rPr/>
        <w:t>per</w:t>
      </w:r>
      <w:r>
        <w:rPr>
          <w:spacing w:val="-13"/>
        </w:rPr>
        <w:t> </w:t>
      </w:r>
      <w:r>
        <w:rPr/>
        <w:t>cent</w:t>
      </w:r>
      <w:r>
        <w:rPr>
          <w:spacing w:val="-12"/>
        </w:rPr>
        <w:t> </w:t>
      </w:r>
      <w:r>
        <w:rPr/>
        <w:t>among</w:t>
      </w:r>
      <w:r>
        <w:rPr>
          <w:spacing w:val="-13"/>
        </w:rPr>
        <w:t> </w:t>
      </w:r>
      <w:r>
        <w:rPr/>
        <w:t>employer-side</w:t>
      </w:r>
      <w:r>
        <w:rPr>
          <w:spacing w:val="-13"/>
        </w:rPr>
        <w:t> </w:t>
      </w:r>
      <w:r>
        <w:rPr/>
        <w:t>participants)</w:t>
      </w:r>
      <w:r>
        <w:rPr>
          <w:spacing w:val="-12"/>
        </w:rPr>
        <w:t> </w:t>
      </w:r>
      <w:r>
        <w:rPr/>
        <w:t>and</w:t>
      </w:r>
      <w:r>
        <w:rPr>
          <w:spacing w:val="-13"/>
        </w:rPr>
        <w:t> </w:t>
      </w:r>
      <w:r>
        <w:rPr/>
        <w:t>lowest</w:t>
      </w:r>
      <w:r>
        <w:rPr>
          <w:spacing w:val="-12"/>
        </w:rPr>
        <w:t> </w:t>
      </w:r>
      <w:r>
        <w:rPr/>
        <w:t>for ‘helping you understand</w:t>
      </w:r>
      <w:r>
        <w:rPr>
          <w:spacing w:val="-1"/>
        </w:rPr>
        <w:t> </w:t>
      </w:r>
      <w:r>
        <w:rPr/>
        <w:t>the strengths and</w:t>
      </w:r>
      <w:r>
        <w:rPr>
          <w:spacing w:val="-1"/>
        </w:rPr>
        <w:t> </w:t>
      </w:r>
      <w:r>
        <w:rPr/>
        <w:t>weaknesses of this potential claim’ (55 per</w:t>
      </w:r>
      <w:r>
        <w:rPr>
          <w:spacing w:val="-5"/>
        </w:rPr>
        <w:t> </w:t>
      </w:r>
      <w:r>
        <w:rPr/>
        <w:t>cent</w:t>
      </w:r>
      <w:r>
        <w:rPr>
          <w:spacing w:val="-5"/>
        </w:rPr>
        <w:t> </w:t>
      </w:r>
      <w:r>
        <w:rPr/>
        <w:t>and</w:t>
      </w:r>
      <w:r>
        <w:rPr>
          <w:spacing w:val="-4"/>
        </w:rPr>
        <w:t> </w:t>
      </w:r>
      <w:r>
        <w:rPr/>
        <w:t>34</w:t>
      </w:r>
      <w:r>
        <w:rPr>
          <w:spacing w:val="-6"/>
        </w:rPr>
        <w:t> </w:t>
      </w:r>
      <w:r>
        <w:rPr/>
        <w:t>per</w:t>
      </w:r>
      <w:r>
        <w:rPr>
          <w:spacing w:val="-5"/>
        </w:rPr>
        <w:t> </w:t>
      </w:r>
      <w:r>
        <w:rPr/>
        <w:t>cent</w:t>
      </w:r>
      <w:r>
        <w:rPr>
          <w:spacing w:val="-5"/>
        </w:rPr>
        <w:t> </w:t>
      </w:r>
      <w:r>
        <w:rPr/>
        <w:t>respectively).</w:t>
      </w:r>
      <w:r>
        <w:rPr>
          <w:spacing w:val="-4"/>
        </w:rPr>
        <w:t> </w:t>
      </w:r>
      <w:r>
        <w:rPr/>
        <w:t>However,</w:t>
      </w:r>
      <w:r>
        <w:rPr>
          <w:spacing w:val="-4"/>
        </w:rPr>
        <w:t> </w:t>
      </w:r>
      <w:r>
        <w:rPr/>
        <w:t>for</w:t>
      </w:r>
      <w:r>
        <w:rPr>
          <w:spacing w:val="-6"/>
        </w:rPr>
        <w:t> </w:t>
      </w:r>
      <w:r>
        <w:rPr/>
        <w:t>the</w:t>
      </w:r>
      <w:r>
        <w:rPr>
          <w:spacing w:val="-6"/>
        </w:rPr>
        <w:t> </w:t>
      </w:r>
      <w:r>
        <w:rPr/>
        <w:t>latter,</w:t>
      </w:r>
      <w:r>
        <w:rPr>
          <w:spacing w:val="-4"/>
        </w:rPr>
        <w:t> </w:t>
      </w:r>
      <w:r>
        <w:rPr/>
        <w:t>only</w:t>
      </w:r>
      <w:r>
        <w:rPr>
          <w:spacing w:val="-5"/>
        </w:rPr>
        <w:t> </w:t>
      </w:r>
      <w:r>
        <w:rPr/>
        <w:t>13</w:t>
      </w:r>
      <w:r>
        <w:rPr>
          <w:spacing w:val="-5"/>
        </w:rPr>
        <w:t> </w:t>
      </w:r>
      <w:r>
        <w:rPr/>
        <w:t>and</w:t>
      </w:r>
      <w:r>
        <w:rPr>
          <w:spacing w:val="-6"/>
        </w:rPr>
        <w:t> </w:t>
      </w:r>
      <w:r>
        <w:rPr/>
        <w:t>11</w:t>
      </w:r>
      <w:r>
        <w:rPr>
          <w:spacing w:val="-6"/>
        </w:rPr>
        <w:t> </w:t>
      </w:r>
      <w:r>
        <w:rPr/>
        <w:t>per cent respectively rated the conciliator as explicitly ‘poor’ in this area – suggesting this was not always seen as necessary by those participating in conciliation.</w:t>
      </w:r>
    </w:p>
    <w:p>
      <w:pPr>
        <w:pStyle w:val="BodyText"/>
        <w:spacing w:line="259" w:lineRule="auto" w:before="158"/>
        <w:ind w:left="1337" w:right="1472"/>
      </w:pPr>
      <w:r>
        <w:rPr/>
        <w:t>Related to this, claimants and employers tended to be more positive about conciliators than their representatives. However, rather than being more negative about</w:t>
      </w:r>
      <w:r>
        <w:rPr>
          <w:spacing w:val="-4"/>
        </w:rPr>
        <w:t> </w:t>
      </w:r>
      <w:r>
        <w:rPr/>
        <w:t>conciliators’</w:t>
      </w:r>
      <w:r>
        <w:rPr>
          <w:spacing w:val="-4"/>
        </w:rPr>
        <w:t> </w:t>
      </w:r>
      <w:r>
        <w:rPr/>
        <w:t>performance</w:t>
      </w:r>
      <w:r>
        <w:rPr>
          <w:spacing w:val="-5"/>
        </w:rPr>
        <w:t> </w:t>
      </w:r>
      <w:r>
        <w:rPr/>
        <w:t>and</w:t>
      </w:r>
      <w:r>
        <w:rPr>
          <w:spacing w:val="-5"/>
        </w:rPr>
        <w:t> </w:t>
      </w:r>
      <w:r>
        <w:rPr/>
        <w:t>attributes,</w:t>
      </w:r>
      <w:r>
        <w:rPr>
          <w:spacing w:val="-6"/>
        </w:rPr>
        <w:t> </w:t>
      </w:r>
      <w:r>
        <w:rPr/>
        <w:t>representatives</w:t>
      </w:r>
      <w:r>
        <w:rPr>
          <w:spacing w:val="-4"/>
        </w:rPr>
        <w:t> </w:t>
      </w:r>
      <w:r>
        <w:rPr/>
        <w:t>were</w:t>
      </w:r>
      <w:r>
        <w:rPr>
          <w:spacing w:val="-5"/>
        </w:rPr>
        <w:t> </w:t>
      </w:r>
      <w:r>
        <w:rPr/>
        <w:t>instead</w:t>
      </w:r>
      <w:r>
        <w:rPr>
          <w:spacing w:val="-4"/>
        </w:rPr>
        <w:t> </w:t>
      </w:r>
      <w:r>
        <w:rPr/>
        <w:t>more likely to report that the conciliator ‘did not do this’, potentially reflecting this group’s greater experience in employment disputes and correspondingly lower requirements for support.</w:t>
      </w:r>
    </w:p>
    <w:p>
      <w:pPr>
        <w:pStyle w:val="BodyText"/>
        <w:spacing w:line="259" w:lineRule="auto" w:before="158"/>
        <w:ind w:left="1336" w:right="1472"/>
      </w:pPr>
      <w:r>
        <w:rPr/>
        <w:t>Overall, there have been a number of significant, positive, shifts in conciliator ratings since 2016 – particularly among claimants – and large majorities of those taking</w:t>
      </w:r>
      <w:r>
        <w:rPr>
          <w:spacing w:val="-4"/>
        </w:rPr>
        <w:t> </w:t>
      </w:r>
      <w:r>
        <w:rPr/>
        <w:t>part</w:t>
      </w:r>
      <w:r>
        <w:rPr>
          <w:spacing w:val="-4"/>
        </w:rPr>
        <w:t> </w:t>
      </w:r>
      <w:r>
        <w:rPr/>
        <w:t>in</w:t>
      </w:r>
      <w:r>
        <w:rPr>
          <w:spacing w:val="-4"/>
        </w:rPr>
        <w:t> </w:t>
      </w:r>
      <w:r>
        <w:rPr/>
        <w:t>post-ET1</w:t>
      </w:r>
      <w:r>
        <w:rPr>
          <w:spacing w:val="-4"/>
        </w:rPr>
        <w:t> </w:t>
      </w:r>
      <w:r>
        <w:rPr/>
        <w:t>conciliation</w:t>
      </w:r>
      <w:r>
        <w:rPr>
          <w:spacing w:val="-3"/>
        </w:rPr>
        <w:t> </w:t>
      </w:r>
      <w:r>
        <w:rPr/>
        <w:t>reported</w:t>
      </w:r>
      <w:r>
        <w:rPr>
          <w:spacing w:val="-4"/>
        </w:rPr>
        <w:t> </w:t>
      </w:r>
      <w:r>
        <w:rPr/>
        <w:t>satisfaction</w:t>
      </w:r>
      <w:r>
        <w:rPr>
          <w:spacing w:val="-4"/>
        </w:rPr>
        <w:t> </w:t>
      </w:r>
      <w:r>
        <w:rPr/>
        <w:t>with</w:t>
      </w:r>
      <w:r>
        <w:rPr>
          <w:spacing w:val="-4"/>
        </w:rPr>
        <w:t> </w:t>
      </w:r>
      <w:r>
        <w:rPr/>
        <w:t>the</w:t>
      </w:r>
      <w:r>
        <w:rPr>
          <w:spacing w:val="-4"/>
        </w:rPr>
        <w:t> </w:t>
      </w:r>
      <w:r>
        <w:rPr/>
        <w:t>service</w:t>
      </w:r>
      <w:r>
        <w:rPr>
          <w:spacing w:val="-4"/>
        </w:rPr>
        <w:t> </w:t>
      </w:r>
      <w:r>
        <w:rPr/>
        <w:t>provided by Acas. 79 per cent of claimant-side participants and 81 per cent of employer- side participants said they were satisfied with the Acas service provided after the tribunal claim was submitted.</w:t>
      </w:r>
    </w:p>
    <w:p>
      <w:pPr>
        <w:spacing w:after="0" w:line="259" w:lineRule="auto"/>
        <w:sectPr>
          <w:pgSz w:w="11910" w:h="16840"/>
          <w:pgMar w:header="0" w:footer="996" w:top="1340" w:bottom="1180" w:left="460" w:right="320"/>
        </w:sectPr>
      </w:pPr>
    </w:p>
    <w:p>
      <w:pPr>
        <w:pStyle w:val="Heading3"/>
        <w:spacing w:before="82"/>
      </w:pPr>
      <w:r>
        <w:rPr/>
        <w:t>Details</w:t>
      </w:r>
      <w:r>
        <w:rPr>
          <w:spacing w:val="-4"/>
        </w:rPr>
        <w:t> </w:t>
      </w:r>
      <w:r>
        <w:rPr/>
        <w:t>of</w:t>
      </w:r>
      <w:r>
        <w:rPr>
          <w:spacing w:val="-3"/>
        </w:rPr>
        <w:t> </w:t>
      </w:r>
      <w:r>
        <w:rPr/>
        <w:t>ET</w:t>
      </w:r>
      <w:r>
        <w:rPr>
          <w:spacing w:val="-2"/>
        </w:rPr>
        <w:t> </w:t>
      </w:r>
      <w:r>
        <w:rPr/>
        <w:t>case</w:t>
      </w:r>
      <w:r>
        <w:rPr>
          <w:spacing w:val="-2"/>
        </w:rPr>
        <w:t> outcomes</w:t>
      </w:r>
    </w:p>
    <w:p>
      <w:pPr>
        <w:pStyle w:val="BodyText"/>
        <w:rPr>
          <w:b/>
        </w:rPr>
      </w:pPr>
    </w:p>
    <w:p>
      <w:pPr>
        <w:pStyle w:val="BodyText"/>
        <w:spacing w:line="259" w:lineRule="auto"/>
        <w:ind w:left="1336" w:right="1473" w:firstLine="1"/>
        <w:jc w:val="both"/>
      </w:pPr>
      <w:r>
        <w:rPr/>
        <w:t>Half</w:t>
      </w:r>
      <w:r>
        <w:rPr>
          <w:spacing w:val="-10"/>
        </w:rPr>
        <w:t> </w:t>
      </w:r>
      <w:r>
        <w:rPr/>
        <w:t>(52</w:t>
      </w:r>
      <w:r>
        <w:rPr>
          <w:spacing w:val="-12"/>
        </w:rPr>
        <w:t> </w:t>
      </w:r>
      <w:r>
        <w:rPr/>
        <w:t>per</w:t>
      </w:r>
      <w:r>
        <w:rPr>
          <w:spacing w:val="-11"/>
        </w:rPr>
        <w:t> </w:t>
      </w:r>
      <w:r>
        <w:rPr/>
        <w:t>cent)</w:t>
      </w:r>
      <w:r>
        <w:rPr>
          <w:spacing w:val="-12"/>
        </w:rPr>
        <w:t> </w:t>
      </w:r>
      <w:r>
        <w:rPr/>
        <w:t>of</w:t>
      </w:r>
      <w:r>
        <w:rPr>
          <w:spacing w:val="-11"/>
        </w:rPr>
        <w:t> </w:t>
      </w:r>
      <w:r>
        <w:rPr/>
        <w:t>those</w:t>
      </w:r>
      <w:r>
        <w:rPr>
          <w:spacing w:val="-11"/>
        </w:rPr>
        <w:t> </w:t>
      </w:r>
      <w:r>
        <w:rPr/>
        <w:t>surveyed</w:t>
      </w:r>
      <w:r>
        <w:rPr>
          <w:spacing w:val="-12"/>
        </w:rPr>
        <w:t> </w:t>
      </w:r>
      <w:r>
        <w:rPr/>
        <w:t>who</w:t>
      </w:r>
      <w:r>
        <w:rPr>
          <w:spacing w:val="-11"/>
        </w:rPr>
        <w:t> </w:t>
      </w:r>
      <w:r>
        <w:rPr/>
        <w:t>took</w:t>
      </w:r>
      <w:r>
        <w:rPr>
          <w:spacing w:val="-11"/>
        </w:rPr>
        <w:t> </w:t>
      </w:r>
      <w:r>
        <w:rPr/>
        <w:t>part</w:t>
      </w:r>
      <w:r>
        <w:rPr>
          <w:spacing w:val="-10"/>
        </w:rPr>
        <w:t> </w:t>
      </w:r>
      <w:r>
        <w:rPr/>
        <w:t>in</w:t>
      </w:r>
      <w:r>
        <w:rPr>
          <w:spacing w:val="-10"/>
        </w:rPr>
        <w:t> </w:t>
      </w:r>
      <w:r>
        <w:rPr/>
        <w:t>post-ET1</w:t>
      </w:r>
      <w:r>
        <w:rPr>
          <w:spacing w:val="-12"/>
        </w:rPr>
        <w:t> </w:t>
      </w:r>
      <w:r>
        <w:rPr/>
        <w:t>conciliation</w:t>
      </w:r>
      <w:r>
        <w:rPr>
          <w:spacing w:val="-10"/>
        </w:rPr>
        <w:t> </w:t>
      </w:r>
      <w:r>
        <w:rPr/>
        <w:t>reached a settlement through COT3, while a fifth (20 per cent) progressed to a full Employment</w:t>
      </w:r>
      <w:r>
        <w:rPr>
          <w:spacing w:val="-18"/>
        </w:rPr>
        <w:t> </w:t>
      </w:r>
      <w:r>
        <w:rPr/>
        <w:t>Tribunal</w:t>
      </w:r>
      <w:r>
        <w:rPr>
          <w:spacing w:val="-18"/>
        </w:rPr>
        <w:t> </w:t>
      </w:r>
      <w:r>
        <w:rPr/>
        <w:t>hearing,</w:t>
      </w:r>
      <w:r>
        <w:rPr>
          <w:spacing w:val="-17"/>
        </w:rPr>
        <w:t> </w:t>
      </w:r>
      <w:r>
        <w:rPr/>
        <w:t>the</w:t>
      </w:r>
      <w:r>
        <w:rPr>
          <w:spacing w:val="-18"/>
        </w:rPr>
        <w:t> </w:t>
      </w:r>
      <w:r>
        <w:rPr/>
        <w:t>remainder</w:t>
      </w:r>
      <w:r>
        <w:rPr>
          <w:spacing w:val="-17"/>
        </w:rPr>
        <w:t> </w:t>
      </w:r>
      <w:r>
        <w:rPr/>
        <w:t>being</w:t>
      </w:r>
      <w:r>
        <w:rPr>
          <w:spacing w:val="-18"/>
        </w:rPr>
        <w:t> </w:t>
      </w:r>
      <w:r>
        <w:rPr/>
        <w:t>withdrawn,</w:t>
      </w:r>
      <w:r>
        <w:rPr>
          <w:spacing w:val="-18"/>
        </w:rPr>
        <w:t> </w:t>
      </w:r>
      <w:r>
        <w:rPr/>
        <w:t>struck</w:t>
      </w:r>
      <w:r>
        <w:rPr>
          <w:spacing w:val="-17"/>
        </w:rPr>
        <w:t> </w:t>
      </w:r>
      <w:r>
        <w:rPr/>
        <w:t>out,</w:t>
      </w:r>
      <w:r>
        <w:rPr>
          <w:spacing w:val="-18"/>
        </w:rPr>
        <w:t> </w:t>
      </w:r>
      <w:r>
        <w:rPr/>
        <w:t>a</w:t>
      </w:r>
      <w:r>
        <w:rPr>
          <w:spacing w:val="-17"/>
        </w:rPr>
        <w:t> </w:t>
      </w:r>
      <w:r>
        <w:rPr/>
        <w:t>default judgement</w:t>
      </w:r>
      <w:r>
        <w:rPr>
          <w:spacing w:val="-10"/>
        </w:rPr>
        <w:t> </w:t>
      </w:r>
      <w:r>
        <w:rPr/>
        <w:t>or</w:t>
      </w:r>
      <w:r>
        <w:rPr>
          <w:spacing w:val="-9"/>
        </w:rPr>
        <w:t> </w:t>
      </w:r>
      <w:r>
        <w:rPr/>
        <w:t>settled</w:t>
      </w:r>
      <w:r>
        <w:rPr>
          <w:spacing w:val="-9"/>
        </w:rPr>
        <w:t> </w:t>
      </w:r>
      <w:r>
        <w:rPr/>
        <w:t>privately.</w:t>
      </w:r>
      <w:r>
        <w:rPr>
          <w:spacing w:val="-9"/>
        </w:rPr>
        <w:t> </w:t>
      </w:r>
      <w:r>
        <w:rPr/>
        <w:t>Among</w:t>
      </w:r>
      <w:r>
        <w:rPr>
          <w:spacing w:val="-9"/>
        </w:rPr>
        <w:t> </w:t>
      </w:r>
      <w:r>
        <w:rPr/>
        <w:t>those</w:t>
      </w:r>
      <w:r>
        <w:rPr>
          <w:spacing w:val="-9"/>
        </w:rPr>
        <w:t> </w:t>
      </w:r>
      <w:r>
        <w:rPr/>
        <w:t>who</w:t>
      </w:r>
      <w:r>
        <w:rPr>
          <w:spacing w:val="-9"/>
        </w:rPr>
        <w:t> </w:t>
      </w:r>
      <w:r>
        <w:rPr/>
        <w:t>settled</w:t>
      </w:r>
      <w:r>
        <w:rPr>
          <w:spacing w:val="-9"/>
        </w:rPr>
        <w:t> </w:t>
      </w:r>
      <w:r>
        <w:rPr/>
        <w:t>their</w:t>
      </w:r>
      <w:r>
        <w:rPr>
          <w:spacing w:val="-9"/>
        </w:rPr>
        <w:t> </w:t>
      </w:r>
      <w:r>
        <w:rPr/>
        <w:t>case,</w:t>
      </w:r>
      <w:r>
        <w:rPr>
          <w:spacing w:val="-9"/>
        </w:rPr>
        <w:t> </w:t>
      </w:r>
      <w:r>
        <w:rPr/>
        <w:t>most</w:t>
      </w:r>
      <w:r>
        <w:rPr>
          <w:spacing w:val="-9"/>
        </w:rPr>
        <w:t> </w:t>
      </w:r>
      <w:r>
        <w:rPr/>
        <w:t>reported a</w:t>
      </w:r>
      <w:r>
        <w:rPr>
          <w:spacing w:val="-18"/>
        </w:rPr>
        <w:t> </w:t>
      </w:r>
      <w:r>
        <w:rPr/>
        <w:t>financial</w:t>
      </w:r>
      <w:r>
        <w:rPr>
          <w:spacing w:val="-18"/>
        </w:rPr>
        <w:t> </w:t>
      </w:r>
      <w:r>
        <w:rPr/>
        <w:t>payment</w:t>
      </w:r>
      <w:r>
        <w:rPr>
          <w:spacing w:val="-17"/>
        </w:rPr>
        <w:t> </w:t>
      </w:r>
      <w:r>
        <w:rPr/>
        <w:t>being</w:t>
      </w:r>
      <w:r>
        <w:rPr>
          <w:spacing w:val="-18"/>
        </w:rPr>
        <w:t> </w:t>
      </w:r>
      <w:r>
        <w:rPr/>
        <w:t>part</w:t>
      </w:r>
      <w:r>
        <w:rPr>
          <w:spacing w:val="-17"/>
        </w:rPr>
        <w:t> </w:t>
      </w:r>
      <w:r>
        <w:rPr/>
        <w:t>of</w:t>
      </w:r>
      <w:r>
        <w:rPr>
          <w:spacing w:val="-18"/>
        </w:rPr>
        <w:t> </w:t>
      </w:r>
      <w:r>
        <w:rPr/>
        <w:t>the</w:t>
      </w:r>
      <w:r>
        <w:rPr>
          <w:spacing w:val="-18"/>
        </w:rPr>
        <w:t> </w:t>
      </w:r>
      <w:r>
        <w:rPr/>
        <w:t>agreement.</w:t>
      </w:r>
      <w:r>
        <w:rPr>
          <w:spacing w:val="-17"/>
        </w:rPr>
        <w:t> </w:t>
      </w:r>
      <w:r>
        <w:rPr/>
        <w:t>Among</w:t>
      </w:r>
      <w:r>
        <w:rPr>
          <w:spacing w:val="-18"/>
        </w:rPr>
        <w:t> </w:t>
      </w:r>
      <w:r>
        <w:rPr/>
        <w:t>claimant-side</w:t>
      </w:r>
      <w:r>
        <w:rPr>
          <w:spacing w:val="-17"/>
        </w:rPr>
        <w:t> </w:t>
      </w:r>
      <w:r>
        <w:rPr/>
        <w:t>participants, the average value of payments was £9,298, while employer-side users gave an average</w:t>
      </w:r>
      <w:r>
        <w:rPr>
          <w:spacing w:val="-11"/>
        </w:rPr>
        <w:t> </w:t>
      </w:r>
      <w:r>
        <w:rPr/>
        <w:t>settlement</w:t>
      </w:r>
      <w:r>
        <w:rPr>
          <w:spacing w:val="-10"/>
        </w:rPr>
        <w:t> </w:t>
      </w:r>
      <w:r>
        <w:rPr/>
        <w:t>value</w:t>
      </w:r>
      <w:r>
        <w:rPr>
          <w:spacing w:val="-11"/>
        </w:rPr>
        <w:t> </w:t>
      </w:r>
      <w:r>
        <w:rPr/>
        <w:t>of</w:t>
      </w:r>
      <w:r>
        <w:rPr>
          <w:spacing w:val="-11"/>
        </w:rPr>
        <w:t> </w:t>
      </w:r>
      <w:r>
        <w:rPr/>
        <w:t>£8,005.</w:t>
      </w:r>
      <w:r>
        <w:rPr>
          <w:spacing w:val="-10"/>
        </w:rPr>
        <w:t> </w:t>
      </w:r>
      <w:r>
        <w:rPr/>
        <w:t>The</w:t>
      </w:r>
      <w:r>
        <w:rPr>
          <w:spacing w:val="-12"/>
        </w:rPr>
        <w:t> </w:t>
      </w:r>
      <w:r>
        <w:rPr/>
        <w:t>claimant-side</w:t>
      </w:r>
      <w:r>
        <w:rPr>
          <w:spacing w:val="-11"/>
        </w:rPr>
        <w:t> </w:t>
      </w:r>
      <w:r>
        <w:rPr/>
        <w:t>figure</w:t>
      </w:r>
      <w:r>
        <w:rPr>
          <w:spacing w:val="-11"/>
        </w:rPr>
        <w:t> </w:t>
      </w:r>
      <w:r>
        <w:rPr/>
        <w:t>is</w:t>
      </w:r>
      <w:r>
        <w:rPr>
          <w:spacing w:val="-10"/>
        </w:rPr>
        <w:t> </w:t>
      </w:r>
      <w:r>
        <w:rPr/>
        <w:t>a</w:t>
      </w:r>
      <w:r>
        <w:rPr>
          <w:spacing w:val="-11"/>
        </w:rPr>
        <w:t> </w:t>
      </w:r>
      <w:r>
        <w:rPr/>
        <w:t>decrease</w:t>
      </w:r>
      <w:r>
        <w:rPr>
          <w:spacing w:val="-11"/>
        </w:rPr>
        <w:t> </w:t>
      </w:r>
      <w:r>
        <w:rPr/>
        <w:t>of</w:t>
      </w:r>
      <w:r>
        <w:rPr>
          <w:spacing w:val="-10"/>
        </w:rPr>
        <w:t> </w:t>
      </w:r>
      <w:r>
        <w:rPr/>
        <w:t>£769 compared</w:t>
      </w:r>
      <w:r>
        <w:rPr>
          <w:spacing w:val="-7"/>
        </w:rPr>
        <w:t> </w:t>
      </w:r>
      <w:r>
        <w:rPr/>
        <w:t>with</w:t>
      </w:r>
      <w:r>
        <w:rPr>
          <w:spacing w:val="-6"/>
        </w:rPr>
        <w:t> </w:t>
      </w:r>
      <w:r>
        <w:rPr/>
        <w:t>2016,</w:t>
      </w:r>
      <w:r>
        <w:rPr>
          <w:spacing w:val="-8"/>
        </w:rPr>
        <w:t> </w:t>
      </w:r>
      <w:r>
        <w:rPr/>
        <w:t>while</w:t>
      </w:r>
      <w:r>
        <w:rPr>
          <w:spacing w:val="-7"/>
        </w:rPr>
        <w:t> </w:t>
      </w:r>
      <w:r>
        <w:rPr/>
        <w:t>the</w:t>
      </w:r>
      <w:r>
        <w:rPr>
          <w:spacing w:val="-7"/>
        </w:rPr>
        <w:t> </w:t>
      </w:r>
      <w:r>
        <w:rPr/>
        <w:t>employer-side</w:t>
      </w:r>
      <w:r>
        <w:rPr>
          <w:spacing w:val="-7"/>
        </w:rPr>
        <w:t> </w:t>
      </w:r>
      <w:r>
        <w:rPr/>
        <w:t>figure</w:t>
      </w:r>
      <w:r>
        <w:rPr>
          <w:spacing w:val="-7"/>
        </w:rPr>
        <w:t> </w:t>
      </w:r>
      <w:r>
        <w:rPr/>
        <w:t>is</w:t>
      </w:r>
      <w:r>
        <w:rPr>
          <w:spacing w:val="-7"/>
        </w:rPr>
        <w:t> </w:t>
      </w:r>
      <w:r>
        <w:rPr/>
        <w:t>an</w:t>
      </w:r>
      <w:r>
        <w:rPr>
          <w:spacing w:val="-8"/>
        </w:rPr>
        <w:t> </w:t>
      </w:r>
      <w:r>
        <w:rPr/>
        <w:t>increase</w:t>
      </w:r>
      <w:r>
        <w:rPr>
          <w:spacing w:val="-7"/>
        </w:rPr>
        <w:t> </w:t>
      </w:r>
      <w:r>
        <w:rPr/>
        <w:t>of</w:t>
      </w:r>
      <w:r>
        <w:rPr>
          <w:spacing w:val="-8"/>
        </w:rPr>
        <w:t> </w:t>
      </w:r>
      <w:r>
        <w:rPr/>
        <w:t>£925.</w:t>
      </w:r>
      <w:r>
        <w:rPr>
          <w:spacing w:val="-8"/>
        </w:rPr>
        <w:t> </w:t>
      </w:r>
      <w:r>
        <w:rPr/>
        <w:t>Nearly all</w:t>
      </w:r>
      <w:r>
        <w:rPr>
          <w:spacing w:val="-8"/>
        </w:rPr>
        <w:t> </w:t>
      </w:r>
      <w:r>
        <w:rPr/>
        <w:t>who</w:t>
      </w:r>
      <w:r>
        <w:rPr>
          <w:spacing w:val="-8"/>
        </w:rPr>
        <w:t> </w:t>
      </w:r>
      <w:r>
        <w:rPr/>
        <w:t>mentioned</w:t>
      </w:r>
      <w:r>
        <w:rPr>
          <w:spacing w:val="-7"/>
        </w:rPr>
        <w:t> </w:t>
      </w:r>
      <w:r>
        <w:rPr/>
        <w:t>a</w:t>
      </w:r>
      <w:r>
        <w:rPr>
          <w:spacing w:val="-7"/>
        </w:rPr>
        <w:t> </w:t>
      </w:r>
      <w:r>
        <w:rPr/>
        <w:t>financial</w:t>
      </w:r>
      <w:r>
        <w:rPr>
          <w:spacing w:val="-8"/>
        </w:rPr>
        <w:t> </w:t>
      </w:r>
      <w:r>
        <w:rPr/>
        <w:t>settlement</w:t>
      </w:r>
      <w:r>
        <w:rPr>
          <w:spacing w:val="-7"/>
        </w:rPr>
        <w:t> </w:t>
      </w:r>
      <w:r>
        <w:rPr/>
        <w:t>said</w:t>
      </w:r>
      <w:r>
        <w:rPr>
          <w:spacing w:val="-8"/>
        </w:rPr>
        <w:t> </w:t>
      </w:r>
      <w:r>
        <w:rPr/>
        <w:t>that</w:t>
      </w:r>
      <w:r>
        <w:rPr>
          <w:spacing w:val="-8"/>
        </w:rPr>
        <w:t> </w:t>
      </w:r>
      <w:r>
        <w:rPr/>
        <w:t>the</w:t>
      </w:r>
      <w:r>
        <w:rPr>
          <w:spacing w:val="-9"/>
        </w:rPr>
        <w:t> </w:t>
      </w:r>
      <w:r>
        <w:rPr/>
        <w:t>money</w:t>
      </w:r>
      <w:r>
        <w:rPr>
          <w:spacing w:val="-7"/>
        </w:rPr>
        <w:t> </w:t>
      </w:r>
      <w:r>
        <w:rPr/>
        <w:t>had</w:t>
      </w:r>
      <w:r>
        <w:rPr>
          <w:spacing w:val="-8"/>
        </w:rPr>
        <w:t> </w:t>
      </w:r>
      <w:r>
        <w:rPr/>
        <w:t>been</w:t>
      </w:r>
      <w:r>
        <w:rPr>
          <w:spacing w:val="-6"/>
        </w:rPr>
        <w:t> </w:t>
      </w:r>
      <w:r>
        <w:rPr/>
        <w:t>paid</w:t>
      </w:r>
      <w:r>
        <w:rPr>
          <w:spacing w:val="-7"/>
        </w:rPr>
        <w:t> </w:t>
      </w:r>
      <w:r>
        <w:rPr/>
        <w:t>by</w:t>
      </w:r>
      <w:r>
        <w:rPr>
          <w:spacing w:val="-8"/>
        </w:rPr>
        <w:t> </w:t>
      </w:r>
      <w:r>
        <w:rPr/>
        <w:t>the time of the</w:t>
      </w:r>
      <w:r>
        <w:rPr>
          <w:spacing w:val="-1"/>
        </w:rPr>
        <w:t> </w:t>
      </w:r>
      <w:r>
        <w:rPr/>
        <w:t>interview (98 per cent of claimant-side participants and 97 per cent of employer-side participants).</w:t>
      </w:r>
    </w:p>
    <w:p>
      <w:pPr>
        <w:pStyle w:val="BodyText"/>
        <w:spacing w:line="259" w:lineRule="auto" w:before="157"/>
        <w:ind w:left="1336" w:right="1475"/>
        <w:jc w:val="both"/>
      </w:pPr>
      <w:r>
        <w:rPr/>
        <w:t>The most important driver increasing the likelihood of a settlement for claimants was viewing Acas’ ability in moving the two sides together as important. This was also true for employer-side participants, although the availability of the Acas conciliator and how quickly the conciliator contacted the employer after the submission of the ET claim were also important factors for this audience.</w:t>
      </w:r>
    </w:p>
    <w:p>
      <w:pPr>
        <w:pStyle w:val="BodyText"/>
        <w:spacing w:line="259" w:lineRule="auto" w:before="158"/>
        <w:ind w:left="1335" w:right="1475"/>
        <w:jc w:val="both"/>
      </w:pPr>
      <w:r>
        <w:rPr/>
        <w:t>Regardless of the outcome of their case, most participants (60 per cent claimant- side and 52 per cent employer-side) agreed that Acas’ involvement had been important in helping to move parties closer to resolving the dispute. A similar proportion agreed that Acas’ involvement had been a factor in resolving the case (55</w:t>
      </w:r>
      <w:r>
        <w:rPr>
          <w:spacing w:val="-13"/>
        </w:rPr>
        <w:t> </w:t>
      </w:r>
      <w:r>
        <w:rPr/>
        <w:t>per</w:t>
      </w:r>
      <w:r>
        <w:rPr>
          <w:spacing w:val="-13"/>
        </w:rPr>
        <w:t> </w:t>
      </w:r>
      <w:r>
        <w:rPr/>
        <w:t>cent</w:t>
      </w:r>
      <w:r>
        <w:rPr>
          <w:spacing w:val="-14"/>
        </w:rPr>
        <w:t> </w:t>
      </w:r>
      <w:r>
        <w:rPr/>
        <w:t>of</w:t>
      </w:r>
      <w:r>
        <w:rPr>
          <w:spacing w:val="-12"/>
        </w:rPr>
        <w:t> </w:t>
      </w:r>
      <w:r>
        <w:rPr/>
        <w:t>claimant-side</w:t>
      </w:r>
      <w:r>
        <w:rPr>
          <w:spacing w:val="-13"/>
        </w:rPr>
        <w:t> </w:t>
      </w:r>
      <w:r>
        <w:rPr/>
        <w:t>and</w:t>
      </w:r>
      <w:r>
        <w:rPr>
          <w:spacing w:val="-13"/>
        </w:rPr>
        <w:t> </w:t>
      </w:r>
      <w:r>
        <w:rPr/>
        <w:t>49</w:t>
      </w:r>
      <w:r>
        <w:rPr>
          <w:spacing w:val="-13"/>
        </w:rPr>
        <w:t> </w:t>
      </w:r>
      <w:r>
        <w:rPr/>
        <w:t>per</w:t>
      </w:r>
      <w:r>
        <w:rPr>
          <w:spacing w:val="-13"/>
        </w:rPr>
        <w:t> </w:t>
      </w:r>
      <w:r>
        <w:rPr/>
        <w:t>cent</w:t>
      </w:r>
      <w:r>
        <w:rPr>
          <w:spacing w:val="-12"/>
        </w:rPr>
        <w:t> </w:t>
      </w:r>
      <w:r>
        <w:rPr/>
        <w:t>of</w:t>
      </w:r>
      <w:r>
        <w:rPr>
          <w:spacing w:val="-12"/>
        </w:rPr>
        <w:t> </w:t>
      </w:r>
      <w:r>
        <w:rPr/>
        <w:t>employer-side</w:t>
      </w:r>
      <w:r>
        <w:rPr>
          <w:spacing w:val="-13"/>
        </w:rPr>
        <w:t> </w:t>
      </w:r>
      <w:r>
        <w:rPr/>
        <w:t>participants).</w:t>
      </w:r>
      <w:r>
        <w:rPr>
          <w:spacing w:val="-12"/>
        </w:rPr>
        <w:t> </w:t>
      </w:r>
      <w:r>
        <w:rPr/>
        <w:t>These scores have not changed significantly since 2016, despite a small improvement among employer-side participants.</w:t>
      </w:r>
    </w:p>
    <w:p>
      <w:pPr>
        <w:pStyle w:val="BodyText"/>
        <w:spacing w:line="259" w:lineRule="auto" w:before="159"/>
        <w:ind w:left="1335" w:right="1475"/>
        <w:jc w:val="both"/>
      </w:pPr>
      <w:r>
        <w:rPr/>
        <w:t>When a case progressed to a formal hearing, most (67 per cent) claimant-side participants said it was because the employer had not been willing to negotiate. Employer-side participants tended to report that the case had gone to hearing because they had done nothing wrong (29 per cent), the claimant had been unwilling to negotiate or an offer</w:t>
      </w:r>
      <w:r>
        <w:rPr>
          <w:spacing w:val="-1"/>
        </w:rPr>
        <w:t> </w:t>
      </w:r>
      <w:r>
        <w:rPr/>
        <w:t>was made to the claimant that was</w:t>
      </w:r>
      <w:r>
        <w:rPr>
          <w:spacing w:val="-1"/>
        </w:rPr>
        <w:t> </w:t>
      </w:r>
      <w:r>
        <w:rPr/>
        <w:t>not accepted (both 16 per cent).</w:t>
      </w:r>
    </w:p>
    <w:p>
      <w:pPr>
        <w:pStyle w:val="BodyText"/>
        <w:spacing w:line="259" w:lineRule="auto" w:before="159"/>
        <w:ind w:left="1335" w:right="1476"/>
        <w:jc w:val="both"/>
      </w:pPr>
      <w:r>
        <w:rPr/>
        <w:t>Among all survey participants, putting aside the service received from Acas, two- thirds of claimant-side participants (62 per cent) and seven in ten employer-side participants (73 per cent) reported that they were satisfied with the outcome of their case.</w:t>
      </w:r>
    </w:p>
    <w:p>
      <w:pPr>
        <w:pStyle w:val="BodyText"/>
        <w:spacing w:line="259" w:lineRule="auto" w:before="158"/>
        <w:ind w:left="1335" w:right="1474"/>
        <w:jc w:val="both"/>
      </w:pPr>
      <w:r>
        <w:rPr/>
        <w:t>By combining separate outcome groups, it is possible to derive an estimate of the overall proportion of claimants (and representatives) who submitted an ET claim but did not go on to tribunal and for whom Acas was a factor in helping them to reach this conclusion – otherwise termed the ‘Acas effect’. In 2019 this analysis suggests that 61 per cent of cases experienced the ‘Acas effect’, the same level experienced in 2016.</w:t>
      </w:r>
    </w:p>
    <w:p>
      <w:pPr>
        <w:pStyle w:val="BodyText"/>
        <w:rPr>
          <w:sz w:val="24"/>
        </w:rPr>
      </w:pPr>
    </w:p>
    <w:p>
      <w:pPr>
        <w:pStyle w:val="BodyText"/>
        <w:spacing w:before="9"/>
        <w:rPr>
          <w:sz w:val="19"/>
        </w:rPr>
      </w:pPr>
    </w:p>
    <w:p>
      <w:pPr>
        <w:pStyle w:val="Heading3"/>
      </w:pPr>
      <w:r>
        <w:rPr/>
        <w:t>Impact</w:t>
      </w:r>
      <w:r>
        <w:rPr>
          <w:spacing w:val="-3"/>
        </w:rPr>
        <w:t> </w:t>
      </w:r>
      <w:r>
        <w:rPr/>
        <w:t>of</w:t>
      </w:r>
      <w:r>
        <w:rPr>
          <w:spacing w:val="-2"/>
        </w:rPr>
        <w:t> </w:t>
      </w:r>
      <w:r>
        <w:rPr/>
        <w:t>EC</w:t>
      </w:r>
      <w:r>
        <w:rPr>
          <w:spacing w:val="-1"/>
        </w:rPr>
        <w:t> </w:t>
      </w:r>
      <w:r>
        <w:rPr/>
        <w:t>on</w:t>
      </w:r>
      <w:r>
        <w:rPr>
          <w:spacing w:val="-3"/>
        </w:rPr>
        <w:t> </w:t>
      </w:r>
      <w:r>
        <w:rPr/>
        <w:t>the</w:t>
      </w:r>
      <w:r>
        <w:rPr>
          <w:spacing w:val="-3"/>
        </w:rPr>
        <w:t> </w:t>
      </w:r>
      <w:r>
        <w:rPr/>
        <w:t>ET</w:t>
      </w:r>
      <w:r>
        <w:rPr>
          <w:spacing w:val="-1"/>
        </w:rPr>
        <w:t> </w:t>
      </w:r>
      <w:r>
        <w:rPr>
          <w:spacing w:val="-2"/>
        </w:rPr>
        <w:t>process</w:t>
      </w:r>
    </w:p>
    <w:p>
      <w:pPr>
        <w:pStyle w:val="BodyText"/>
        <w:spacing w:line="259" w:lineRule="auto" w:before="179"/>
        <w:ind w:left="1337" w:right="1472"/>
        <w:jc w:val="both"/>
      </w:pPr>
      <w:r>
        <w:rPr/>
        <w:t>There was a positive relationship between EC and post-ET1 – participation in EC makes participants more likely to accept an offer of post-ET1 conciliation. While half (55 per cent) of all claimant-side participants in the survey reported taking part</w:t>
      </w:r>
      <w:r>
        <w:rPr>
          <w:spacing w:val="-8"/>
        </w:rPr>
        <w:t> </w:t>
      </w:r>
      <w:r>
        <w:rPr/>
        <w:t>in</w:t>
      </w:r>
      <w:r>
        <w:rPr>
          <w:spacing w:val="-8"/>
        </w:rPr>
        <w:t> </w:t>
      </w:r>
      <w:r>
        <w:rPr/>
        <w:t>post-ET1,</w:t>
      </w:r>
      <w:r>
        <w:rPr>
          <w:spacing w:val="-8"/>
        </w:rPr>
        <w:t> </w:t>
      </w:r>
      <w:r>
        <w:rPr/>
        <w:t>this</w:t>
      </w:r>
      <w:r>
        <w:rPr>
          <w:spacing w:val="-8"/>
        </w:rPr>
        <w:t> </w:t>
      </w:r>
      <w:r>
        <w:rPr/>
        <w:t>proportion</w:t>
      </w:r>
      <w:r>
        <w:rPr>
          <w:spacing w:val="-8"/>
        </w:rPr>
        <w:t> </w:t>
      </w:r>
      <w:r>
        <w:rPr/>
        <w:t>rose</w:t>
      </w:r>
      <w:r>
        <w:rPr>
          <w:spacing w:val="-9"/>
        </w:rPr>
        <w:t> </w:t>
      </w:r>
      <w:r>
        <w:rPr/>
        <w:t>to</w:t>
      </w:r>
      <w:r>
        <w:rPr>
          <w:spacing w:val="-8"/>
        </w:rPr>
        <w:t> </w:t>
      </w:r>
      <w:r>
        <w:rPr/>
        <w:t>two-thirds</w:t>
      </w:r>
      <w:r>
        <w:rPr>
          <w:spacing w:val="-8"/>
        </w:rPr>
        <w:t> </w:t>
      </w:r>
      <w:r>
        <w:rPr/>
        <w:t>(68</w:t>
      </w:r>
      <w:r>
        <w:rPr>
          <w:spacing w:val="-8"/>
        </w:rPr>
        <w:t> </w:t>
      </w:r>
      <w:r>
        <w:rPr/>
        <w:t>per</w:t>
      </w:r>
      <w:r>
        <w:rPr>
          <w:spacing w:val="-8"/>
        </w:rPr>
        <w:t> </w:t>
      </w:r>
      <w:r>
        <w:rPr/>
        <w:t>cent)</w:t>
      </w:r>
      <w:r>
        <w:rPr>
          <w:spacing w:val="-8"/>
        </w:rPr>
        <w:t> </w:t>
      </w:r>
      <w:r>
        <w:rPr/>
        <w:t>among</w:t>
      </w:r>
      <w:r>
        <w:rPr>
          <w:spacing w:val="-8"/>
        </w:rPr>
        <w:t> </w:t>
      </w:r>
      <w:r>
        <w:rPr/>
        <w:t>those</w:t>
      </w:r>
      <w:r>
        <w:rPr>
          <w:spacing w:val="-10"/>
        </w:rPr>
        <w:t> </w:t>
      </w:r>
      <w:r>
        <w:rPr/>
        <w:t>who had already taken part in EC as part of their dispute.</w:t>
      </w:r>
    </w:p>
    <w:p>
      <w:pPr>
        <w:spacing w:after="0" w:line="259" w:lineRule="auto"/>
        <w:jc w:val="both"/>
        <w:sectPr>
          <w:pgSz w:w="11910" w:h="16840"/>
          <w:pgMar w:header="0" w:footer="996" w:top="1340" w:bottom="1180" w:left="460" w:right="320"/>
        </w:sectPr>
      </w:pPr>
    </w:p>
    <w:p>
      <w:pPr>
        <w:pStyle w:val="BodyText"/>
        <w:spacing w:line="259" w:lineRule="auto" w:before="82"/>
        <w:ind w:left="1337" w:right="1471"/>
        <w:jc w:val="both"/>
      </w:pPr>
      <w:r>
        <w:rPr/>
        <w:t>Those who had already taken part in EC were more likely to report that Acas’ involvement</w:t>
      </w:r>
      <w:r>
        <w:rPr>
          <w:spacing w:val="-11"/>
        </w:rPr>
        <w:t> </w:t>
      </w:r>
      <w:r>
        <w:rPr/>
        <w:t>in</w:t>
      </w:r>
      <w:r>
        <w:rPr>
          <w:spacing w:val="-11"/>
        </w:rPr>
        <w:t> </w:t>
      </w:r>
      <w:r>
        <w:rPr/>
        <w:t>post-ET1</w:t>
      </w:r>
      <w:r>
        <w:rPr>
          <w:spacing w:val="-12"/>
        </w:rPr>
        <w:t> </w:t>
      </w:r>
      <w:r>
        <w:rPr/>
        <w:t>conciliation</w:t>
      </w:r>
      <w:r>
        <w:rPr>
          <w:spacing w:val="-12"/>
        </w:rPr>
        <w:t> </w:t>
      </w:r>
      <w:r>
        <w:rPr/>
        <w:t>had</w:t>
      </w:r>
      <w:r>
        <w:rPr>
          <w:spacing w:val="-11"/>
        </w:rPr>
        <w:t> </w:t>
      </w:r>
      <w:r>
        <w:rPr/>
        <w:t>been</w:t>
      </w:r>
      <w:r>
        <w:rPr>
          <w:spacing w:val="-12"/>
        </w:rPr>
        <w:t> </w:t>
      </w:r>
      <w:r>
        <w:rPr/>
        <w:t>important</w:t>
      </w:r>
      <w:r>
        <w:rPr>
          <w:spacing w:val="-11"/>
        </w:rPr>
        <w:t> </w:t>
      </w:r>
      <w:r>
        <w:rPr/>
        <w:t>in</w:t>
      </w:r>
      <w:r>
        <w:rPr>
          <w:spacing w:val="-12"/>
        </w:rPr>
        <w:t> </w:t>
      </w:r>
      <w:r>
        <w:rPr/>
        <w:t>helping</w:t>
      </w:r>
      <w:r>
        <w:rPr>
          <w:spacing w:val="-11"/>
        </w:rPr>
        <w:t> </w:t>
      </w:r>
      <w:r>
        <w:rPr/>
        <w:t>to</w:t>
      </w:r>
      <w:r>
        <w:rPr>
          <w:spacing w:val="-13"/>
        </w:rPr>
        <w:t> </w:t>
      </w:r>
      <w:r>
        <w:rPr/>
        <w:t>move</w:t>
      </w:r>
      <w:r>
        <w:rPr>
          <w:spacing w:val="-12"/>
        </w:rPr>
        <w:t> </w:t>
      </w:r>
      <w:r>
        <w:rPr/>
        <w:t>parties closer towards resolving the case (63 per cent of all participants who took part in EC</w:t>
      </w:r>
      <w:r>
        <w:rPr>
          <w:spacing w:val="-12"/>
        </w:rPr>
        <w:t> </w:t>
      </w:r>
      <w:r>
        <w:rPr/>
        <w:t>compared</w:t>
      </w:r>
      <w:r>
        <w:rPr>
          <w:spacing w:val="-12"/>
        </w:rPr>
        <w:t> </w:t>
      </w:r>
      <w:r>
        <w:rPr/>
        <w:t>to</w:t>
      </w:r>
      <w:r>
        <w:rPr>
          <w:spacing w:val="-13"/>
        </w:rPr>
        <w:t> </w:t>
      </w:r>
      <w:r>
        <w:rPr/>
        <w:t>51</w:t>
      </w:r>
      <w:r>
        <w:rPr>
          <w:spacing w:val="-13"/>
        </w:rPr>
        <w:t> </w:t>
      </w:r>
      <w:r>
        <w:rPr/>
        <w:t>per</w:t>
      </w:r>
      <w:r>
        <w:rPr>
          <w:spacing w:val="-14"/>
        </w:rPr>
        <w:t> </w:t>
      </w:r>
      <w:r>
        <w:rPr/>
        <w:t>cent</w:t>
      </w:r>
      <w:r>
        <w:rPr>
          <w:spacing w:val="-13"/>
        </w:rPr>
        <w:t> </w:t>
      </w:r>
      <w:r>
        <w:rPr/>
        <w:t>among</w:t>
      </w:r>
      <w:r>
        <w:rPr>
          <w:spacing w:val="-13"/>
        </w:rPr>
        <w:t> </w:t>
      </w:r>
      <w:r>
        <w:rPr/>
        <w:t>those</w:t>
      </w:r>
      <w:r>
        <w:rPr>
          <w:spacing w:val="-13"/>
        </w:rPr>
        <w:t> </w:t>
      </w:r>
      <w:r>
        <w:rPr/>
        <w:t>who</w:t>
      </w:r>
      <w:r>
        <w:rPr>
          <w:spacing w:val="-14"/>
        </w:rPr>
        <w:t> </w:t>
      </w:r>
      <w:r>
        <w:rPr/>
        <w:t>did</w:t>
      </w:r>
      <w:r>
        <w:rPr>
          <w:spacing w:val="-12"/>
        </w:rPr>
        <w:t> </w:t>
      </w:r>
      <w:r>
        <w:rPr/>
        <w:t>not).</w:t>
      </w:r>
      <w:r>
        <w:rPr>
          <w:spacing w:val="-13"/>
        </w:rPr>
        <w:t> </w:t>
      </w:r>
      <w:r>
        <w:rPr/>
        <w:t>Further,</w:t>
      </w:r>
      <w:r>
        <w:rPr>
          <w:spacing w:val="-12"/>
        </w:rPr>
        <w:t> </w:t>
      </w:r>
      <w:r>
        <w:rPr/>
        <w:t>those</w:t>
      </w:r>
      <w:r>
        <w:rPr>
          <w:spacing w:val="-14"/>
        </w:rPr>
        <w:t> </w:t>
      </w:r>
      <w:r>
        <w:rPr/>
        <w:t>who</w:t>
      </w:r>
      <w:r>
        <w:rPr>
          <w:spacing w:val="-13"/>
        </w:rPr>
        <w:t> </w:t>
      </w:r>
      <w:r>
        <w:rPr/>
        <w:t>recalled taking</w:t>
      </w:r>
      <w:r>
        <w:rPr>
          <w:spacing w:val="-18"/>
        </w:rPr>
        <w:t> </w:t>
      </w:r>
      <w:r>
        <w:rPr/>
        <w:t>part</w:t>
      </w:r>
      <w:r>
        <w:rPr>
          <w:spacing w:val="-18"/>
        </w:rPr>
        <w:t> </w:t>
      </w:r>
      <w:r>
        <w:rPr/>
        <w:t>in</w:t>
      </w:r>
      <w:r>
        <w:rPr>
          <w:spacing w:val="-17"/>
        </w:rPr>
        <w:t> </w:t>
      </w:r>
      <w:r>
        <w:rPr/>
        <w:t>EC</w:t>
      </w:r>
      <w:r>
        <w:rPr>
          <w:spacing w:val="-18"/>
        </w:rPr>
        <w:t> </w:t>
      </w:r>
      <w:r>
        <w:rPr/>
        <w:t>earlier</w:t>
      </w:r>
      <w:r>
        <w:rPr>
          <w:spacing w:val="-17"/>
        </w:rPr>
        <w:t> </w:t>
      </w:r>
      <w:r>
        <w:rPr/>
        <w:t>in</w:t>
      </w:r>
      <w:r>
        <w:rPr>
          <w:spacing w:val="-18"/>
        </w:rPr>
        <w:t> </w:t>
      </w:r>
      <w:r>
        <w:rPr/>
        <w:t>their</w:t>
      </w:r>
      <w:r>
        <w:rPr>
          <w:spacing w:val="-18"/>
        </w:rPr>
        <w:t> </w:t>
      </w:r>
      <w:r>
        <w:rPr/>
        <w:t>dispute</w:t>
      </w:r>
      <w:r>
        <w:rPr>
          <w:spacing w:val="-17"/>
        </w:rPr>
        <w:t> </w:t>
      </w:r>
      <w:r>
        <w:rPr/>
        <w:t>were</w:t>
      </w:r>
      <w:r>
        <w:rPr>
          <w:spacing w:val="-18"/>
        </w:rPr>
        <w:t> </w:t>
      </w:r>
      <w:r>
        <w:rPr/>
        <w:t>more</w:t>
      </w:r>
      <w:r>
        <w:rPr>
          <w:spacing w:val="-17"/>
        </w:rPr>
        <w:t> </w:t>
      </w:r>
      <w:r>
        <w:rPr/>
        <w:t>likely</w:t>
      </w:r>
      <w:r>
        <w:rPr>
          <w:spacing w:val="-18"/>
        </w:rPr>
        <w:t> </w:t>
      </w:r>
      <w:r>
        <w:rPr/>
        <w:t>to</w:t>
      </w:r>
      <w:r>
        <w:rPr>
          <w:spacing w:val="-17"/>
        </w:rPr>
        <w:t> </w:t>
      </w:r>
      <w:r>
        <w:rPr/>
        <w:t>indicate</w:t>
      </w:r>
      <w:r>
        <w:rPr>
          <w:spacing w:val="-18"/>
        </w:rPr>
        <w:t> </w:t>
      </w:r>
      <w:r>
        <w:rPr/>
        <w:t>they</w:t>
      </w:r>
      <w:r>
        <w:rPr>
          <w:spacing w:val="-18"/>
        </w:rPr>
        <w:t> </w:t>
      </w:r>
      <w:r>
        <w:rPr/>
        <w:t>had</w:t>
      </w:r>
      <w:r>
        <w:rPr>
          <w:spacing w:val="-17"/>
        </w:rPr>
        <w:t> </w:t>
      </w:r>
      <w:r>
        <w:rPr/>
        <w:t>settled than</w:t>
      </w:r>
      <w:r>
        <w:rPr>
          <w:spacing w:val="-9"/>
        </w:rPr>
        <w:t> </w:t>
      </w:r>
      <w:r>
        <w:rPr/>
        <w:t>those</w:t>
      </w:r>
      <w:r>
        <w:rPr>
          <w:spacing w:val="-10"/>
        </w:rPr>
        <w:t> </w:t>
      </w:r>
      <w:r>
        <w:rPr/>
        <w:t>who</w:t>
      </w:r>
      <w:r>
        <w:rPr>
          <w:spacing w:val="-10"/>
        </w:rPr>
        <w:t> </w:t>
      </w:r>
      <w:r>
        <w:rPr/>
        <w:t>did</w:t>
      </w:r>
      <w:r>
        <w:rPr>
          <w:spacing w:val="-8"/>
        </w:rPr>
        <w:t> </w:t>
      </w:r>
      <w:r>
        <w:rPr/>
        <w:t>not.</w:t>
      </w:r>
      <w:r>
        <w:rPr>
          <w:spacing w:val="-8"/>
        </w:rPr>
        <w:t> </w:t>
      </w:r>
      <w:r>
        <w:rPr/>
        <w:t>Among</w:t>
      </w:r>
      <w:r>
        <w:rPr>
          <w:spacing w:val="-9"/>
        </w:rPr>
        <w:t> </w:t>
      </w:r>
      <w:r>
        <w:rPr/>
        <w:t>this</w:t>
      </w:r>
      <w:r>
        <w:rPr>
          <w:spacing w:val="-8"/>
        </w:rPr>
        <w:t> </w:t>
      </w:r>
      <w:r>
        <w:rPr/>
        <w:t>group,</w:t>
      </w:r>
      <w:r>
        <w:rPr>
          <w:spacing w:val="-8"/>
        </w:rPr>
        <w:t> </w:t>
      </w:r>
      <w:r>
        <w:rPr/>
        <w:t>57</w:t>
      </w:r>
      <w:r>
        <w:rPr>
          <w:spacing w:val="-9"/>
        </w:rPr>
        <w:t> </w:t>
      </w:r>
      <w:r>
        <w:rPr/>
        <w:t>per</w:t>
      </w:r>
      <w:r>
        <w:rPr>
          <w:spacing w:val="-8"/>
        </w:rPr>
        <w:t> </w:t>
      </w:r>
      <w:r>
        <w:rPr/>
        <w:t>cent</w:t>
      </w:r>
      <w:r>
        <w:rPr>
          <w:spacing w:val="-8"/>
        </w:rPr>
        <w:t> </w:t>
      </w:r>
      <w:r>
        <w:rPr/>
        <w:t>of</w:t>
      </w:r>
      <w:r>
        <w:rPr>
          <w:spacing w:val="-9"/>
        </w:rPr>
        <w:t> </w:t>
      </w:r>
      <w:r>
        <w:rPr/>
        <w:t>claimant-side</w:t>
      </w:r>
      <w:r>
        <w:rPr>
          <w:spacing w:val="-9"/>
        </w:rPr>
        <w:t> </w:t>
      </w:r>
      <w:r>
        <w:rPr/>
        <w:t>and</w:t>
      </w:r>
      <w:r>
        <w:rPr>
          <w:spacing w:val="-8"/>
        </w:rPr>
        <w:t> </w:t>
      </w:r>
      <w:r>
        <w:rPr/>
        <w:t>56</w:t>
      </w:r>
      <w:r>
        <w:rPr>
          <w:spacing w:val="-10"/>
        </w:rPr>
        <w:t> </w:t>
      </w:r>
      <w:r>
        <w:rPr/>
        <w:t>per cent of employer-side</w:t>
      </w:r>
      <w:r>
        <w:rPr>
          <w:spacing w:val="-1"/>
        </w:rPr>
        <w:t> </w:t>
      </w:r>
      <w:r>
        <w:rPr/>
        <w:t>participants</w:t>
      </w:r>
      <w:r>
        <w:rPr>
          <w:spacing w:val="-1"/>
        </w:rPr>
        <w:t> </w:t>
      </w:r>
      <w:r>
        <w:rPr/>
        <w:t>said</w:t>
      </w:r>
      <w:r>
        <w:rPr>
          <w:spacing w:val="-1"/>
        </w:rPr>
        <w:t> </w:t>
      </w:r>
      <w:r>
        <w:rPr/>
        <w:t>that their</w:t>
      </w:r>
      <w:r>
        <w:rPr>
          <w:spacing w:val="-1"/>
        </w:rPr>
        <w:t> </w:t>
      </w:r>
      <w:r>
        <w:rPr/>
        <w:t>case</w:t>
      </w:r>
      <w:r>
        <w:rPr>
          <w:spacing w:val="-1"/>
        </w:rPr>
        <w:t> </w:t>
      </w:r>
      <w:r>
        <w:rPr/>
        <w:t>was</w:t>
      </w:r>
      <w:r>
        <w:rPr>
          <w:spacing w:val="-1"/>
        </w:rPr>
        <w:t> </w:t>
      </w:r>
      <w:r>
        <w:rPr/>
        <w:t>settled, compared </w:t>
      </w:r>
      <w:r>
        <w:rPr>
          <w:spacing w:val="-4"/>
        </w:rPr>
        <w:t>with</w:t>
      </w:r>
    </w:p>
    <w:p>
      <w:pPr>
        <w:pStyle w:val="BodyText"/>
        <w:spacing w:line="259" w:lineRule="auto"/>
        <w:ind w:left="1337" w:right="1474" w:hanging="1"/>
        <w:jc w:val="both"/>
      </w:pPr>
      <w:r>
        <w:rPr/>
        <w:t>47 per cent and 49 per cent who said they did not take part in EC. This is a statistically</w:t>
      </w:r>
      <w:r>
        <w:rPr>
          <w:spacing w:val="-17"/>
        </w:rPr>
        <w:t> </w:t>
      </w:r>
      <w:r>
        <w:rPr/>
        <w:t>significant</w:t>
      </w:r>
      <w:r>
        <w:rPr>
          <w:spacing w:val="-15"/>
        </w:rPr>
        <w:t> </w:t>
      </w:r>
      <w:r>
        <w:rPr/>
        <w:t>difference</w:t>
      </w:r>
      <w:r>
        <w:rPr>
          <w:spacing w:val="-15"/>
        </w:rPr>
        <w:t> </w:t>
      </w:r>
      <w:r>
        <w:rPr/>
        <w:t>on</w:t>
      </w:r>
      <w:r>
        <w:rPr>
          <w:spacing w:val="-16"/>
        </w:rPr>
        <w:t> </w:t>
      </w:r>
      <w:r>
        <w:rPr/>
        <w:t>the</w:t>
      </w:r>
      <w:r>
        <w:rPr>
          <w:spacing w:val="-16"/>
        </w:rPr>
        <w:t> </w:t>
      </w:r>
      <w:r>
        <w:rPr/>
        <w:t>claimant</w:t>
      </w:r>
      <w:r>
        <w:rPr>
          <w:spacing w:val="-15"/>
        </w:rPr>
        <w:t> </w:t>
      </w:r>
      <w:r>
        <w:rPr/>
        <w:t>side</w:t>
      </w:r>
      <w:r>
        <w:rPr>
          <w:spacing w:val="-16"/>
        </w:rPr>
        <w:t> </w:t>
      </w:r>
      <w:r>
        <w:rPr/>
        <w:t>but</w:t>
      </w:r>
      <w:r>
        <w:rPr>
          <w:spacing w:val="-14"/>
        </w:rPr>
        <w:t> </w:t>
      </w:r>
      <w:r>
        <w:rPr/>
        <w:t>not</w:t>
      </w:r>
      <w:r>
        <w:rPr>
          <w:spacing w:val="-15"/>
        </w:rPr>
        <w:t> </w:t>
      </w:r>
      <w:r>
        <w:rPr/>
        <w:t>on</w:t>
      </w:r>
      <w:r>
        <w:rPr>
          <w:spacing w:val="-15"/>
        </w:rPr>
        <w:t> </w:t>
      </w:r>
      <w:r>
        <w:rPr/>
        <w:t>the</w:t>
      </w:r>
      <w:r>
        <w:rPr>
          <w:spacing w:val="-16"/>
        </w:rPr>
        <w:t> </w:t>
      </w:r>
      <w:r>
        <w:rPr/>
        <w:t>employer</w:t>
      </w:r>
      <w:r>
        <w:rPr>
          <w:spacing w:val="-14"/>
        </w:rPr>
        <w:t> </w:t>
      </w:r>
      <w:r>
        <w:rPr>
          <w:spacing w:val="-2"/>
        </w:rPr>
        <w:t>side.</w:t>
      </w:r>
    </w:p>
    <w:p>
      <w:pPr>
        <w:pStyle w:val="BodyText"/>
        <w:spacing w:line="259" w:lineRule="auto" w:before="158"/>
        <w:ind w:left="1337" w:right="1474"/>
        <w:jc w:val="both"/>
      </w:pPr>
      <w:r>
        <w:rPr/>
        <w:t>However,</w:t>
      </w:r>
      <w:r>
        <w:rPr>
          <w:spacing w:val="-6"/>
        </w:rPr>
        <w:t> </w:t>
      </w:r>
      <w:r>
        <w:rPr/>
        <w:t>there</w:t>
      </w:r>
      <w:r>
        <w:rPr>
          <w:spacing w:val="-6"/>
        </w:rPr>
        <w:t> </w:t>
      </w:r>
      <w:r>
        <w:rPr/>
        <w:t>was</w:t>
      </w:r>
      <w:r>
        <w:rPr>
          <w:spacing w:val="-7"/>
        </w:rPr>
        <w:t> </w:t>
      </w:r>
      <w:r>
        <w:rPr/>
        <w:t>no</w:t>
      </w:r>
      <w:r>
        <w:rPr>
          <w:spacing w:val="-7"/>
        </w:rPr>
        <w:t> </w:t>
      </w:r>
      <w:r>
        <w:rPr/>
        <w:t>difference</w:t>
      </w:r>
      <w:r>
        <w:rPr>
          <w:spacing w:val="-6"/>
        </w:rPr>
        <w:t> </w:t>
      </w:r>
      <w:r>
        <w:rPr/>
        <w:t>in</w:t>
      </w:r>
      <w:r>
        <w:rPr>
          <w:spacing w:val="-5"/>
        </w:rPr>
        <w:t> </w:t>
      </w:r>
      <w:r>
        <w:rPr/>
        <w:t>conciliator</w:t>
      </w:r>
      <w:r>
        <w:rPr>
          <w:spacing w:val="-5"/>
        </w:rPr>
        <w:t> </w:t>
      </w:r>
      <w:r>
        <w:rPr/>
        <w:t>ratings</w:t>
      </w:r>
      <w:r>
        <w:rPr>
          <w:spacing w:val="-7"/>
        </w:rPr>
        <w:t> </w:t>
      </w:r>
      <w:r>
        <w:rPr/>
        <w:t>between</w:t>
      </w:r>
      <w:r>
        <w:rPr>
          <w:spacing w:val="-5"/>
        </w:rPr>
        <w:t> </w:t>
      </w:r>
      <w:r>
        <w:rPr/>
        <w:t>those</w:t>
      </w:r>
      <w:r>
        <w:rPr>
          <w:spacing w:val="-7"/>
        </w:rPr>
        <w:t> </w:t>
      </w:r>
      <w:r>
        <w:rPr/>
        <w:t>who</w:t>
      </w:r>
      <w:r>
        <w:rPr>
          <w:spacing w:val="-7"/>
        </w:rPr>
        <w:t> </w:t>
      </w:r>
      <w:r>
        <w:rPr/>
        <w:t>did</w:t>
      </w:r>
      <w:r>
        <w:rPr>
          <w:spacing w:val="-5"/>
        </w:rPr>
        <w:t> </w:t>
      </w:r>
      <w:r>
        <w:rPr/>
        <w:t>and did</w:t>
      </w:r>
      <w:r>
        <w:rPr>
          <w:spacing w:val="-6"/>
        </w:rPr>
        <w:t> </w:t>
      </w:r>
      <w:r>
        <w:rPr/>
        <w:t>not</w:t>
      </w:r>
      <w:r>
        <w:rPr>
          <w:spacing w:val="-7"/>
        </w:rPr>
        <w:t> </w:t>
      </w:r>
      <w:r>
        <w:rPr/>
        <w:t>take</w:t>
      </w:r>
      <w:r>
        <w:rPr>
          <w:spacing w:val="-7"/>
        </w:rPr>
        <w:t> </w:t>
      </w:r>
      <w:r>
        <w:rPr/>
        <w:t>part</w:t>
      </w:r>
      <w:r>
        <w:rPr>
          <w:spacing w:val="-5"/>
        </w:rPr>
        <w:t> </w:t>
      </w:r>
      <w:r>
        <w:rPr/>
        <w:t>in</w:t>
      </w:r>
      <w:r>
        <w:rPr>
          <w:spacing w:val="-7"/>
        </w:rPr>
        <w:t> </w:t>
      </w:r>
      <w:r>
        <w:rPr/>
        <w:t>EC</w:t>
      </w:r>
      <w:r>
        <w:rPr>
          <w:spacing w:val="-6"/>
        </w:rPr>
        <w:t> </w:t>
      </w:r>
      <w:r>
        <w:rPr/>
        <w:t>previously</w:t>
      </w:r>
      <w:r>
        <w:rPr>
          <w:spacing w:val="-5"/>
        </w:rPr>
        <w:t> </w:t>
      </w:r>
      <w:r>
        <w:rPr/>
        <w:t>–</w:t>
      </w:r>
      <w:r>
        <w:rPr>
          <w:spacing w:val="-6"/>
        </w:rPr>
        <w:t> </w:t>
      </w:r>
      <w:r>
        <w:rPr/>
        <w:t>perhaps</w:t>
      </w:r>
      <w:r>
        <w:rPr>
          <w:spacing w:val="-7"/>
        </w:rPr>
        <w:t> </w:t>
      </w:r>
      <w:r>
        <w:rPr/>
        <w:t>related</w:t>
      </w:r>
      <w:r>
        <w:rPr>
          <w:spacing w:val="-6"/>
        </w:rPr>
        <w:t> </w:t>
      </w:r>
      <w:r>
        <w:rPr/>
        <w:t>to</w:t>
      </w:r>
      <w:r>
        <w:rPr>
          <w:spacing w:val="-7"/>
        </w:rPr>
        <w:t> </w:t>
      </w:r>
      <w:r>
        <w:rPr/>
        <w:t>the</w:t>
      </w:r>
      <w:r>
        <w:rPr>
          <w:spacing w:val="-7"/>
        </w:rPr>
        <w:t> </w:t>
      </w:r>
      <w:r>
        <w:rPr/>
        <w:t>fact</w:t>
      </w:r>
      <w:r>
        <w:rPr>
          <w:spacing w:val="-7"/>
        </w:rPr>
        <w:t> </w:t>
      </w:r>
      <w:r>
        <w:rPr/>
        <w:t>that</w:t>
      </w:r>
      <w:r>
        <w:rPr>
          <w:spacing w:val="-6"/>
        </w:rPr>
        <w:t> </w:t>
      </w:r>
      <w:r>
        <w:rPr/>
        <w:t>the</w:t>
      </w:r>
      <w:r>
        <w:rPr>
          <w:spacing w:val="-7"/>
        </w:rPr>
        <w:t> </w:t>
      </w:r>
      <w:r>
        <w:rPr/>
        <w:t>majority</w:t>
      </w:r>
      <w:r>
        <w:rPr>
          <w:spacing w:val="-5"/>
        </w:rPr>
        <w:t> </w:t>
      </w:r>
      <w:r>
        <w:rPr/>
        <w:t>of those who took part in both EC and post-ET1 used the same conciliator for both. Both groups</w:t>
      </w:r>
      <w:r>
        <w:rPr>
          <w:spacing w:val="-2"/>
        </w:rPr>
        <w:t> </w:t>
      </w:r>
      <w:r>
        <w:rPr/>
        <w:t>that</w:t>
      </w:r>
      <w:r>
        <w:rPr>
          <w:spacing w:val="-2"/>
        </w:rPr>
        <w:t> </w:t>
      </w:r>
      <w:r>
        <w:rPr/>
        <w:t>took</w:t>
      </w:r>
      <w:r>
        <w:rPr>
          <w:spacing w:val="-1"/>
        </w:rPr>
        <w:t> </w:t>
      </w:r>
      <w:r>
        <w:rPr/>
        <w:t>part in post</w:t>
      </w:r>
      <w:r>
        <w:rPr>
          <w:spacing w:val="-2"/>
        </w:rPr>
        <w:t> </w:t>
      </w:r>
      <w:r>
        <w:rPr/>
        <w:t>ET1</w:t>
      </w:r>
      <w:r>
        <w:rPr>
          <w:spacing w:val="-1"/>
        </w:rPr>
        <w:t> </w:t>
      </w:r>
      <w:r>
        <w:rPr/>
        <w:t>conciliation were</w:t>
      </w:r>
      <w:r>
        <w:rPr>
          <w:spacing w:val="-1"/>
        </w:rPr>
        <w:t> </w:t>
      </w:r>
      <w:r>
        <w:rPr/>
        <w:t>very</w:t>
      </w:r>
      <w:r>
        <w:rPr>
          <w:spacing w:val="-1"/>
        </w:rPr>
        <w:t> </w:t>
      </w:r>
      <w:r>
        <w:rPr/>
        <w:t>likely</w:t>
      </w:r>
      <w:r>
        <w:rPr>
          <w:spacing w:val="-1"/>
        </w:rPr>
        <w:t> </w:t>
      </w:r>
      <w:r>
        <w:rPr/>
        <w:t>to</w:t>
      </w:r>
      <w:r>
        <w:rPr>
          <w:spacing w:val="-1"/>
        </w:rPr>
        <w:t> </w:t>
      </w:r>
      <w:r>
        <w:rPr/>
        <w:t>say</w:t>
      </w:r>
      <w:r>
        <w:rPr>
          <w:spacing w:val="-1"/>
        </w:rPr>
        <w:t> </w:t>
      </w:r>
      <w:r>
        <w:rPr/>
        <w:t>that</w:t>
      </w:r>
      <w:r>
        <w:rPr>
          <w:spacing w:val="-1"/>
        </w:rPr>
        <w:t> </w:t>
      </w:r>
      <w:r>
        <w:rPr/>
        <w:t>the conciliator had been even-handed (79 per cent of all participants who took part in EC compared to 80 per cent of those who did not), and that the conciliator was generally available when needed.</w:t>
      </w:r>
    </w:p>
    <w:p>
      <w:pPr>
        <w:pStyle w:val="BodyText"/>
        <w:spacing w:line="259" w:lineRule="auto" w:before="157"/>
        <w:ind w:left="1336" w:right="1473"/>
        <w:jc w:val="both"/>
      </w:pPr>
      <w:r>
        <w:rPr/>
        <w:t>Those who used the same conciliator as at the EC stage were more likely to say that</w:t>
      </w:r>
      <w:r>
        <w:rPr>
          <w:spacing w:val="-3"/>
        </w:rPr>
        <w:t> </w:t>
      </w:r>
      <w:r>
        <w:rPr/>
        <w:t>the</w:t>
      </w:r>
      <w:r>
        <w:rPr>
          <w:spacing w:val="-2"/>
        </w:rPr>
        <w:t> </w:t>
      </w:r>
      <w:r>
        <w:rPr/>
        <w:t>conciliator</w:t>
      </w:r>
      <w:r>
        <w:rPr>
          <w:spacing w:val="-2"/>
        </w:rPr>
        <w:t> </w:t>
      </w:r>
      <w:r>
        <w:rPr/>
        <w:t>had</w:t>
      </w:r>
      <w:r>
        <w:rPr>
          <w:spacing w:val="-3"/>
        </w:rPr>
        <w:t> </w:t>
      </w:r>
      <w:r>
        <w:rPr/>
        <w:t>been</w:t>
      </w:r>
      <w:r>
        <w:rPr>
          <w:spacing w:val="-1"/>
        </w:rPr>
        <w:t> </w:t>
      </w:r>
      <w:r>
        <w:rPr/>
        <w:t>even-handed</w:t>
      </w:r>
      <w:r>
        <w:rPr>
          <w:spacing w:val="-3"/>
        </w:rPr>
        <w:t> </w:t>
      </w:r>
      <w:r>
        <w:rPr/>
        <w:t>compared</w:t>
      </w:r>
      <w:r>
        <w:rPr>
          <w:spacing w:val="-2"/>
        </w:rPr>
        <w:t> </w:t>
      </w:r>
      <w:r>
        <w:rPr/>
        <w:t>to</w:t>
      </w:r>
      <w:r>
        <w:rPr>
          <w:spacing w:val="-2"/>
        </w:rPr>
        <w:t> </w:t>
      </w:r>
      <w:r>
        <w:rPr/>
        <w:t>those</w:t>
      </w:r>
      <w:r>
        <w:rPr>
          <w:spacing w:val="-2"/>
        </w:rPr>
        <w:t> </w:t>
      </w:r>
      <w:r>
        <w:rPr/>
        <w:t>that</w:t>
      </w:r>
      <w:r>
        <w:rPr>
          <w:spacing w:val="-3"/>
        </w:rPr>
        <w:t> </w:t>
      </w:r>
      <w:r>
        <w:rPr/>
        <w:t>did</w:t>
      </w:r>
      <w:r>
        <w:rPr>
          <w:spacing w:val="-2"/>
        </w:rPr>
        <w:t> </w:t>
      </w:r>
      <w:r>
        <w:rPr/>
        <w:t>not</w:t>
      </w:r>
      <w:r>
        <w:rPr>
          <w:spacing w:val="-3"/>
        </w:rPr>
        <w:t> </w:t>
      </w:r>
      <w:r>
        <w:rPr/>
        <w:t>(79</w:t>
      </w:r>
      <w:r>
        <w:rPr>
          <w:spacing w:val="-2"/>
        </w:rPr>
        <w:t> </w:t>
      </w:r>
      <w:r>
        <w:rPr/>
        <w:t>per cent</w:t>
      </w:r>
      <w:r>
        <w:rPr>
          <w:spacing w:val="-9"/>
        </w:rPr>
        <w:t> </w:t>
      </w:r>
      <w:r>
        <w:rPr/>
        <w:t>compared</w:t>
      </w:r>
      <w:r>
        <w:rPr>
          <w:spacing w:val="-8"/>
        </w:rPr>
        <w:t> </w:t>
      </w:r>
      <w:r>
        <w:rPr/>
        <w:t>to</w:t>
      </w:r>
      <w:r>
        <w:rPr>
          <w:spacing w:val="-8"/>
        </w:rPr>
        <w:t> </w:t>
      </w:r>
      <w:r>
        <w:rPr/>
        <w:t>68</w:t>
      </w:r>
      <w:r>
        <w:rPr>
          <w:spacing w:val="-9"/>
        </w:rPr>
        <w:t> </w:t>
      </w:r>
      <w:r>
        <w:rPr/>
        <w:t>per</w:t>
      </w:r>
      <w:r>
        <w:rPr>
          <w:spacing w:val="-8"/>
        </w:rPr>
        <w:t> </w:t>
      </w:r>
      <w:r>
        <w:rPr/>
        <w:t>cent).</w:t>
      </w:r>
      <w:r>
        <w:rPr>
          <w:spacing w:val="-9"/>
        </w:rPr>
        <w:t> </w:t>
      </w:r>
      <w:r>
        <w:rPr/>
        <w:t>They</w:t>
      </w:r>
      <w:r>
        <w:rPr>
          <w:spacing w:val="-9"/>
        </w:rPr>
        <w:t> </w:t>
      </w:r>
      <w:r>
        <w:rPr/>
        <w:t>were</w:t>
      </w:r>
      <w:r>
        <w:rPr>
          <w:spacing w:val="-9"/>
        </w:rPr>
        <w:t> </w:t>
      </w:r>
      <w:r>
        <w:rPr/>
        <w:t>also</w:t>
      </w:r>
      <w:r>
        <w:rPr>
          <w:spacing w:val="-8"/>
        </w:rPr>
        <w:t> </w:t>
      </w:r>
      <w:r>
        <w:rPr/>
        <w:t>significantly</w:t>
      </w:r>
      <w:r>
        <w:rPr>
          <w:spacing w:val="-8"/>
        </w:rPr>
        <w:t> </w:t>
      </w:r>
      <w:r>
        <w:rPr/>
        <w:t>more</w:t>
      </w:r>
      <w:r>
        <w:rPr>
          <w:spacing w:val="-9"/>
        </w:rPr>
        <w:t> </w:t>
      </w:r>
      <w:r>
        <w:rPr/>
        <w:t>likely</w:t>
      </w:r>
      <w:r>
        <w:rPr>
          <w:spacing w:val="-7"/>
        </w:rPr>
        <w:t> </w:t>
      </w:r>
      <w:r>
        <w:rPr/>
        <w:t>to</w:t>
      </w:r>
      <w:r>
        <w:rPr>
          <w:spacing w:val="-10"/>
        </w:rPr>
        <w:t> </w:t>
      </w:r>
      <w:r>
        <w:rPr/>
        <w:t>say</w:t>
      </w:r>
      <w:r>
        <w:rPr>
          <w:spacing w:val="-9"/>
        </w:rPr>
        <w:t> </w:t>
      </w:r>
      <w:r>
        <w:rPr/>
        <w:t>their conciliator</w:t>
      </w:r>
      <w:r>
        <w:rPr>
          <w:spacing w:val="-1"/>
        </w:rPr>
        <w:t> </w:t>
      </w:r>
      <w:r>
        <w:rPr/>
        <w:t>was</w:t>
      </w:r>
      <w:r>
        <w:rPr>
          <w:spacing w:val="-2"/>
        </w:rPr>
        <w:t> </w:t>
      </w:r>
      <w:r>
        <w:rPr/>
        <w:t>always</w:t>
      </w:r>
      <w:r>
        <w:rPr>
          <w:spacing w:val="-3"/>
        </w:rPr>
        <w:t> </w:t>
      </w:r>
      <w:r>
        <w:rPr/>
        <w:t>or</w:t>
      </w:r>
      <w:r>
        <w:rPr>
          <w:spacing w:val="-2"/>
        </w:rPr>
        <w:t> </w:t>
      </w:r>
      <w:r>
        <w:rPr/>
        <w:t>usually</w:t>
      </w:r>
      <w:r>
        <w:rPr>
          <w:spacing w:val="-2"/>
        </w:rPr>
        <w:t> </w:t>
      </w:r>
      <w:r>
        <w:rPr/>
        <w:t>available</w:t>
      </w:r>
      <w:r>
        <w:rPr>
          <w:spacing w:val="-3"/>
        </w:rPr>
        <w:t> </w:t>
      </w:r>
      <w:r>
        <w:rPr/>
        <w:t>when</w:t>
      </w:r>
      <w:r>
        <w:rPr>
          <w:spacing w:val="-2"/>
        </w:rPr>
        <w:t> </w:t>
      </w:r>
      <w:r>
        <w:rPr/>
        <w:t>needed</w:t>
      </w:r>
      <w:r>
        <w:rPr>
          <w:spacing w:val="-2"/>
        </w:rPr>
        <w:t> </w:t>
      </w:r>
      <w:r>
        <w:rPr/>
        <w:t>(75</w:t>
      </w:r>
      <w:r>
        <w:rPr>
          <w:spacing w:val="-2"/>
        </w:rPr>
        <w:t> </w:t>
      </w:r>
      <w:r>
        <w:rPr/>
        <w:t>per</w:t>
      </w:r>
      <w:r>
        <w:rPr>
          <w:spacing w:val="-2"/>
        </w:rPr>
        <w:t> </w:t>
      </w:r>
      <w:r>
        <w:rPr/>
        <w:t>cent</w:t>
      </w:r>
      <w:r>
        <w:rPr>
          <w:spacing w:val="-2"/>
        </w:rPr>
        <w:t> </w:t>
      </w:r>
      <w:r>
        <w:rPr/>
        <w:t>compared</w:t>
      </w:r>
      <w:r>
        <w:rPr>
          <w:spacing w:val="-2"/>
        </w:rPr>
        <w:t> </w:t>
      </w:r>
      <w:r>
        <w:rPr/>
        <w:t>to 61 per cent).</w:t>
      </w:r>
    </w:p>
    <w:p>
      <w:pPr>
        <w:pStyle w:val="BodyText"/>
        <w:spacing w:line="259" w:lineRule="auto" w:before="159"/>
        <w:ind w:left="1336" w:right="1474"/>
        <w:jc w:val="both"/>
      </w:pPr>
      <w:r>
        <w:rPr/>
        <w:t>In a difference from 2016, prior use of EC did not have an impact on satisfaction with the post-ET1 conciliation service received: the proportion satisfied with the service</w:t>
      </w:r>
      <w:r>
        <w:rPr>
          <w:spacing w:val="-15"/>
        </w:rPr>
        <w:t> </w:t>
      </w:r>
      <w:r>
        <w:rPr/>
        <w:t>received</w:t>
      </w:r>
      <w:r>
        <w:rPr>
          <w:spacing w:val="-14"/>
        </w:rPr>
        <w:t> </w:t>
      </w:r>
      <w:r>
        <w:rPr/>
        <w:t>was</w:t>
      </w:r>
      <w:r>
        <w:rPr>
          <w:spacing w:val="-14"/>
        </w:rPr>
        <w:t> </w:t>
      </w:r>
      <w:r>
        <w:rPr/>
        <w:t>similar</w:t>
      </w:r>
      <w:r>
        <w:rPr>
          <w:spacing w:val="-14"/>
        </w:rPr>
        <w:t> </w:t>
      </w:r>
      <w:r>
        <w:rPr/>
        <w:t>between</w:t>
      </w:r>
      <w:r>
        <w:rPr>
          <w:spacing w:val="-14"/>
        </w:rPr>
        <w:t> </w:t>
      </w:r>
      <w:r>
        <w:rPr/>
        <w:t>those</w:t>
      </w:r>
      <w:r>
        <w:rPr>
          <w:spacing w:val="-16"/>
        </w:rPr>
        <w:t> </w:t>
      </w:r>
      <w:r>
        <w:rPr/>
        <w:t>who</w:t>
      </w:r>
      <w:r>
        <w:rPr>
          <w:spacing w:val="-14"/>
        </w:rPr>
        <w:t> </w:t>
      </w:r>
      <w:r>
        <w:rPr/>
        <w:t>had</w:t>
      </w:r>
      <w:r>
        <w:rPr>
          <w:spacing w:val="-14"/>
        </w:rPr>
        <w:t> </w:t>
      </w:r>
      <w:r>
        <w:rPr/>
        <w:t>used</w:t>
      </w:r>
      <w:r>
        <w:rPr>
          <w:spacing w:val="-15"/>
        </w:rPr>
        <w:t> </w:t>
      </w:r>
      <w:r>
        <w:rPr/>
        <w:t>EC</w:t>
      </w:r>
      <w:r>
        <w:rPr>
          <w:spacing w:val="-14"/>
        </w:rPr>
        <w:t> </w:t>
      </w:r>
      <w:r>
        <w:rPr/>
        <w:t>earlier</w:t>
      </w:r>
      <w:r>
        <w:rPr>
          <w:spacing w:val="-13"/>
        </w:rPr>
        <w:t> </w:t>
      </w:r>
      <w:r>
        <w:rPr/>
        <w:t>in</w:t>
      </w:r>
      <w:r>
        <w:rPr>
          <w:spacing w:val="-14"/>
        </w:rPr>
        <w:t> </w:t>
      </w:r>
      <w:r>
        <w:rPr/>
        <w:t>their</w:t>
      </w:r>
      <w:r>
        <w:rPr>
          <w:spacing w:val="-14"/>
        </w:rPr>
        <w:t> </w:t>
      </w:r>
      <w:r>
        <w:rPr/>
        <w:t>dispute and those that had not.</w:t>
      </w:r>
    </w:p>
    <w:p>
      <w:pPr>
        <w:pStyle w:val="Heading3"/>
        <w:spacing w:before="159"/>
      </w:pPr>
      <w:r>
        <w:rPr/>
        <w:t>Consequences</w:t>
      </w:r>
      <w:r>
        <w:rPr>
          <w:spacing w:val="-8"/>
        </w:rPr>
        <w:t> </w:t>
      </w:r>
      <w:r>
        <w:rPr/>
        <w:t>of</w:t>
      </w:r>
      <w:r>
        <w:rPr>
          <w:spacing w:val="-5"/>
        </w:rPr>
        <w:t> </w:t>
      </w:r>
      <w:r>
        <w:rPr/>
        <w:t>post-ET1</w:t>
      </w:r>
      <w:r>
        <w:rPr>
          <w:spacing w:val="-4"/>
        </w:rPr>
        <w:t> </w:t>
      </w:r>
      <w:r>
        <w:rPr/>
        <w:t>conciliation</w:t>
      </w:r>
      <w:r>
        <w:rPr>
          <w:spacing w:val="-5"/>
        </w:rPr>
        <w:t> </w:t>
      </w:r>
      <w:r>
        <w:rPr/>
        <w:t>and</w:t>
      </w:r>
      <w:r>
        <w:rPr>
          <w:spacing w:val="-5"/>
        </w:rPr>
        <w:t> </w:t>
      </w:r>
      <w:r>
        <w:rPr/>
        <w:t>future</w:t>
      </w:r>
      <w:r>
        <w:rPr>
          <w:spacing w:val="-7"/>
        </w:rPr>
        <w:t> </w:t>
      </w:r>
      <w:r>
        <w:rPr/>
        <w:t>Acas</w:t>
      </w:r>
      <w:r>
        <w:rPr>
          <w:spacing w:val="-6"/>
        </w:rPr>
        <w:t> </w:t>
      </w:r>
      <w:r>
        <w:rPr>
          <w:spacing w:val="-2"/>
        </w:rPr>
        <w:t>usage</w:t>
      </w:r>
    </w:p>
    <w:p>
      <w:pPr>
        <w:pStyle w:val="BodyText"/>
        <w:spacing w:line="259" w:lineRule="auto" w:before="180"/>
        <w:ind w:left="1336" w:right="1474"/>
        <w:jc w:val="both"/>
      </w:pPr>
      <w:r>
        <w:rPr/>
        <w:t>As</w:t>
      </w:r>
      <w:r>
        <w:rPr>
          <w:spacing w:val="-6"/>
        </w:rPr>
        <w:t> </w:t>
      </w:r>
      <w:r>
        <w:rPr/>
        <w:t>in</w:t>
      </w:r>
      <w:r>
        <w:rPr>
          <w:spacing w:val="-5"/>
        </w:rPr>
        <w:t> </w:t>
      </w:r>
      <w:r>
        <w:rPr/>
        <w:t>2016,</w:t>
      </w:r>
      <w:r>
        <w:rPr>
          <w:spacing w:val="-7"/>
        </w:rPr>
        <w:t> </w:t>
      </w:r>
      <w:r>
        <w:rPr/>
        <w:t>large</w:t>
      </w:r>
      <w:r>
        <w:rPr>
          <w:spacing w:val="-6"/>
        </w:rPr>
        <w:t> </w:t>
      </w:r>
      <w:r>
        <w:rPr/>
        <w:t>majorities</w:t>
      </w:r>
      <w:r>
        <w:rPr>
          <w:spacing w:val="-5"/>
        </w:rPr>
        <w:t> </w:t>
      </w:r>
      <w:r>
        <w:rPr/>
        <w:t>said</w:t>
      </w:r>
      <w:r>
        <w:rPr>
          <w:spacing w:val="-6"/>
        </w:rPr>
        <w:t> </w:t>
      </w:r>
      <w:r>
        <w:rPr/>
        <w:t>they</w:t>
      </w:r>
      <w:r>
        <w:rPr>
          <w:spacing w:val="-5"/>
        </w:rPr>
        <w:t> </w:t>
      </w:r>
      <w:r>
        <w:rPr/>
        <w:t>would</w:t>
      </w:r>
      <w:r>
        <w:rPr>
          <w:spacing w:val="-6"/>
        </w:rPr>
        <w:t> </w:t>
      </w:r>
      <w:r>
        <w:rPr/>
        <w:t>make</w:t>
      </w:r>
      <w:r>
        <w:rPr>
          <w:spacing w:val="-6"/>
        </w:rPr>
        <w:t> </w:t>
      </w:r>
      <w:r>
        <w:rPr/>
        <w:t>use</w:t>
      </w:r>
      <w:r>
        <w:rPr>
          <w:spacing w:val="-6"/>
        </w:rPr>
        <w:t> </w:t>
      </w:r>
      <w:r>
        <w:rPr/>
        <w:t>of</w:t>
      </w:r>
      <w:r>
        <w:rPr>
          <w:spacing w:val="-5"/>
        </w:rPr>
        <w:t> </w:t>
      </w:r>
      <w:r>
        <w:rPr/>
        <w:t>Acas</w:t>
      </w:r>
      <w:r>
        <w:rPr>
          <w:spacing w:val="-6"/>
        </w:rPr>
        <w:t> </w:t>
      </w:r>
      <w:r>
        <w:rPr/>
        <w:t>conciliation</w:t>
      </w:r>
      <w:r>
        <w:rPr>
          <w:spacing w:val="-5"/>
        </w:rPr>
        <w:t> </w:t>
      </w:r>
      <w:r>
        <w:rPr/>
        <w:t>services again if required regardless of whether or not they had taken part in post ET1 conciliation on this occasion (86 per cent of claimant-side participants and 88 per cent of employer-side participants). Sixty-nine per cent of claimant-side participants</w:t>
      </w:r>
      <w:r>
        <w:rPr>
          <w:spacing w:val="-2"/>
        </w:rPr>
        <w:t> </w:t>
      </w:r>
      <w:r>
        <w:rPr/>
        <w:t>said</w:t>
      </w:r>
      <w:r>
        <w:rPr>
          <w:spacing w:val="-2"/>
        </w:rPr>
        <w:t> </w:t>
      </w:r>
      <w:r>
        <w:rPr/>
        <w:t>they</w:t>
      </w:r>
      <w:r>
        <w:rPr>
          <w:spacing w:val="-2"/>
        </w:rPr>
        <w:t> </w:t>
      </w:r>
      <w:r>
        <w:rPr/>
        <w:t>would</w:t>
      </w:r>
      <w:r>
        <w:rPr>
          <w:spacing w:val="-2"/>
        </w:rPr>
        <w:t> </w:t>
      </w:r>
      <w:r>
        <w:rPr/>
        <w:t>‘definitely’</w:t>
      </w:r>
      <w:r>
        <w:rPr>
          <w:spacing w:val="-2"/>
        </w:rPr>
        <w:t> </w:t>
      </w:r>
      <w:r>
        <w:rPr/>
        <w:t>make</w:t>
      </w:r>
      <w:r>
        <w:rPr>
          <w:spacing w:val="-3"/>
        </w:rPr>
        <w:t> </w:t>
      </w:r>
      <w:r>
        <w:rPr/>
        <w:t>use</w:t>
      </w:r>
      <w:r>
        <w:rPr>
          <w:spacing w:val="-3"/>
        </w:rPr>
        <w:t> </w:t>
      </w:r>
      <w:r>
        <w:rPr/>
        <w:t>of</w:t>
      </w:r>
      <w:r>
        <w:rPr>
          <w:spacing w:val="-2"/>
        </w:rPr>
        <w:t> </w:t>
      </w:r>
      <w:r>
        <w:rPr/>
        <w:t>the</w:t>
      </w:r>
      <w:r>
        <w:rPr>
          <w:spacing w:val="-3"/>
        </w:rPr>
        <w:t> </w:t>
      </w:r>
      <w:r>
        <w:rPr/>
        <w:t>service</w:t>
      </w:r>
      <w:r>
        <w:rPr>
          <w:spacing w:val="-3"/>
        </w:rPr>
        <w:t> </w:t>
      </w:r>
      <w:r>
        <w:rPr/>
        <w:t>again,</w:t>
      </w:r>
      <w:r>
        <w:rPr>
          <w:spacing w:val="-2"/>
        </w:rPr>
        <w:t> </w:t>
      </w:r>
      <w:r>
        <w:rPr/>
        <w:t>rising</w:t>
      </w:r>
      <w:r>
        <w:rPr>
          <w:spacing w:val="-2"/>
        </w:rPr>
        <w:t> </w:t>
      </w:r>
      <w:r>
        <w:rPr/>
        <w:t>to</w:t>
      </w:r>
      <w:r>
        <w:rPr>
          <w:spacing w:val="-2"/>
        </w:rPr>
        <w:t> </w:t>
      </w:r>
      <w:r>
        <w:rPr/>
        <w:t>77 per cent among those taking part in post-ET1 conciliation. Among employer-side participants these numbers were 63 per cent and 73 per cent respectively.</w:t>
      </w:r>
    </w:p>
    <w:p>
      <w:pPr>
        <w:pStyle w:val="BodyText"/>
        <w:spacing w:line="259" w:lineRule="auto" w:before="158"/>
        <w:ind w:left="1336" w:right="1473"/>
        <w:jc w:val="both"/>
      </w:pPr>
      <w:r>
        <w:rPr/>
        <w:t>There is scope for Acas to do more to embed change among employers, as four- fifths</w:t>
      </w:r>
      <w:r>
        <w:rPr>
          <w:spacing w:val="-1"/>
        </w:rPr>
        <w:t> </w:t>
      </w:r>
      <w:r>
        <w:rPr/>
        <w:t>of</w:t>
      </w:r>
      <w:r>
        <w:rPr>
          <w:spacing w:val="-2"/>
        </w:rPr>
        <w:t> </w:t>
      </w:r>
      <w:r>
        <w:rPr/>
        <w:t>unrepresented</w:t>
      </w:r>
      <w:r>
        <w:rPr>
          <w:spacing w:val="-1"/>
        </w:rPr>
        <w:t> </w:t>
      </w:r>
      <w:r>
        <w:rPr/>
        <w:t>employers who</w:t>
      </w:r>
      <w:r>
        <w:rPr>
          <w:spacing w:val="-1"/>
        </w:rPr>
        <w:t> </w:t>
      </w:r>
      <w:r>
        <w:rPr/>
        <w:t>took part in post-ET1</w:t>
      </w:r>
      <w:r>
        <w:rPr>
          <w:spacing w:val="-1"/>
        </w:rPr>
        <w:t> </w:t>
      </w:r>
      <w:r>
        <w:rPr/>
        <w:t>conciliation said they did</w:t>
      </w:r>
      <w:r>
        <w:rPr>
          <w:spacing w:val="-14"/>
        </w:rPr>
        <w:t> </w:t>
      </w:r>
      <w:r>
        <w:rPr/>
        <w:t>not</w:t>
      </w:r>
      <w:r>
        <w:rPr>
          <w:spacing w:val="-15"/>
        </w:rPr>
        <w:t> </w:t>
      </w:r>
      <w:r>
        <w:rPr/>
        <w:t>receive</w:t>
      </w:r>
      <w:r>
        <w:rPr>
          <w:spacing w:val="-14"/>
        </w:rPr>
        <w:t> </w:t>
      </w:r>
      <w:r>
        <w:rPr/>
        <w:t>any</w:t>
      </w:r>
      <w:r>
        <w:rPr>
          <w:spacing w:val="-15"/>
        </w:rPr>
        <w:t> </w:t>
      </w:r>
      <w:r>
        <w:rPr/>
        <w:t>information</w:t>
      </w:r>
      <w:r>
        <w:rPr>
          <w:spacing w:val="-13"/>
        </w:rPr>
        <w:t> </w:t>
      </w:r>
      <w:r>
        <w:rPr/>
        <w:t>or</w:t>
      </w:r>
      <w:r>
        <w:rPr>
          <w:spacing w:val="-14"/>
        </w:rPr>
        <w:t> </w:t>
      </w:r>
      <w:r>
        <w:rPr/>
        <w:t>advice</w:t>
      </w:r>
      <w:r>
        <w:rPr>
          <w:spacing w:val="-14"/>
        </w:rPr>
        <w:t> </w:t>
      </w:r>
      <w:r>
        <w:rPr/>
        <w:t>from</w:t>
      </w:r>
      <w:r>
        <w:rPr>
          <w:spacing w:val="-16"/>
        </w:rPr>
        <w:t> </w:t>
      </w:r>
      <w:r>
        <w:rPr/>
        <w:t>their</w:t>
      </w:r>
      <w:r>
        <w:rPr>
          <w:spacing w:val="-14"/>
        </w:rPr>
        <w:t> </w:t>
      </w:r>
      <w:r>
        <w:rPr/>
        <w:t>Acas</w:t>
      </w:r>
      <w:r>
        <w:rPr>
          <w:spacing w:val="-14"/>
        </w:rPr>
        <w:t> </w:t>
      </w:r>
      <w:r>
        <w:rPr/>
        <w:t>conciliator</w:t>
      </w:r>
      <w:r>
        <w:rPr>
          <w:spacing w:val="-14"/>
        </w:rPr>
        <w:t> </w:t>
      </w:r>
      <w:r>
        <w:rPr/>
        <w:t>to</w:t>
      </w:r>
      <w:r>
        <w:rPr>
          <w:spacing w:val="-15"/>
        </w:rPr>
        <w:t> </w:t>
      </w:r>
      <w:r>
        <w:rPr/>
        <w:t>help</w:t>
      </w:r>
      <w:r>
        <w:rPr>
          <w:spacing w:val="-14"/>
        </w:rPr>
        <w:t> </w:t>
      </w:r>
      <w:r>
        <w:rPr/>
        <w:t>prevent them from encountering another similar case in the future (79 per cent). While it should also be acknowledged that 31 per cent of this group said they introduced new policies, procedures or practices as a consequence of guidance received from the conciliator, this suggests that more work can be done actively to ensure employers update their procedures to avoid future disputes.</w:t>
      </w:r>
    </w:p>
    <w:p>
      <w:pPr>
        <w:spacing w:after="0" w:line="259" w:lineRule="auto"/>
        <w:jc w:val="both"/>
        <w:sectPr>
          <w:pgSz w:w="11910" w:h="16840"/>
          <w:pgMar w:header="0" w:footer="996" w:top="1340" w:bottom="1180" w:left="460" w:right="320"/>
        </w:sectPr>
      </w:pPr>
    </w:p>
    <w:p>
      <w:pPr>
        <w:pStyle w:val="Heading2"/>
        <w:numPr>
          <w:ilvl w:val="0"/>
          <w:numId w:val="2"/>
        </w:numPr>
        <w:tabs>
          <w:tab w:pos="1696" w:val="left" w:leader="none"/>
        </w:tabs>
        <w:spacing w:line="240" w:lineRule="auto" w:before="82" w:after="0"/>
        <w:ind w:left="1695" w:right="0" w:hanging="359"/>
        <w:jc w:val="left"/>
      </w:pPr>
      <w:bookmarkStart w:name="5. INTRODUCTION AND CONTEXT" w:id="9"/>
      <w:bookmarkEnd w:id="9"/>
      <w:r>
        <w:rPr>
          <w:b w:val="0"/>
        </w:rPr>
      </w:r>
      <w:bookmarkStart w:name="_bookmark4" w:id="10"/>
      <w:bookmarkEnd w:id="10"/>
      <w:r>
        <w:rPr/>
        <w:t>IN</w:t>
      </w:r>
      <w:r>
        <w:rPr/>
        <w:t>TRODUCTION</w:t>
      </w:r>
      <w:r>
        <w:rPr>
          <w:spacing w:val="-20"/>
        </w:rPr>
        <w:t> </w:t>
      </w:r>
      <w:r>
        <w:rPr/>
        <w:t>AND</w:t>
      </w:r>
      <w:r>
        <w:rPr>
          <w:spacing w:val="-19"/>
        </w:rPr>
        <w:t> </w:t>
      </w:r>
      <w:r>
        <w:rPr>
          <w:spacing w:val="-2"/>
        </w:rPr>
        <w:t>CONTEXT</w:t>
      </w:r>
    </w:p>
    <w:p>
      <w:pPr>
        <w:pStyle w:val="BodyText"/>
        <w:rPr>
          <w:b/>
          <w:sz w:val="34"/>
        </w:rPr>
      </w:pPr>
    </w:p>
    <w:p>
      <w:pPr>
        <w:pStyle w:val="BodyText"/>
        <w:spacing w:before="210"/>
        <w:ind w:left="1337" w:right="1474"/>
        <w:jc w:val="both"/>
      </w:pPr>
      <w:r>
        <w:rPr/>
        <w:t>The Advisory, Conciliation, and Arbitration Service (Acas) commissioned Ipsos MORI to undertake evaluations of its Individual Conciliation services – Early Conciliation and Post-ET1 Conciliation. This report outlines the findings from this </w:t>
      </w:r>
      <w:r>
        <w:rPr>
          <w:spacing w:val="-2"/>
        </w:rPr>
        <w:t>research.</w:t>
      </w:r>
    </w:p>
    <w:p>
      <w:pPr>
        <w:pStyle w:val="BodyText"/>
      </w:pPr>
    </w:p>
    <w:p>
      <w:pPr>
        <w:pStyle w:val="Heading3"/>
        <w:spacing w:line="243" w:lineRule="exact" w:before="1"/>
        <w:ind w:left="1338"/>
        <w:jc w:val="left"/>
      </w:pPr>
      <w:r>
        <w:rPr>
          <w:spacing w:val="-2"/>
        </w:rPr>
        <w:t>Background</w:t>
      </w:r>
    </w:p>
    <w:p>
      <w:pPr>
        <w:pStyle w:val="BodyText"/>
        <w:ind w:left="1338" w:right="1471" w:hanging="1"/>
        <w:jc w:val="both"/>
      </w:pPr>
      <w:r>
        <w:rPr/>
        <w:t>Acas has a longstanding statutory duty to promote the resolution of claims to the Employment Tribunal (ET) in order to avoid recourse to a full tribunal hearing. Under current arrangements this</w:t>
      </w:r>
      <w:r>
        <w:rPr>
          <w:spacing w:val="-1"/>
        </w:rPr>
        <w:t> </w:t>
      </w:r>
      <w:r>
        <w:rPr/>
        <w:t>duty is provided in two</w:t>
      </w:r>
      <w:r>
        <w:rPr>
          <w:spacing w:val="-1"/>
        </w:rPr>
        <w:t> </w:t>
      </w:r>
      <w:r>
        <w:rPr/>
        <w:t>parts –</w:t>
      </w:r>
      <w:r>
        <w:rPr>
          <w:spacing w:val="-1"/>
        </w:rPr>
        <w:t> </w:t>
      </w:r>
      <w:r>
        <w:rPr/>
        <w:t>Early Conciliation (EC) and conciliation in Employment Tribunal applications, which occurs after an ET1 claim form is submitted (‘post-ET1 conciliation’).</w:t>
      </w:r>
    </w:p>
    <w:p>
      <w:pPr>
        <w:pStyle w:val="BodyText"/>
      </w:pPr>
    </w:p>
    <w:p>
      <w:pPr>
        <w:pStyle w:val="BodyText"/>
        <w:spacing w:before="1"/>
        <w:ind w:left="1338" w:right="1472"/>
        <w:jc w:val="both"/>
      </w:pPr>
      <w:r>
        <w:rPr/>
        <w:t>In</w:t>
      </w:r>
      <w:r>
        <w:rPr>
          <w:spacing w:val="-12"/>
        </w:rPr>
        <w:t> </w:t>
      </w:r>
      <w:r>
        <w:rPr/>
        <w:t>the</w:t>
      </w:r>
      <w:r>
        <w:rPr>
          <w:spacing w:val="-13"/>
        </w:rPr>
        <w:t> </w:t>
      </w:r>
      <w:r>
        <w:rPr/>
        <w:t>majority</w:t>
      </w:r>
      <w:r>
        <w:rPr>
          <w:spacing w:val="-13"/>
        </w:rPr>
        <w:t> </w:t>
      </w:r>
      <w:r>
        <w:rPr/>
        <w:t>of</w:t>
      </w:r>
      <w:r>
        <w:rPr>
          <w:spacing w:val="-13"/>
        </w:rPr>
        <w:t> </w:t>
      </w:r>
      <w:r>
        <w:rPr/>
        <w:t>cases,</w:t>
      </w:r>
      <w:r>
        <w:rPr>
          <w:spacing w:val="-12"/>
        </w:rPr>
        <w:t> </w:t>
      </w:r>
      <w:r>
        <w:rPr/>
        <w:t>prospective</w:t>
      </w:r>
      <w:r>
        <w:rPr>
          <w:spacing w:val="-13"/>
        </w:rPr>
        <w:t> </w:t>
      </w:r>
      <w:r>
        <w:rPr/>
        <w:t>ET</w:t>
      </w:r>
      <w:r>
        <w:rPr>
          <w:spacing w:val="-13"/>
        </w:rPr>
        <w:t> </w:t>
      </w:r>
      <w:r>
        <w:rPr/>
        <w:t>claimants</w:t>
      </w:r>
      <w:r>
        <w:rPr>
          <w:spacing w:val="-13"/>
        </w:rPr>
        <w:t> </w:t>
      </w:r>
      <w:r>
        <w:rPr/>
        <w:t>are</w:t>
      </w:r>
      <w:r>
        <w:rPr>
          <w:spacing w:val="-13"/>
        </w:rPr>
        <w:t> </w:t>
      </w:r>
      <w:r>
        <w:rPr/>
        <w:t>now</w:t>
      </w:r>
      <w:r>
        <w:rPr>
          <w:spacing w:val="-14"/>
        </w:rPr>
        <w:t> </w:t>
      </w:r>
      <w:r>
        <w:rPr/>
        <w:t>required</w:t>
      </w:r>
      <w:r>
        <w:rPr>
          <w:spacing w:val="-13"/>
        </w:rPr>
        <w:t> </w:t>
      </w:r>
      <w:r>
        <w:rPr/>
        <w:t>to</w:t>
      </w:r>
      <w:r>
        <w:rPr>
          <w:spacing w:val="-12"/>
        </w:rPr>
        <w:t> </w:t>
      </w:r>
      <w:r>
        <w:rPr/>
        <w:t>contact</w:t>
      </w:r>
      <w:r>
        <w:rPr>
          <w:spacing w:val="-13"/>
        </w:rPr>
        <w:t> </w:t>
      </w:r>
      <w:r>
        <w:rPr/>
        <w:t>Acas </w:t>
      </w:r>
      <w:r>
        <w:rPr>
          <w:i/>
        </w:rPr>
        <w:t>before</w:t>
      </w:r>
      <w:r>
        <w:rPr>
          <w:i/>
          <w:spacing w:val="-10"/>
        </w:rPr>
        <w:t> </w:t>
      </w:r>
      <w:r>
        <w:rPr/>
        <w:t>a</w:t>
      </w:r>
      <w:r>
        <w:rPr>
          <w:spacing w:val="-10"/>
        </w:rPr>
        <w:t> </w:t>
      </w:r>
      <w:r>
        <w:rPr/>
        <w:t>claim</w:t>
      </w:r>
      <w:r>
        <w:rPr>
          <w:spacing w:val="-10"/>
        </w:rPr>
        <w:t> </w:t>
      </w:r>
      <w:r>
        <w:rPr/>
        <w:t>can</w:t>
      </w:r>
      <w:r>
        <w:rPr>
          <w:spacing w:val="-9"/>
        </w:rPr>
        <w:t> </w:t>
      </w:r>
      <w:r>
        <w:rPr/>
        <w:t>be</w:t>
      </w:r>
      <w:r>
        <w:rPr>
          <w:spacing w:val="-10"/>
        </w:rPr>
        <w:t> </w:t>
      </w:r>
      <w:r>
        <w:rPr/>
        <w:t>submitted</w:t>
      </w:r>
      <w:r>
        <w:rPr>
          <w:spacing w:val="-9"/>
        </w:rPr>
        <w:t> </w:t>
      </w:r>
      <w:r>
        <w:rPr/>
        <w:t>to</w:t>
      </w:r>
      <w:r>
        <w:rPr>
          <w:spacing w:val="-10"/>
        </w:rPr>
        <w:t> </w:t>
      </w:r>
      <w:r>
        <w:rPr/>
        <w:t>the</w:t>
      </w:r>
      <w:r>
        <w:rPr>
          <w:spacing w:val="-10"/>
        </w:rPr>
        <w:t> </w:t>
      </w:r>
      <w:r>
        <w:rPr/>
        <w:t>ET,</w:t>
      </w:r>
      <w:r>
        <w:rPr>
          <w:spacing w:val="-9"/>
        </w:rPr>
        <w:t> </w:t>
      </w:r>
      <w:r>
        <w:rPr/>
        <w:t>which</w:t>
      </w:r>
      <w:r>
        <w:rPr>
          <w:spacing w:val="-9"/>
        </w:rPr>
        <w:t> </w:t>
      </w:r>
      <w:r>
        <w:rPr/>
        <w:t>gives</w:t>
      </w:r>
      <w:r>
        <w:rPr>
          <w:spacing w:val="-9"/>
        </w:rPr>
        <w:t> </w:t>
      </w:r>
      <w:r>
        <w:rPr/>
        <w:t>Acas</w:t>
      </w:r>
      <w:r>
        <w:rPr>
          <w:spacing w:val="-9"/>
        </w:rPr>
        <w:t> </w:t>
      </w:r>
      <w:r>
        <w:rPr/>
        <w:t>the</w:t>
      </w:r>
      <w:r>
        <w:rPr>
          <w:spacing w:val="-10"/>
        </w:rPr>
        <w:t> </w:t>
      </w:r>
      <w:r>
        <w:rPr/>
        <w:t>opportunity</w:t>
      </w:r>
      <w:r>
        <w:rPr>
          <w:spacing w:val="-9"/>
        </w:rPr>
        <w:t> </w:t>
      </w:r>
      <w:r>
        <w:rPr/>
        <w:t>to</w:t>
      </w:r>
      <w:r>
        <w:rPr>
          <w:spacing w:val="-10"/>
        </w:rPr>
        <w:t> </w:t>
      </w:r>
      <w:r>
        <w:rPr/>
        <w:t>talk to</w:t>
      </w:r>
      <w:r>
        <w:rPr>
          <w:spacing w:val="-9"/>
        </w:rPr>
        <w:t> </w:t>
      </w:r>
      <w:r>
        <w:rPr/>
        <w:t>claimants</w:t>
      </w:r>
      <w:r>
        <w:rPr>
          <w:spacing w:val="-9"/>
        </w:rPr>
        <w:t> </w:t>
      </w:r>
      <w:r>
        <w:rPr/>
        <w:t>about</w:t>
      </w:r>
      <w:r>
        <w:rPr>
          <w:spacing w:val="-10"/>
        </w:rPr>
        <w:t> </w:t>
      </w:r>
      <w:r>
        <w:rPr/>
        <w:t>the</w:t>
      </w:r>
      <w:r>
        <w:rPr>
          <w:spacing w:val="-11"/>
        </w:rPr>
        <w:t> </w:t>
      </w:r>
      <w:r>
        <w:rPr/>
        <w:t>benefits</w:t>
      </w:r>
      <w:r>
        <w:rPr>
          <w:spacing w:val="-9"/>
        </w:rPr>
        <w:t> </w:t>
      </w:r>
      <w:r>
        <w:rPr/>
        <w:t>of</w:t>
      </w:r>
      <w:r>
        <w:rPr>
          <w:spacing w:val="-10"/>
        </w:rPr>
        <w:t> </w:t>
      </w:r>
      <w:r>
        <w:rPr/>
        <w:t>conciliation</w:t>
      </w:r>
      <w:r>
        <w:rPr>
          <w:spacing w:val="-9"/>
        </w:rPr>
        <w:t> </w:t>
      </w:r>
      <w:r>
        <w:rPr/>
        <w:t>(although</w:t>
      </w:r>
      <w:r>
        <w:rPr>
          <w:spacing w:val="-10"/>
        </w:rPr>
        <w:t> </w:t>
      </w:r>
      <w:r>
        <w:rPr/>
        <w:t>it</w:t>
      </w:r>
      <w:r>
        <w:rPr>
          <w:spacing w:val="-9"/>
        </w:rPr>
        <w:t> </w:t>
      </w:r>
      <w:r>
        <w:rPr/>
        <w:t>is</w:t>
      </w:r>
      <w:r>
        <w:rPr>
          <w:spacing w:val="-11"/>
        </w:rPr>
        <w:t> </w:t>
      </w:r>
      <w:r>
        <w:rPr/>
        <w:t>not</w:t>
      </w:r>
      <w:r>
        <w:rPr>
          <w:spacing w:val="-10"/>
        </w:rPr>
        <w:t> </w:t>
      </w:r>
      <w:r>
        <w:rPr/>
        <w:t>mandatory</w:t>
      </w:r>
      <w:r>
        <w:rPr>
          <w:spacing w:val="-9"/>
        </w:rPr>
        <w:t> </w:t>
      </w:r>
      <w:r>
        <w:rPr/>
        <w:t>to</w:t>
      </w:r>
      <w:r>
        <w:rPr>
          <w:spacing w:val="-11"/>
        </w:rPr>
        <w:t> </w:t>
      </w:r>
      <w:r>
        <w:rPr/>
        <w:t>take up this offer). Early Conciliation is the service offered at this point, with the conciliation</w:t>
      </w:r>
      <w:r>
        <w:rPr>
          <w:spacing w:val="-2"/>
        </w:rPr>
        <w:t> </w:t>
      </w:r>
      <w:r>
        <w:rPr/>
        <w:t>offered</w:t>
      </w:r>
      <w:r>
        <w:rPr>
          <w:spacing w:val="-3"/>
        </w:rPr>
        <w:t> </w:t>
      </w:r>
      <w:r>
        <w:rPr/>
        <w:t>after</w:t>
      </w:r>
      <w:r>
        <w:rPr>
          <w:spacing w:val="-4"/>
        </w:rPr>
        <w:t> </w:t>
      </w:r>
      <w:r>
        <w:rPr/>
        <w:t>a</w:t>
      </w:r>
      <w:r>
        <w:rPr>
          <w:spacing w:val="-3"/>
        </w:rPr>
        <w:t> </w:t>
      </w:r>
      <w:r>
        <w:rPr/>
        <w:t>claim</w:t>
      </w:r>
      <w:r>
        <w:rPr>
          <w:spacing w:val="-4"/>
        </w:rPr>
        <w:t> </w:t>
      </w:r>
      <w:r>
        <w:rPr/>
        <w:t>has</w:t>
      </w:r>
      <w:r>
        <w:rPr>
          <w:spacing w:val="-3"/>
        </w:rPr>
        <w:t> </w:t>
      </w:r>
      <w:r>
        <w:rPr/>
        <w:t>been</w:t>
      </w:r>
      <w:r>
        <w:rPr>
          <w:spacing w:val="-3"/>
        </w:rPr>
        <w:t> </w:t>
      </w:r>
      <w:r>
        <w:rPr/>
        <w:t>submitted</w:t>
      </w:r>
      <w:r>
        <w:rPr>
          <w:spacing w:val="-3"/>
        </w:rPr>
        <w:t> </w:t>
      </w:r>
      <w:r>
        <w:rPr/>
        <w:t>to</w:t>
      </w:r>
      <w:r>
        <w:rPr>
          <w:spacing w:val="-4"/>
        </w:rPr>
        <w:t> </w:t>
      </w:r>
      <w:r>
        <w:rPr/>
        <w:t>the</w:t>
      </w:r>
      <w:r>
        <w:rPr>
          <w:spacing w:val="-4"/>
        </w:rPr>
        <w:t> </w:t>
      </w:r>
      <w:r>
        <w:rPr/>
        <w:t>ET</w:t>
      </w:r>
      <w:r>
        <w:rPr>
          <w:spacing w:val="-3"/>
        </w:rPr>
        <w:t> </w:t>
      </w:r>
      <w:r>
        <w:rPr/>
        <w:t>known</w:t>
      </w:r>
      <w:r>
        <w:rPr>
          <w:spacing w:val="-4"/>
        </w:rPr>
        <w:t> </w:t>
      </w:r>
      <w:r>
        <w:rPr/>
        <w:t>as</w:t>
      </w:r>
      <w:r>
        <w:rPr>
          <w:spacing w:val="-3"/>
        </w:rPr>
        <w:t> </w:t>
      </w:r>
      <w:r>
        <w:rPr/>
        <w:t>‘post-ET1 conciliation’. Both these forms of ‘Individual Conciliation’ involve the same Acas staff</w:t>
      </w:r>
      <w:r>
        <w:rPr>
          <w:spacing w:val="-5"/>
        </w:rPr>
        <w:t> </w:t>
      </w:r>
      <w:r>
        <w:rPr/>
        <w:t>performing</w:t>
      </w:r>
      <w:r>
        <w:rPr>
          <w:spacing w:val="-4"/>
        </w:rPr>
        <w:t> </w:t>
      </w:r>
      <w:r>
        <w:rPr/>
        <w:t>a</w:t>
      </w:r>
      <w:r>
        <w:rPr>
          <w:spacing w:val="-5"/>
        </w:rPr>
        <w:t> </w:t>
      </w:r>
      <w:r>
        <w:rPr/>
        <w:t>very</w:t>
      </w:r>
      <w:r>
        <w:rPr>
          <w:spacing w:val="-4"/>
        </w:rPr>
        <w:t> </w:t>
      </w:r>
      <w:r>
        <w:rPr/>
        <w:t>similar</w:t>
      </w:r>
      <w:r>
        <w:rPr>
          <w:spacing w:val="-5"/>
        </w:rPr>
        <w:t> </w:t>
      </w:r>
      <w:r>
        <w:rPr/>
        <w:t>role;</w:t>
      </w:r>
      <w:r>
        <w:rPr>
          <w:spacing w:val="-4"/>
        </w:rPr>
        <w:t> </w:t>
      </w:r>
      <w:r>
        <w:rPr/>
        <w:t>the</w:t>
      </w:r>
      <w:r>
        <w:rPr>
          <w:spacing w:val="-5"/>
        </w:rPr>
        <w:t> </w:t>
      </w:r>
      <w:r>
        <w:rPr/>
        <w:t>difference</w:t>
      </w:r>
      <w:r>
        <w:rPr>
          <w:spacing w:val="-5"/>
        </w:rPr>
        <w:t> </w:t>
      </w:r>
      <w:r>
        <w:rPr/>
        <w:t>is</w:t>
      </w:r>
      <w:r>
        <w:rPr>
          <w:spacing w:val="-4"/>
        </w:rPr>
        <w:t> </w:t>
      </w:r>
      <w:r>
        <w:rPr/>
        <w:t>the</w:t>
      </w:r>
      <w:r>
        <w:rPr>
          <w:spacing w:val="-5"/>
        </w:rPr>
        <w:t> </w:t>
      </w:r>
      <w:r>
        <w:rPr/>
        <w:t>point</w:t>
      </w:r>
      <w:r>
        <w:rPr>
          <w:spacing w:val="-4"/>
        </w:rPr>
        <w:t> </w:t>
      </w:r>
      <w:r>
        <w:rPr/>
        <w:t>in</w:t>
      </w:r>
      <w:r>
        <w:rPr>
          <w:spacing w:val="-4"/>
        </w:rPr>
        <w:t> </w:t>
      </w:r>
      <w:r>
        <w:rPr/>
        <w:t>time</w:t>
      </w:r>
      <w:r>
        <w:rPr>
          <w:spacing w:val="-4"/>
        </w:rPr>
        <w:t> </w:t>
      </w:r>
      <w:r>
        <w:rPr/>
        <w:t>at</w:t>
      </w:r>
      <w:r>
        <w:rPr>
          <w:spacing w:val="-4"/>
        </w:rPr>
        <w:t> </w:t>
      </w:r>
      <w:r>
        <w:rPr/>
        <w:t>which</w:t>
      </w:r>
      <w:r>
        <w:rPr>
          <w:spacing w:val="-4"/>
        </w:rPr>
        <w:t> </w:t>
      </w:r>
      <w:r>
        <w:rPr/>
        <w:t>the conciliation occurs in the claimant’s dispute resolution journey.</w:t>
      </w:r>
    </w:p>
    <w:p>
      <w:pPr>
        <w:pStyle w:val="BodyText"/>
      </w:pPr>
    </w:p>
    <w:p>
      <w:pPr>
        <w:pStyle w:val="BodyText"/>
        <w:ind w:left="1338" w:right="1473" w:hanging="1"/>
        <w:jc w:val="both"/>
      </w:pPr>
      <w:r>
        <w:rPr/>
        <w:t>There have been recent shifts in the context that Acas’ Individual Conciliation services operate in:</w:t>
      </w:r>
    </w:p>
    <w:p>
      <w:pPr>
        <w:pStyle w:val="BodyText"/>
      </w:pPr>
    </w:p>
    <w:p>
      <w:pPr>
        <w:pStyle w:val="ListParagraph"/>
        <w:numPr>
          <w:ilvl w:val="0"/>
          <w:numId w:val="5"/>
        </w:numPr>
        <w:tabs>
          <w:tab w:pos="2059" w:val="left" w:leader="none"/>
        </w:tabs>
        <w:spacing w:line="240" w:lineRule="auto" w:before="0" w:after="0"/>
        <w:ind w:left="2057" w:right="1472" w:hanging="360"/>
        <w:jc w:val="both"/>
        <w:rPr>
          <w:rFonts w:ascii="Symbol" w:hAnsi="Symbol"/>
          <w:sz w:val="20"/>
        </w:rPr>
      </w:pPr>
      <w:r>
        <w:rPr>
          <w:b/>
          <w:sz w:val="20"/>
        </w:rPr>
        <w:t>Abolition</w:t>
      </w:r>
      <w:r>
        <w:rPr>
          <w:b/>
          <w:spacing w:val="-3"/>
          <w:sz w:val="20"/>
        </w:rPr>
        <w:t> </w:t>
      </w:r>
      <w:r>
        <w:rPr>
          <w:b/>
          <w:sz w:val="20"/>
        </w:rPr>
        <w:t>of</w:t>
      </w:r>
      <w:r>
        <w:rPr>
          <w:b/>
          <w:spacing w:val="-2"/>
          <w:sz w:val="20"/>
        </w:rPr>
        <w:t> </w:t>
      </w:r>
      <w:r>
        <w:rPr>
          <w:b/>
          <w:sz w:val="20"/>
        </w:rPr>
        <w:t>ET</w:t>
      </w:r>
      <w:r>
        <w:rPr>
          <w:b/>
          <w:spacing w:val="-3"/>
          <w:sz w:val="20"/>
        </w:rPr>
        <w:t> </w:t>
      </w:r>
      <w:r>
        <w:rPr>
          <w:b/>
          <w:sz w:val="20"/>
        </w:rPr>
        <w:t>fees</w:t>
      </w:r>
      <w:r>
        <w:rPr>
          <w:sz w:val="20"/>
        </w:rPr>
        <w:t>:</w:t>
      </w:r>
      <w:r>
        <w:rPr>
          <w:spacing w:val="-4"/>
          <w:sz w:val="20"/>
        </w:rPr>
        <w:t> </w:t>
      </w:r>
      <w:hyperlink r:id="rId11">
        <w:r>
          <w:rPr>
            <w:color w:val="0562C1"/>
            <w:sz w:val="20"/>
            <w:u w:val="single" w:color="0562C1"/>
          </w:rPr>
          <w:t>A</w:t>
        </w:r>
        <w:r>
          <w:rPr>
            <w:color w:val="0562C1"/>
            <w:spacing w:val="-2"/>
            <w:sz w:val="20"/>
            <w:u w:val="single" w:color="0562C1"/>
          </w:rPr>
          <w:t> </w:t>
        </w:r>
        <w:r>
          <w:rPr>
            <w:color w:val="0562C1"/>
            <w:sz w:val="20"/>
            <w:u w:val="single" w:color="0562C1"/>
          </w:rPr>
          <w:t>decision</w:t>
        </w:r>
        <w:r>
          <w:rPr>
            <w:color w:val="0562C1"/>
            <w:spacing w:val="-1"/>
            <w:sz w:val="20"/>
            <w:u w:val="single" w:color="0562C1"/>
          </w:rPr>
          <w:t> </w:t>
        </w:r>
        <w:r>
          <w:rPr>
            <w:color w:val="0562C1"/>
            <w:sz w:val="20"/>
            <w:u w:val="single" w:color="0562C1"/>
          </w:rPr>
          <w:t>by</w:t>
        </w:r>
        <w:r>
          <w:rPr>
            <w:color w:val="0562C1"/>
            <w:spacing w:val="-2"/>
            <w:sz w:val="20"/>
            <w:u w:val="single" w:color="0562C1"/>
          </w:rPr>
          <w:t> </w:t>
        </w:r>
        <w:r>
          <w:rPr>
            <w:color w:val="0562C1"/>
            <w:sz w:val="20"/>
            <w:u w:val="single" w:color="0562C1"/>
          </w:rPr>
          <w:t>the</w:t>
        </w:r>
        <w:r>
          <w:rPr>
            <w:color w:val="0562C1"/>
            <w:spacing w:val="-2"/>
            <w:sz w:val="20"/>
            <w:u w:val="single" w:color="0562C1"/>
          </w:rPr>
          <w:t> </w:t>
        </w:r>
        <w:r>
          <w:rPr>
            <w:color w:val="0562C1"/>
            <w:sz w:val="20"/>
            <w:u w:val="single" w:color="0562C1"/>
          </w:rPr>
          <w:t>UK</w:t>
        </w:r>
        <w:r>
          <w:rPr>
            <w:color w:val="0562C1"/>
            <w:spacing w:val="-1"/>
            <w:sz w:val="20"/>
            <w:u w:val="single" w:color="0562C1"/>
          </w:rPr>
          <w:t> </w:t>
        </w:r>
        <w:r>
          <w:rPr>
            <w:color w:val="0562C1"/>
            <w:sz w:val="20"/>
            <w:u w:val="single" w:color="0562C1"/>
          </w:rPr>
          <w:t>Supreme</w:t>
        </w:r>
        <w:r>
          <w:rPr>
            <w:color w:val="0562C1"/>
            <w:spacing w:val="-2"/>
            <w:sz w:val="20"/>
            <w:u w:val="single" w:color="0562C1"/>
          </w:rPr>
          <w:t> </w:t>
        </w:r>
        <w:r>
          <w:rPr>
            <w:color w:val="0562C1"/>
            <w:sz w:val="20"/>
            <w:u w:val="single" w:color="0562C1"/>
          </w:rPr>
          <w:t>Court</w:t>
        </w:r>
        <w:r>
          <w:rPr>
            <w:color w:val="0562C1"/>
            <w:spacing w:val="-2"/>
            <w:sz w:val="20"/>
            <w:u w:val="single" w:color="0562C1"/>
          </w:rPr>
          <w:t> </w:t>
        </w:r>
        <w:r>
          <w:rPr>
            <w:color w:val="0562C1"/>
            <w:sz w:val="20"/>
            <w:u w:val="single" w:color="0562C1"/>
          </w:rPr>
          <w:t>in</w:t>
        </w:r>
        <w:r>
          <w:rPr>
            <w:color w:val="0562C1"/>
            <w:spacing w:val="-3"/>
            <w:sz w:val="20"/>
            <w:u w:val="single" w:color="0562C1"/>
          </w:rPr>
          <w:t> </w:t>
        </w:r>
        <w:r>
          <w:rPr>
            <w:color w:val="0562C1"/>
            <w:sz w:val="20"/>
            <w:u w:val="single" w:color="0562C1"/>
          </w:rPr>
          <w:t>July</w:t>
        </w:r>
        <w:r>
          <w:rPr>
            <w:color w:val="0562C1"/>
            <w:spacing w:val="-2"/>
            <w:sz w:val="20"/>
            <w:u w:val="single" w:color="0562C1"/>
          </w:rPr>
          <w:t> </w:t>
        </w:r>
        <w:r>
          <w:rPr>
            <w:color w:val="0562C1"/>
            <w:sz w:val="20"/>
            <w:u w:val="single" w:color="0562C1"/>
          </w:rPr>
          <w:t>2017</w:t>
        </w:r>
        <w:r>
          <w:rPr>
            <w:color w:val="0562C1"/>
            <w:spacing w:val="-2"/>
            <w:sz w:val="20"/>
            <w:u w:val="single" w:color="0562C1"/>
          </w:rPr>
          <w:t> </w:t>
        </w:r>
        <w:r>
          <w:rPr>
            <w:color w:val="0562C1"/>
            <w:sz w:val="20"/>
            <w:u w:val="single" w:color="0562C1"/>
          </w:rPr>
          <w:t>to</w:t>
        </w:r>
      </w:hyperlink>
      <w:r>
        <w:rPr>
          <w:color w:val="0562C1"/>
          <w:sz w:val="20"/>
        </w:rPr>
        <w:t> </w:t>
      </w:r>
      <w:hyperlink r:id="rId11">
        <w:r>
          <w:rPr>
            <w:color w:val="0562C1"/>
            <w:sz w:val="20"/>
            <w:u w:val="single" w:color="0562C1"/>
          </w:rPr>
          <w:t>abolish fees for ET claims</w:t>
        </w:r>
      </w:hyperlink>
      <w:r>
        <w:rPr>
          <w:color w:val="0562C1"/>
          <w:sz w:val="20"/>
        </w:rPr>
        <w:t> </w:t>
      </w:r>
      <w:r>
        <w:rPr>
          <w:sz w:val="20"/>
        </w:rPr>
        <w:t>(introduced in 2013) has seen volumes of EC notifications increase, although not yet to the levels recorded prior to the introduction of fees. Recent service volume increases can be seen in the figures below.</w:t>
      </w:r>
    </w:p>
    <w:p>
      <w:pPr>
        <w:pStyle w:val="BodyText"/>
        <w:spacing w:before="10"/>
        <w:rPr>
          <w:sz w:val="19"/>
        </w:rPr>
      </w:pPr>
    </w:p>
    <w:p>
      <w:pPr>
        <w:pStyle w:val="ListParagraph"/>
        <w:numPr>
          <w:ilvl w:val="0"/>
          <w:numId w:val="5"/>
        </w:numPr>
        <w:tabs>
          <w:tab w:pos="2058" w:val="left" w:leader="none"/>
        </w:tabs>
        <w:spacing w:line="237" w:lineRule="auto" w:before="0" w:after="0"/>
        <w:ind w:left="2057" w:right="1474" w:hanging="360"/>
        <w:jc w:val="both"/>
        <w:rPr>
          <w:rFonts w:ascii="Symbol" w:hAnsi="Symbol"/>
          <w:sz w:val="22"/>
        </w:rPr>
      </w:pPr>
      <w:r>
        <w:rPr>
          <w:b/>
          <w:sz w:val="20"/>
        </w:rPr>
        <w:t>Changes</w:t>
      </w:r>
      <w:r>
        <w:rPr>
          <w:b/>
          <w:spacing w:val="-5"/>
          <w:sz w:val="20"/>
        </w:rPr>
        <w:t> </w:t>
      </w:r>
      <w:r>
        <w:rPr>
          <w:b/>
          <w:sz w:val="20"/>
        </w:rPr>
        <w:t>to</w:t>
      </w:r>
      <w:r>
        <w:rPr>
          <w:b/>
          <w:spacing w:val="-4"/>
          <w:sz w:val="20"/>
        </w:rPr>
        <w:t> </w:t>
      </w:r>
      <w:r>
        <w:rPr>
          <w:b/>
          <w:sz w:val="20"/>
        </w:rPr>
        <w:t>the</w:t>
      </w:r>
      <w:r>
        <w:rPr>
          <w:b/>
          <w:spacing w:val="-6"/>
          <w:sz w:val="20"/>
        </w:rPr>
        <w:t> </w:t>
      </w:r>
      <w:r>
        <w:rPr>
          <w:b/>
          <w:sz w:val="20"/>
        </w:rPr>
        <w:t>Acas</w:t>
      </w:r>
      <w:r>
        <w:rPr>
          <w:b/>
          <w:spacing w:val="-6"/>
          <w:sz w:val="20"/>
        </w:rPr>
        <w:t> </w:t>
      </w:r>
      <w:r>
        <w:rPr>
          <w:b/>
          <w:sz w:val="20"/>
        </w:rPr>
        <w:t>staffing</w:t>
      </w:r>
      <w:r>
        <w:rPr>
          <w:b/>
          <w:spacing w:val="-7"/>
          <w:sz w:val="20"/>
        </w:rPr>
        <w:t> </w:t>
      </w:r>
      <w:r>
        <w:rPr>
          <w:b/>
          <w:sz w:val="20"/>
        </w:rPr>
        <w:t>model</w:t>
      </w:r>
      <w:r>
        <w:rPr>
          <w:sz w:val="20"/>
        </w:rPr>
        <w:t>:</w:t>
      </w:r>
      <w:r>
        <w:rPr>
          <w:spacing w:val="-5"/>
          <w:sz w:val="20"/>
        </w:rPr>
        <w:t> </w:t>
      </w:r>
      <w:r>
        <w:rPr>
          <w:sz w:val="20"/>
        </w:rPr>
        <w:t>Acas’</w:t>
      </w:r>
      <w:r>
        <w:rPr>
          <w:spacing w:val="-6"/>
          <w:sz w:val="20"/>
        </w:rPr>
        <w:t> </w:t>
      </w:r>
      <w:r>
        <w:rPr>
          <w:sz w:val="20"/>
        </w:rPr>
        <w:t>approach</w:t>
      </w:r>
      <w:r>
        <w:rPr>
          <w:spacing w:val="-5"/>
          <w:sz w:val="20"/>
        </w:rPr>
        <w:t> </w:t>
      </w:r>
      <w:r>
        <w:rPr>
          <w:sz w:val="20"/>
        </w:rPr>
        <w:t>to</w:t>
      </w:r>
      <w:r>
        <w:rPr>
          <w:spacing w:val="-7"/>
          <w:sz w:val="20"/>
        </w:rPr>
        <w:t> </w:t>
      </w:r>
      <w:r>
        <w:rPr>
          <w:sz w:val="20"/>
        </w:rPr>
        <w:t>EC</w:t>
      </w:r>
      <w:r>
        <w:rPr>
          <w:spacing w:val="-6"/>
          <w:sz w:val="20"/>
        </w:rPr>
        <w:t> </w:t>
      </w:r>
      <w:r>
        <w:rPr>
          <w:sz w:val="20"/>
        </w:rPr>
        <w:t>has</w:t>
      </w:r>
      <w:r>
        <w:rPr>
          <w:spacing w:val="-6"/>
          <w:sz w:val="20"/>
        </w:rPr>
        <w:t> </w:t>
      </w:r>
      <w:r>
        <w:rPr>
          <w:sz w:val="20"/>
        </w:rPr>
        <w:t>evolved: in</w:t>
      </w:r>
      <w:r>
        <w:rPr>
          <w:spacing w:val="-16"/>
          <w:sz w:val="20"/>
        </w:rPr>
        <w:t> </w:t>
      </w:r>
      <w:r>
        <w:rPr>
          <w:sz w:val="20"/>
        </w:rPr>
        <w:t>2016</w:t>
      </w:r>
      <w:r>
        <w:rPr>
          <w:spacing w:val="-16"/>
          <w:sz w:val="20"/>
        </w:rPr>
        <w:t> </w:t>
      </w:r>
      <w:r>
        <w:rPr>
          <w:sz w:val="20"/>
        </w:rPr>
        <w:t>a</w:t>
      </w:r>
      <w:r>
        <w:rPr>
          <w:spacing w:val="-18"/>
          <w:sz w:val="20"/>
        </w:rPr>
        <w:t> </w:t>
      </w:r>
      <w:r>
        <w:rPr>
          <w:sz w:val="20"/>
        </w:rPr>
        <w:t>new</w:t>
      </w:r>
      <w:r>
        <w:rPr>
          <w:spacing w:val="-15"/>
          <w:sz w:val="20"/>
        </w:rPr>
        <w:t> </w:t>
      </w:r>
      <w:r>
        <w:rPr>
          <w:sz w:val="20"/>
        </w:rPr>
        <w:t>dedicated</w:t>
      </w:r>
      <w:r>
        <w:rPr>
          <w:spacing w:val="-17"/>
          <w:sz w:val="20"/>
        </w:rPr>
        <w:t> </w:t>
      </w:r>
      <w:r>
        <w:rPr>
          <w:sz w:val="20"/>
        </w:rPr>
        <w:t>“fast</w:t>
      </w:r>
      <w:r>
        <w:rPr>
          <w:spacing w:val="-17"/>
          <w:sz w:val="20"/>
        </w:rPr>
        <w:t> </w:t>
      </w:r>
      <w:r>
        <w:rPr>
          <w:sz w:val="20"/>
        </w:rPr>
        <w:t>track</w:t>
      </w:r>
      <w:r>
        <w:rPr>
          <w:spacing w:val="-18"/>
          <w:sz w:val="20"/>
        </w:rPr>
        <w:t> </w:t>
      </w:r>
      <w:r>
        <w:rPr>
          <w:sz w:val="20"/>
        </w:rPr>
        <w:t>conciliator”</w:t>
      </w:r>
      <w:r>
        <w:rPr>
          <w:spacing w:val="-16"/>
          <w:sz w:val="20"/>
        </w:rPr>
        <w:t> </w:t>
      </w:r>
      <w:r>
        <w:rPr>
          <w:sz w:val="20"/>
        </w:rPr>
        <w:t>role</w:t>
      </w:r>
      <w:r>
        <w:rPr>
          <w:spacing w:val="-17"/>
          <w:sz w:val="20"/>
        </w:rPr>
        <w:t> </w:t>
      </w:r>
      <w:r>
        <w:rPr>
          <w:sz w:val="20"/>
        </w:rPr>
        <w:t>was</w:t>
      </w:r>
      <w:r>
        <w:rPr>
          <w:spacing w:val="-16"/>
          <w:sz w:val="20"/>
        </w:rPr>
        <w:t> </w:t>
      </w:r>
      <w:r>
        <w:rPr>
          <w:sz w:val="20"/>
        </w:rPr>
        <w:t>created.</w:t>
      </w:r>
      <w:r>
        <w:rPr>
          <w:spacing w:val="-16"/>
          <w:sz w:val="20"/>
        </w:rPr>
        <w:t> </w:t>
      </w:r>
      <w:r>
        <w:rPr>
          <w:sz w:val="20"/>
        </w:rPr>
        <w:t>These</w:t>
      </w:r>
      <w:r>
        <w:rPr>
          <w:spacing w:val="-18"/>
          <w:sz w:val="20"/>
        </w:rPr>
        <w:t> </w:t>
      </w:r>
      <w:r>
        <w:rPr>
          <w:sz w:val="20"/>
        </w:rPr>
        <w:t>staff members deal exclusively with fast track cases.</w:t>
      </w:r>
    </w:p>
    <w:p>
      <w:pPr>
        <w:pStyle w:val="BodyText"/>
        <w:spacing w:before="9"/>
        <w:rPr>
          <w:sz w:val="28"/>
        </w:rPr>
      </w:pPr>
    </w:p>
    <w:p>
      <w:pPr>
        <w:pStyle w:val="Heading3"/>
        <w:spacing w:before="100"/>
        <w:jc w:val="left"/>
      </w:pPr>
      <w:r>
        <w:rPr/>
        <w:t>Figure</w:t>
      </w:r>
      <w:r>
        <w:rPr>
          <w:spacing w:val="-7"/>
        </w:rPr>
        <w:t> </w:t>
      </w:r>
      <w:r>
        <w:rPr/>
        <w:t>1.</w:t>
      </w:r>
      <w:r>
        <w:rPr>
          <w:spacing w:val="-4"/>
        </w:rPr>
        <w:t> </w:t>
      </w:r>
      <w:r>
        <w:rPr/>
        <w:t>Growth</w:t>
      </w:r>
      <w:r>
        <w:rPr>
          <w:spacing w:val="-3"/>
        </w:rPr>
        <w:t> </w:t>
      </w:r>
      <w:r>
        <w:rPr/>
        <w:t>Volume</w:t>
      </w:r>
      <w:r>
        <w:rPr>
          <w:spacing w:val="-5"/>
        </w:rPr>
        <w:t> </w:t>
      </w:r>
      <w:r>
        <w:rPr/>
        <w:t>of</w:t>
      </w:r>
      <w:r>
        <w:rPr>
          <w:spacing w:val="-3"/>
        </w:rPr>
        <w:t> </w:t>
      </w:r>
      <w:r>
        <w:rPr/>
        <w:t>EC</w:t>
      </w:r>
      <w:r>
        <w:rPr>
          <w:spacing w:val="-4"/>
        </w:rPr>
        <w:t> </w:t>
      </w:r>
      <w:r>
        <w:rPr/>
        <w:t>Notifications,</w:t>
      </w:r>
      <w:r>
        <w:rPr>
          <w:spacing w:val="-4"/>
        </w:rPr>
        <w:t> </w:t>
      </w:r>
      <w:r>
        <w:rPr/>
        <w:t>2014</w:t>
      </w:r>
      <w:r>
        <w:rPr>
          <w:spacing w:val="-4"/>
        </w:rPr>
        <w:t> </w:t>
      </w:r>
      <w:r>
        <w:rPr/>
        <w:t>-</w:t>
      </w:r>
      <w:r>
        <w:rPr>
          <w:spacing w:val="-4"/>
        </w:rPr>
        <w:t> 2019</w:t>
      </w:r>
    </w:p>
    <w:p>
      <w:pPr>
        <w:pStyle w:val="BodyText"/>
        <w:spacing w:before="11"/>
        <w:rPr>
          <w:b/>
          <w:sz w:val="10"/>
        </w:rPr>
      </w:pPr>
      <w:r>
        <w:rPr/>
        <w:drawing>
          <wp:anchor distT="0" distB="0" distL="0" distR="0" allowOverlap="1" layoutInCell="1" locked="0" behindDoc="0" simplePos="0" relativeHeight="3">
            <wp:simplePos x="0" y="0"/>
            <wp:positionH relativeFrom="page">
              <wp:posOffset>1193475</wp:posOffset>
            </wp:positionH>
            <wp:positionV relativeFrom="paragraph">
              <wp:posOffset>99906</wp:posOffset>
            </wp:positionV>
            <wp:extent cx="4706542" cy="2083117"/>
            <wp:effectExtent l="0" t="0" r="0" b="0"/>
            <wp:wrapTopAndBottom/>
            <wp:docPr id="3" name="image2.png" descr="Graph showing growth volume of EC Notifications"/>
            <wp:cNvGraphicFramePr>
              <a:graphicFrameLocks noChangeAspect="1"/>
            </wp:cNvGraphicFramePr>
            <a:graphic>
              <a:graphicData uri="http://schemas.openxmlformats.org/drawingml/2006/picture">
                <pic:pic>
                  <pic:nvPicPr>
                    <pic:cNvPr id="4" name="image2.png"/>
                    <pic:cNvPicPr/>
                  </pic:nvPicPr>
                  <pic:blipFill>
                    <a:blip r:embed="rId12" cstate="print"/>
                    <a:stretch>
                      <a:fillRect/>
                    </a:stretch>
                  </pic:blipFill>
                  <pic:spPr>
                    <a:xfrm>
                      <a:off x="0" y="0"/>
                      <a:ext cx="4706542" cy="2083117"/>
                    </a:xfrm>
                    <a:prstGeom prst="rect">
                      <a:avLst/>
                    </a:prstGeom>
                  </pic:spPr>
                </pic:pic>
              </a:graphicData>
            </a:graphic>
          </wp:anchor>
        </w:drawing>
      </w:r>
    </w:p>
    <w:p>
      <w:pPr>
        <w:spacing w:after="0"/>
        <w:rPr>
          <w:sz w:val="10"/>
        </w:rPr>
        <w:sectPr>
          <w:pgSz w:w="11910" w:h="16840"/>
          <w:pgMar w:header="0" w:footer="996" w:top="1340" w:bottom="1180" w:left="460" w:right="320"/>
        </w:sectPr>
      </w:pPr>
    </w:p>
    <w:p>
      <w:pPr>
        <w:spacing w:before="82"/>
        <w:ind w:left="1337" w:right="0" w:firstLine="0"/>
        <w:jc w:val="both"/>
        <w:rPr>
          <w:b/>
          <w:sz w:val="20"/>
        </w:rPr>
      </w:pPr>
      <w:r>
        <w:rPr>
          <w:b/>
          <w:sz w:val="20"/>
        </w:rPr>
        <w:t>Figure</w:t>
      </w:r>
      <w:r>
        <w:rPr>
          <w:b/>
          <w:spacing w:val="-6"/>
          <w:sz w:val="20"/>
        </w:rPr>
        <w:t> </w:t>
      </w:r>
      <w:r>
        <w:rPr>
          <w:b/>
          <w:sz w:val="20"/>
        </w:rPr>
        <w:t>2.</w:t>
      </w:r>
      <w:r>
        <w:rPr>
          <w:b/>
          <w:spacing w:val="-4"/>
          <w:sz w:val="20"/>
        </w:rPr>
        <w:t> </w:t>
      </w:r>
      <w:r>
        <w:rPr>
          <w:b/>
          <w:sz w:val="20"/>
        </w:rPr>
        <w:t>Growth</w:t>
      </w:r>
      <w:r>
        <w:rPr>
          <w:b/>
          <w:spacing w:val="-3"/>
          <w:sz w:val="20"/>
        </w:rPr>
        <w:t> </w:t>
      </w:r>
      <w:r>
        <w:rPr>
          <w:b/>
          <w:sz w:val="20"/>
        </w:rPr>
        <w:t>volume</w:t>
      </w:r>
      <w:r>
        <w:rPr>
          <w:b/>
          <w:spacing w:val="-4"/>
          <w:sz w:val="20"/>
        </w:rPr>
        <w:t> </w:t>
      </w:r>
      <w:r>
        <w:rPr>
          <w:b/>
          <w:sz w:val="20"/>
        </w:rPr>
        <w:t>of</w:t>
      </w:r>
      <w:r>
        <w:rPr>
          <w:b/>
          <w:spacing w:val="-3"/>
          <w:sz w:val="20"/>
        </w:rPr>
        <w:t> </w:t>
      </w:r>
      <w:r>
        <w:rPr>
          <w:b/>
          <w:sz w:val="20"/>
        </w:rPr>
        <w:t>ET</w:t>
      </w:r>
      <w:r>
        <w:rPr>
          <w:b/>
          <w:spacing w:val="-3"/>
          <w:sz w:val="20"/>
        </w:rPr>
        <w:t> </w:t>
      </w:r>
      <w:r>
        <w:rPr>
          <w:b/>
          <w:sz w:val="20"/>
        </w:rPr>
        <w:t>cases</w:t>
      </w:r>
      <w:r>
        <w:rPr>
          <w:b/>
          <w:spacing w:val="-4"/>
          <w:sz w:val="20"/>
        </w:rPr>
        <w:t> </w:t>
      </w:r>
      <w:r>
        <w:rPr>
          <w:b/>
          <w:sz w:val="20"/>
        </w:rPr>
        <w:t>received,</w:t>
      </w:r>
      <w:r>
        <w:rPr>
          <w:b/>
          <w:spacing w:val="-5"/>
          <w:sz w:val="20"/>
        </w:rPr>
        <w:t> </w:t>
      </w:r>
      <w:r>
        <w:rPr>
          <w:b/>
          <w:sz w:val="20"/>
        </w:rPr>
        <w:t>2014-</w:t>
      </w:r>
      <w:r>
        <w:rPr>
          <w:b/>
          <w:spacing w:val="-4"/>
          <w:sz w:val="20"/>
        </w:rPr>
        <w:t>2019</w:t>
      </w:r>
    </w:p>
    <w:p>
      <w:pPr>
        <w:pStyle w:val="BodyText"/>
        <w:spacing w:before="10"/>
        <w:rPr>
          <w:b/>
          <w:sz w:val="12"/>
        </w:rPr>
      </w:pPr>
      <w:r>
        <w:rPr/>
        <w:drawing>
          <wp:anchor distT="0" distB="0" distL="0" distR="0" allowOverlap="1" layoutInCell="1" locked="0" behindDoc="0" simplePos="0" relativeHeight="4">
            <wp:simplePos x="0" y="0"/>
            <wp:positionH relativeFrom="page">
              <wp:posOffset>1174537</wp:posOffset>
            </wp:positionH>
            <wp:positionV relativeFrom="paragraph">
              <wp:posOffset>114305</wp:posOffset>
            </wp:positionV>
            <wp:extent cx="5143065" cy="2056828"/>
            <wp:effectExtent l="0" t="0" r="0" b="0"/>
            <wp:wrapTopAndBottom/>
            <wp:docPr id="5" name="image3.png" descr="Graph showing growth volume of ET cases received, 2014 - 2019"/>
            <wp:cNvGraphicFramePr>
              <a:graphicFrameLocks noChangeAspect="1"/>
            </wp:cNvGraphicFramePr>
            <a:graphic>
              <a:graphicData uri="http://schemas.openxmlformats.org/drawingml/2006/picture">
                <pic:pic>
                  <pic:nvPicPr>
                    <pic:cNvPr id="6" name="image3.png"/>
                    <pic:cNvPicPr/>
                  </pic:nvPicPr>
                  <pic:blipFill>
                    <a:blip r:embed="rId13" cstate="print"/>
                    <a:stretch>
                      <a:fillRect/>
                    </a:stretch>
                  </pic:blipFill>
                  <pic:spPr>
                    <a:xfrm>
                      <a:off x="0" y="0"/>
                      <a:ext cx="5143065" cy="2056828"/>
                    </a:xfrm>
                    <a:prstGeom prst="rect">
                      <a:avLst/>
                    </a:prstGeom>
                  </pic:spPr>
                </pic:pic>
              </a:graphicData>
            </a:graphic>
          </wp:anchor>
        </w:drawing>
      </w:r>
    </w:p>
    <w:p>
      <w:pPr>
        <w:pStyle w:val="BodyText"/>
        <w:spacing w:before="5"/>
        <w:rPr>
          <w:b/>
          <w:sz w:val="32"/>
        </w:rPr>
      </w:pPr>
    </w:p>
    <w:p>
      <w:pPr>
        <w:pStyle w:val="BodyText"/>
        <w:ind w:left="1336" w:right="1475"/>
        <w:jc w:val="both"/>
      </w:pPr>
      <w:r>
        <w:rPr/>
        <w:t>In</w:t>
      </w:r>
      <w:r>
        <w:rPr>
          <w:spacing w:val="-18"/>
        </w:rPr>
        <w:t> </w:t>
      </w:r>
      <w:r>
        <w:rPr/>
        <w:t>considering</w:t>
      </w:r>
      <w:r>
        <w:rPr>
          <w:spacing w:val="-18"/>
        </w:rPr>
        <w:t> </w:t>
      </w:r>
      <w:r>
        <w:rPr/>
        <w:t>the</w:t>
      </w:r>
      <w:r>
        <w:rPr>
          <w:spacing w:val="-17"/>
        </w:rPr>
        <w:t> </w:t>
      </w:r>
      <w:r>
        <w:rPr/>
        <w:t>results</w:t>
      </w:r>
      <w:r>
        <w:rPr>
          <w:spacing w:val="-18"/>
        </w:rPr>
        <w:t> </w:t>
      </w:r>
      <w:r>
        <w:rPr/>
        <w:t>for</w:t>
      </w:r>
      <w:r>
        <w:rPr>
          <w:spacing w:val="-17"/>
        </w:rPr>
        <w:t> </w:t>
      </w:r>
      <w:r>
        <w:rPr/>
        <w:t>these</w:t>
      </w:r>
      <w:r>
        <w:rPr>
          <w:spacing w:val="-18"/>
        </w:rPr>
        <w:t> </w:t>
      </w:r>
      <w:r>
        <w:rPr/>
        <w:t>surveys,</w:t>
      </w:r>
      <w:r>
        <w:rPr>
          <w:spacing w:val="-18"/>
        </w:rPr>
        <w:t> </w:t>
      </w:r>
      <w:r>
        <w:rPr/>
        <w:t>especially</w:t>
      </w:r>
      <w:r>
        <w:rPr>
          <w:spacing w:val="-17"/>
        </w:rPr>
        <w:t> </w:t>
      </w:r>
      <w:r>
        <w:rPr/>
        <w:t>the</w:t>
      </w:r>
      <w:r>
        <w:rPr>
          <w:spacing w:val="-18"/>
        </w:rPr>
        <w:t> </w:t>
      </w:r>
      <w:r>
        <w:rPr/>
        <w:t>trends</w:t>
      </w:r>
      <w:r>
        <w:rPr>
          <w:spacing w:val="-17"/>
        </w:rPr>
        <w:t> </w:t>
      </w:r>
      <w:r>
        <w:rPr/>
        <w:t>and</w:t>
      </w:r>
      <w:r>
        <w:rPr>
          <w:spacing w:val="-18"/>
        </w:rPr>
        <w:t> </w:t>
      </w:r>
      <w:r>
        <w:rPr/>
        <w:t>changes</w:t>
      </w:r>
      <w:r>
        <w:rPr>
          <w:spacing w:val="-17"/>
        </w:rPr>
        <w:t> </w:t>
      </w:r>
      <w:r>
        <w:rPr/>
        <w:t>since the</w:t>
      </w:r>
      <w:r>
        <w:rPr>
          <w:spacing w:val="-7"/>
        </w:rPr>
        <w:t> </w:t>
      </w:r>
      <w:r>
        <w:rPr/>
        <w:t>prior</w:t>
      </w:r>
      <w:r>
        <w:rPr>
          <w:spacing w:val="-7"/>
        </w:rPr>
        <w:t> </w:t>
      </w:r>
      <w:r>
        <w:rPr/>
        <w:t>evaluations</w:t>
      </w:r>
      <w:r>
        <w:rPr>
          <w:spacing w:val="-7"/>
        </w:rPr>
        <w:t> </w:t>
      </w:r>
      <w:r>
        <w:rPr/>
        <w:t>in</w:t>
      </w:r>
      <w:r>
        <w:rPr>
          <w:spacing w:val="-6"/>
        </w:rPr>
        <w:t> </w:t>
      </w:r>
      <w:r>
        <w:rPr/>
        <w:t>2015</w:t>
      </w:r>
      <w:r>
        <w:rPr>
          <w:spacing w:val="-7"/>
        </w:rPr>
        <w:t> </w:t>
      </w:r>
      <w:r>
        <w:rPr/>
        <w:t>(EC)</w:t>
      </w:r>
      <w:r>
        <w:rPr>
          <w:spacing w:val="-8"/>
        </w:rPr>
        <w:t> </w:t>
      </w:r>
      <w:r>
        <w:rPr/>
        <w:t>and</w:t>
      </w:r>
      <w:r>
        <w:rPr>
          <w:spacing w:val="-7"/>
        </w:rPr>
        <w:t> </w:t>
      </w:r>
      <w:r>
        <w:rPr/>
        <w:t>2016</w:t>
      </w:r>
      <w:r>
        <w:rPr>
          <w:spacing w:val="-8"/>
        </w:rPr>
        <w:t> </w:t>
      </w:r>
      <w:r>
        <w:rPr/>
        <w:t>(post-ET1</w:t>
      </w:r>
      <w:r>
        <w:rPr>
          <w:spacing w:val="-7"/>
        </w:rPr>
        <w:t> </w:t>
      </w:r>
      <w:r>
        <w:rPr/>
        <w:t>conciliation),</w:t>
      </w:r>
      <w:r>
        <w:rPr>
          <w:spacing w:val="-6"/>
        </w:rPr>
        <w:t> </w:t>
      </w:r>
      <w:r>
        <w:rPr/>
        <w:t>it</w:t>
      </w:r>
      <w:r>
        <w:rPr>
          <w:spacing w:val="-8"/>
        </w:rPr>
        <w:t> </w:t>
      </w:r>
      <w:r>
        <w:rPr/>
        <w:t>is</w:t>
      </w:r>
      <w:r>
        <w:rPr>
          <w:spacing w:val="-7"/>
        </w:rPr>
        <w:t> </w:t>
      </w:r>
      <w:r>
        <w:rPr/>
        <w:t>important to</w:t>
      </w:r>
      <w:r>
        <w:rPr>
          <w:spacing w:val="-6"/>
        </w:rPr>
        <w:t> </w:t>
      </w:r>
      <w:r>
        <w:rPr/>
        <w:t>be</w:t>
      </w:r>
      <w:r>
        <w:rPr>
          <w:spacing w:val="-6"/>
        </w:rPr>
        <w:t> </w:t>
      </w:r>
      <w:r>
        <w:rPr/>
        <w:t>mindful</w:t>
      </w:r>
      <w:r>
        <w:rPr>
          <w:spacing w:val="-6"/>
        </w:rPr>
        <w:t> </w:t>
      </w:r>
      <w:r>
        <w:rPr/>
        <w:t>of</w:t>
      </w:r>
      <w:r>
        <w:rPr>
          <w:spacing w:val="-5"/>
        </w:rPr>
        <w:t> </w:t>
      </w:r>
      <w:r>
        <w:rPr/>
        <w:t>this</w:t>
      </w:r>
      <w:r>
        <w:rPr>
          <w:spacing w:val="-6"/>
        </w:rPr>
        <w:t> </w:t>
      </w:r>
      <w:r>
        <w:rPr/>
        <w:t>context</w:t>
      </w:r>
      <w:r>
        <w:rPr>
          <w:spacing w:val="-7"/>
        </w:rPr>
        <w:t> </w:t>
      </w:r>
      <w:r>
        <w:rPr/>
        <w:t>of</w:t>
      </w:r>
      <w:r>
        <w:rPr>
          <w:spacing w:val="-6"/>
        </w:rPr>
        <w:t> </w:t>
      </w:r>
      <w:r>
        <w:rPr/>
        <w:t>change.</w:t>
      </w:r>
      <w:r>
        <w:rPr>
          <w:spacing w:val="-6"/>
        </w:rPr>
        <w:t> </w:t>
      </w:r>
      <w:r>
        <w:rPr/>
        <w:t>The</w:t>
      </w:r>
      <w:r>
        <w:rPr>
          <w:spacing w:val="-6"/>
        </w:rPr>
        <w:t> </w:t>
      </w:r>
      <w:r>
        <w:rPr/>
        <w:t>abolition</w:t>
      </w:r>
      <w:r>
        <w:rPr>
          <w:spacing w:val="-5"/>
        </w:rPr>
        <w:t> </w:t>
      </w:r>
      <w:r>
        <w:rPr/>
        <w:t>of</w:t>
      </w:r>
      <w:r>
        <w:rPr>
          <w:spacing w:val="-5"/>
        </w:rPr>
        <w:t> </w:t>
      </w:r>
      <w:r>
        <w:rPr/>
        <w:t>ET</w:t>
      </w:r>
      <w:r>
        <w:rPr>
          <w:spacing w:val="-7"/>
        </w:rPr>
        <w:t> </w:t>
      </w:r>
      <w:r>
        <w:rPr/>
        <w:t>fees,</w:t>
      </w:r>
      <w:r>
        <w:rPr>
          <w:spacing w:val="-7"/>
        </w:rPr>
        <w:t> </w:t>
      </w:r>
      <w:r>
        <w:rPr/>
        <w:t>the</w:t>
      </w:r>
      <w:r>
        <w:rPr>
          <w:spacing w:val="-6"/>
        </w:rPr>
        <w:t> </w:t>
      </w:r>
      <w:r>
        <w:rPr/>
        <w:t>increase</w:t>
      </w:r>
      <w:r>
        <w:rPr>
          <w:spacing w:val="-6"/>
        </w:rPr>
        <w:t> </w:t>
      </w:r>
      <w:r>
        <w:rPr/>
        <w:t>in</w:t>
      </w:r>
      <w:r>
        <w:rPr>
          <w:spacing w:val="-5"/>
        </w:rPr>
        <w:t> </w:t>
      </w:r>
      <w:r>
        <w:rPr/>
        <w:t>EC and ET caseloads and – perhaps to a lesser extent – the introduction by Acas of a dedicated</w:t>
      </w:r>
      <w:r>
        <w:rPr>
          <w:spacing w:val="-9"/>
        </w:rPr>
        <w:t> </w:t>
      </w:r>
      <w:r>
        <w:rPr/>
        <w:t>fast-track</w:t>
      </w:r>
      <w:r>
        <w:rPr>
          <w:spacing w:val="-10"/>
        </w:rPr>
        <w:t> </w:t>
      </w:r>
      <w:r>
        <w:rPr/>
        <w:t>conciliator</w:t>
      </w:r>
      <w:r>
        <w:rPr>
          <w:spacing w:val="-9"/>
        </w:rPr>
        <w:t> </w:t>
      </w:r>
      <w:r>
        <w:rPr/>
        <w:t>role</w:t>
      </w:r>
      <w:r>
        <w:rPr>
          <w:spacing w:val="-9"/>
        </w:rPr>
        <w:t> </w:t>
      </w:r>
      <w:r>
        <w:rPr/>
        <w:t>might</w:t>
      </w:r>
      <w:r>
        <w:rPr>
          <w:spacing w:val="-9"/>
        </w:rPr>
        <w:t> </w:t>
      </w:r>
      <w:r>
        <w:rPr/>
        <w:t>all</w:t>
      </w:r>
      <w:r>
        <w:rPr>
          <w:spacing w:val="-10"/>
        </w:rPr>
        <w:t> </w:t>
      </w:r>
      <w:r>
        <w:rPr/>
        <w:t>be</w:t>
      </w:r>
      <w:r>
        <w:rPr>
          <w:spacing w:val="-8"/>
        </w:rPr>
        <w:t> </w:t>
      </w:r>
      <w:r>
        <w:rPr/>
        <w:t>expected</w:t>
      </w:r>
      <w:r>
        <w:rPr>
          <w:spacing w:val="-9"/>
        </w:rPr>
        <w:t> </w:t>
      </w:r>
      <w:r>
        <w:rPr/>
        <w:t>to</w:t>
      </w:r>
      <w:r>
        <w:rPr>
          <w:spacing w:val="-9"/>
        </w:rPr>
        <w:t> </w:t>
      </w:r>
      <w:r>
        <w:rPr/>
        <w:t>have</w:t>
      </w:r>
      <w:r>
        <w:rPr>
          <w:spacing w:val="-10"/>
        </w:rPr>
        <w:t> </w:t>
      </w:r>
      <w:r>
        <w:rPr/>
        <w:t>some</w:t>
      </w:r>
      <w:r>
        <w:rPr>
          <w:spacing w:val="-10"/>
        </w:rPr>
        <w:t> </w:t>
      </w:r>
      <w:r>
        <w:rPr/>
        <w:t>bearing</w:t>
      </w:r>
      <w:r>
        <w:rPr>
          <w:spacing w:val="-9"/>
        </w:rPr>
        <w:t> </w:t>
      </w:r>
      <w:r>
        <w:rPr/>
        <w:t>on results, although it is not possible to go beyond the data and attribute specific causal</w:t>
      </w:r>
      <w:r>
        <w:rPr>
          <w:spacing w:val="-2"/>
        </w:rPr>
        <w:t> </w:t>
      </w:r>
      <w:r>
        <w:rPr/>
        <w:t>impacts</w:t>
      </w:r>
      <w:r>
        <w:rPr>
          <w:spacing w:val="-1"/>
        </w:rPr>
        <w:t> </w:t>
      </w:r>
      <w:r>
        <w:rPr/>
        <w:t>of</w:t>
      </w:r>
      <w:r>
        <w:rPr>
          <w:spacing w:val="-1"/>
        </w:rPr>
        <w:t> </w:t>
      </w:r>
      <w:r>
        <w:rPr/>
        <w:t>these</w:t>
      </w:r>
      <w:r>
        <w:rPr>
          <w:spacing w:val="-1"/>
        </w:rPr>
        <w:t> </w:t>
      </w:r>
      <w:r>
        <w:rPr/>
        <w:t>changes.</w:t>
      </w:r>
      <w:r>
        <w:rPr>
          <w:spacing w:val="40"/>
        </w:rPr>
        <w:t> </w:t>
      </w:r>
      <w:r>
        <w:rPr/>
        <w:t>Key trends</w:t>
      </w:r>
      <w:r>
        <w:rPr>
          <w:spacing w:val="-2"/>
        </w:rPr>
        <w:t> </w:t>
      </w:r>
      <w:r>
        <w:rPr/>
        <w:t>between</w:t>
      </w:r>
      <w:r>
        <w:rPr>
          <w:spacing w:val="-1"/>
        </w:rPr>
        <w:t> </w:t>
      </w:r>
      <w:r>
        <w:rPr/>
        <w:t>2015</w:t>
      </w:r>
      <w:r>
        <w:rPr>
          <w:spacing w:val="-1"/>
        </w:rPr>
        <w:t> </w:t>
      </w:r>
      <w:r>
        <w:rPr/>
        <w:t>(EC), 2016</w:t>
      </w:r>
      <w:r>
        <w:rPr>
          <w:spacing w:val="-1"/>
        </w:rPr>
        <w:t> </w:t>
      </w:r>
      <w:r>
        <w:rPr/>
        <w:t>(post-ET1 conciliation) and 2019 are given throughout the report, but these should not be taken as</w:t>
      </w:r>
      <w:r>
        <w:rPr>
          <w:spacing w:val="-1"/>
        </w:rPr>
        <w:t> </w:t>
      </w:r>
      <w:r>
        <w:rPr/>
        <w:t>a</w:t>
      </w:r>
      <w:r>
        <w:rPr>
          <w:spacing w:val="-1"/>
        </w:rPr>
        <w:t> </w:t>
      </w:r>
      <w:r>
        <w:rPr/>
        <w:t>signal</w:t>
      </w:r>
      <w:r>
        <w:rPr>
          <w:spacing w:val="-2"/>
        </w:rPr>
        <w:t> </w:t>
      </w:r>
      <w:r>
        <w:rPr/>
        <w:t>of</w:t>
      </w:r>
      <w:r>
        <w:rPr>
          <w:spacing w:val="-1"/>
        </w:rPr>
        <w:t> </w:t>
      </w:r>
      <w:r>
        <w:rPr/>
        <w:t>a</w:t>
      </w:r>
      <w:r>
        <w:rPr>
          <w:spacing w:val="-2"/>
        </w:rPr>
        <w:t> </w:t>
      </w:r>
      <w:r>
        <w:rPr>
          <w:i/>
        </w:rPr>
        <w:t>direct</w:t>
      </w:r>
      <w:r>
        <w:rPr>
          <w:i/>
          <w:spacing w:val="-1"/>
        </w:rPr>
        <w:t> </w:t>
      </w:r>
      <w:r>
        <w:rPr/>
        <w:t>comparison</w:t>
      </w:r>
      <w:r>
        <w:rPr>
          <w:spacing w:val="-1"/>
        </w:rPr>
        <w:t> </w:t>
      </w:r>
      <w:r>
        <w:rPr/>
        <w:t>insofar</w:t>
      </w:r>
      <w:r>
        <w:rPr>
          <w:spacing w:val="-1"/>
        </w:rPr>
        <w:t> </w:t>
      </w:r>
      <w:r>
        <w:rPr/>
        <w:t>as</w:t>
      </w:r>
      <w:r>
        <w:rPr>
          <w:spacing w:val="-1"/>
        </w:rPr>
        <w:t> </w:t>
      </w:r>
      <w:r>
        <w:rPr/>
        <w:t>the</w:t>
      </w:r>
      <w:r>
        <w:rPr>
          <w:spacing w:val="-1"/>
        </w:rPr>
        <w:t> </w:t>
      </w:r>
      <w:r>
        <w:rPr/>
        <w:t>context</w:t>
      </w:r>
      <w:r>
        <w:rPr>
          <w:spacing w:val="-1"/>
        </w:rPr>
        <w:t> </w:t>
      </w:r>
      <w:r>
        <w:rPr/>
        <w:t>that</w:t>
      </w:r>
      <w:r>
        <w:rPr>
          <w:spacing w:val="-1"/>
        </w:rPr>
        <w:t> </w:t>
      </w:r>
      <w:r>
        <w:rPr/>
        <w:t>EC</w:t>
      </w:r>
      <w:r>
        <w:rPr>
          <w:spacing w:val="-2"/>
        </w:rPr>
        <w:t> </w:t>
      </w:r>
      <w:r>
        <w:rPr/>
        <w:t>operates</w:t>
      </w:r>
      <w:r>
        <w:rPr>
          <w:spacing w:val="-1"/>
        </w:rPr>
        <w:t> </w:t>
      </w:r>
      <w:r>
        <w:rPr/>
        <w:t>in has shifted.</w:t>
      </w:r>
    </w:p>
    <w:p>
      <w:pPr>
        <w:pStyle w:val="BodyText"/>
        <w:spacing w:before="3"/>
        <w:rPr>
          <w:sz w:val="25"/>
        </w:rPr>
      </w:pPr>
    </w:p>
    <w:p>
      <w:pPr>
        <w:pStyle w:val="BodyText"/>
        <w:spacing w:before="1"/>
        <w:ind w:left="1337" w:right="1473"/>
        <w:jc w:val="both"/>
      </w:pPr>
      <w:r>
        <w:rPr/>
        <w:t>Since</w:t>
      </w:r>
      <w:r>
        <w:rPr>
          <w:spacing w:val="-18"/>
        </w:rPr>
        <w:t> </w:t>
      </w:r>
      <w:r>
        <w:rPr/>
        <w:t>this</w:t>
      </w:r>
      <w:r>
        <w:rPr>
          <w:spacing w:val="-8"/>
        </w:rPr>
        <w:t> </w:t>
      </w:r>
      <w:r>
        <w:rPr/>
        <w:t>evaluation</w:t>
      </w:r>
      <w:r>
        <w:rPr>
          <w:spacing w:val="-3"/>
        </w:rPr>
        <w:t> </w:t>
      </w:r>
      <w:r>
        <w:rPr/>
        <w:t>was</w:t>
      </w:r>
      <w:r>
        <w:rPr>
          <w:spacing w:val="-3"/>
        </w:rPr>
        <w:t> </w:t>
      </w:r>
      <w:r>
        <w:rPr/>
        <w:t>undertaken</w:t>
      </w:r>
      <w:r>
        <w:rPr>
          <w:spacing w:val="-3"/>
        </w:rPr>
        <w:t> </w:t>
      </w:r>
      <w:r>
        <w:rPr/>
        <w:t>in</w:t>
      </w:r>
      <w:r>
        <w:rPr>
          <w:spacing w:val="-3"/>
        </w:rPr>
        <w:t> </w:t>
      </w:r>
      <w:r>
        <w:rPr/>
        <w:t>2019,</w:t>
      </w:r>
      <w:r>
        <w:rPr>
          <w:spacing w:val="-4"/>
        </w:rPr>
        <w:t> </w:t>
      </w:r>
      <w:r>
        <w:rPr/>
        <w:t>Acas</w:t>
      </w:r>
      <w:r>
        <w:rPr>
          <w:spacing w:val="-3"/>
        </w:rPr>
        <w:t> </w:t>
      </w:r>
      <w:r>
        <w:rPr/>
        <w:t>has</w:t>
      </w:r>
      <w:r>
        <w:rPr>
          <w:spacing w:val="-3"/>
        </w:rPr>
        <w:t> </w:t>
      </w:r>
      <w:r>
        <w:rPr/>
        <w:t>made</w:t>
      </w:r>
      <w:r>
        <w:rPr>
          <w:spacing w:val="-3"/>
        </w:rPr>
        <w:t> </w:t>
      </w:r>
      <w:r>
        <w:rPr/>
        <w:t>other</w:t>
      </w:r>
      <w:r>
        <w:rPr>
          <w:spacing w:val="-4"/>
        </w:rPr>
        <w:t> </w:t>
      </w:r>
      <w:r>
        <w:rPr/>
        <w:t>developments in service provision: a new online notification form for claimants; a new case management</w:t>
      </w:r>
      <w:r>
        <w:rPr>
          <w:spacing w:val="-6"/>
        </w:rPr>
        <w:t> </w:t>
      </w:r>
      <w:r>
        <w:rPr/>
        <w:t>system</w:t>
      </w:r>
      <w:r>
        <w:rPr>
          <w:spacing w:val="-7"/>
        </w:rPr>
        <w:t> </w:t>
      </w:r>
      <w:r>
        <w:rPr/>
        <w:t>for</w:t>
      </w:r>
      <w:r>
        <w:rPr>
          <w:spacing w:val="-7"/>
        </w:rPr>
        <w:t> </w:t>
      </w:r>
      <w:r>
        <w:rPr/>
        <w:t>conciliators,</w:t>
      </w:r>
      <w:r>
        <w:rPr>
          <w:spacing w:val="-6"/>
        </w:rPr>
        <w:t> </w:t>
      </w:r>
      <w:r>
        <w:rPr/>
        <w:t>and;</w:t>
      </w:r>
      <w:r>
        <w:rPr>
          <w:spacing w:val="-8"/>
        </w:rPr>
        <w:t> </w:t>
      </w:r>
      <w:r>
        <w:rPr/>
        <w:t>pilots</w:t>
      </w:r>
      <w:r>
        <w:rPr>
          <w:spacing w:val="-7"/>
        </w:rPr>
        <w:t> </w:t>
      </w:r>
      <w:r>
        <w:rPr/>
        <w:t>of</w:t>
      </w:r>
      <w:r>
        <w:rPr>
          <w:spacing w:val="-6"/>
        </w:rPr>
        <w:t> </w:t>
      </w:r>
      <w:r>
        <w:rPr/>
        <w:t>alternative</w:t>
      </w:r>
      <w:r>
        <w:rPr>
          <w:spacing w:val="-7"/>
        </w:rPr>
        <w:t> </w:t>
      </w:r>
      <w:r>
        <w:rPr/>
        <w:t>team-based</w:t>
      </w:r>
      <w:r>
        <w:rPr>
          <w:spacing w:val="-7"/>
        </w:rPr>
        <w:t> </w:t>
      </w:r>
      <w:r>
        <w:rPr/>
        <w:t>models of conciliation delivery. None of these subsequent features were captured in the 2019</w:t>
      </w:r>
      <w:r>
        <w:rPr>
          <w:spacing w:val="-18"/>
        </w:rPr>
        <w:t> </w:t>
      </w:r>
      <w:r>
        <w:rPr/>
        <w:t>surveys,</w:t>
      </w:r>
      <w:r>
        <w:rPr>
          <w:spacing w:val="-17"/>
        </w:rPr>
        <w:t> </w:t>
      </w:r>
      <w:r>
        <w:rPr/>
        <w:t>which</w:t>
      </w:r>
      <w:r>
        <w:rPr>
          <w:spacing w:val="-16"/>
        </w:rPr>
        <w:t> </w:t>
      </w:r>
      <w:r>
        <w:rPr/>
        <w:t>provide</w:t>
      </w:r>
      <w:r>
        <w:rPr>
          <w:spacing w:val="-17"/>
        </w:rPr>
        <w:t> </w:t>
      </w:r>
      <w:r>
        <w:rPr/>
        <w:t>as</w:t>
      </w:r>
      <w:r>
        <w:rPr>
          <w:spacing w:val="-16"/>
        </w:rPr>
        <w:t> </w:t>
      </w:r>
      <w:r>
        <w:rPr/>
        <w:t>an</w:t>
      </w:r>
      <w:r>
        <w:rPr>
          <w:spacing w:val="-16"/>
        </w:rPr>
        <w:t> </w:t>
      </w:r>
      <w:r>
        <w:rPr/>
        <w:t>evaluation</w:t>
      </w:r>
      <w:r>
        <w:rPr>
          <w:spacing w:val="-16"/>
        </w:rPr>
        <w:t> </w:t>
      </w:r>
      <w:r>
        <w:rPr/>
        <w:t>of</w:t>
      </w:r>
      <w:r>
        <w:rPr>
          <w:spacing w:val="-16"/>
        </w:rPr>
        <w:t> </w:t>
      </w:r>
      <w:r>
        <w:rPr/>
        <w:t>the</w:t>
      </w:r>
      <w:r>
        <w:rPr>
          <w:spacing w:val="-18"/>
        </w:rPr>
        <w:t> </w:t>
      </w:r>
      <w:r>
        <w:rPr/>
        <w:t>EC</w:t>
      </w:r>
      <w:r>
        <w:rPr>
          <w:spacing w:val="-17"/>
        </w:rPr>
        <w:t> </w:t>
      </w:r>
      <w:r>
        <w:rPr/>
        <w:t>service</w:t>
      </w:r>
      <w:r>
        <w:rPr>
          <w:spacing w:val="-17"/>
        </w:rPr>
        <w:t> </w:t>
      </w:r>
      <w:r>
        <w:rPr/>
        <w:t>as</w:t>
      </w:r>
      <w:r>
        <w:rPr>
          <w:spacing w:val="-16"/>
        </w:rPr>
        <w:t> </w:t>
      </w:r>
      <w:r>
        <w:rPr/>
        <w:t>it</w:t>
      </w:r>
      <w:r>
        <w:rPr>
          <w:spacing w:val="-16"/>
        </w:rPr>
        <w:t> </w:t>
      </w:r>
      <w:r>
        <w:rPr/>
        <w:t>stood</w:t>
      </w:r>
      <w:r>
        <w:rPr>
          <w:spacing w:val="-16"/>
        </w:rPr>
        <w:t> </w:t>
      </w:r>
      <w:r>
        <w:rPr/>
        <w:t>in</w:t>
      </w:r>
      <w:r>
        <w:rPr>
          <w:spacing w:val="-16"/>
        </w:rPr>
        <w:t> </w:t>
      </w:r>
      <w:r>
        <w:rPr/>
        <w:t>March- April 2019 and the ET conciliation service as it stood between summer 2018 and spring 2019 (full sampling frame details for both are provided below).</w:t>
      </w:r>
    </w:p>
    <w:p>
      <w:pPr>
        <w:pStyle w:val="BodyText"/>
        <w:spacing w:before="1"/>
      </w:pPr>
    </w:p>
    <w:p>
      <w:pPr>
        <w:pStyle w:val="Heading3"/>
      </w:pPr>
      <w:r>
        <w:rPr/>
        <w:t>Conciliation</w:t>
      </w:r>
      <w:r>
        <w:rPr>
          <w:spacing w:val="-6"/>
        </w:rPr>
        <w:t> </w:t>
      </w:r>
      <w:r>
        <w:rPr/>
        <w:t>in</w:t>
      </w:r>
      <w:r>
        <w:rPr>
          <w:spacing w:val="-6"/>
        </w:rPr>
        <w:t> </w:t>
      </w:r>
      <w:r>
        <w:rPr/>
        <w:t>the</w:t>
      </w:r>
      <w:r>
        <w:rPr>
          <w:spacing w:val="-6"/>
        </w:rPr>
        <w:t> </w:t>
      </w:r>
      <w:r>
        <w:rPr/>
        <w:t>Individual</w:t>
      </w:r>
      <w:r>
        <w:rPr>
          <w:spacing w:val="-6"/>
        </w:rPr>
        <w:t> </w:t>
      </w:r>
      <w:r>
        <w:rPr/>
        <w:t>Dispute</w:t>
      </w:r>
      <w:r>
        <w:rPr>
          <w:spacing w:val="-6"/>
        </w:rPr>
        <w:t> </w:t>
      </w:r>
      <w:r>
        <w:rPr/>
        <w:t>Resolution</w:t>
      </w:r>
      <w:r>
        <w:rPr>
          <w:spacing w:val="-6"/>
        </w:rPr>
        <w:t> </w:t>
      </w:r>
      <w:r>
        <w:rPr>
          <w:spacing w:val="-2"/>
        </w:rPr>
        <w:t>journey</w:t>
      </w:r>
    </w:p>
    <w:p>
      <w:pPr>
        <w:pStyle w:val="BodyText"/>
        <w:rPr>
          <w:b/>
        </w:rPr>
      </w:pPr>
    </w:p>
    <w:p>
      <w:pPr>
        <w:pStyle w:val="Heading4"/>
        <w:spacing w:line="243" w:lineRule="exact"/>
        <w:rPr>
          <w:i/>
        </w:rPr>
      </w:pPr>
      <w:r>
        <w:rPr>
          <w:i/>
        </w:rPr>
        <w:t>EC</w:t>
      </w:r>
      <w:r>
        <w:rPr>
          <w:i/>
          <w:spacing w:val="-1"/>
        </w:rPr>
        <w:t> </w:t>
      </w:r>
      <w:r>
        <w:rPr>
          <w:i/>
          <w:spacing w:val="-2"/>
        </w:rPr>
        <w:t>notification</w:t>
      </w:r>
    </w:p>
    <w:p>
      <w:pPr>
        <w:pStyle w:val="BodyText"/>
        <w:ind w:left="1337" w:right="1473" w:hanging="1"/>
        <w:jc w:val="both"/>
      </w:pPr>
      <w:r>
        <w:rPr/>
        <w:t>The submission of a notification form by the claimant</w:t>
      </w:r>
      <w:hyperlink w:history="true" w:anchor="_bookmark69">
        <w:r>
          <w:rPr>
            <w:position w:val="7"/>
            <w:sz w:val="13"/>
          </w:rPr>
          <w:t>2</w:t>
        </w:r>
      </w:hyperlink>
      <w:r>
        <w:rPr>
          <w:position w:val="7"/>
          <w:sz w:val="13"/>
        </w:rPr>
        <w:t> </w:t>
      </w:r>
      <w:r>
        <w:rPr/>
        <w:t>is the first part of the IC process. This notification contains only a very limited amount of prescribed information</w:t>
      </w:r>
      <w:r>
        <w:rPr>
          <w:spacing w:val="-16"/>
        </w:rPr>
        <w:t> </w:t>
      </w:r>
      <w:r>
        <w:rPr/>
        <w:t>and</w:t>
      </w:r>
      <w:r>
        <w:rPr>
          <w:spacing w:val="-16"/>
        </w:rPr>
        <w:t> </w:t>
      </w:r>
      <w:r>
        <w:rPr/>
        <w:t>in</w:t>
      </w:r>
      <w:r>
        <w:rPr>
          <w:spacing w:val="-16"/>
        </w:rPr>
        <w:t> </w:t>
      </w:r>
      <w:r>
        <w:rPr/>
        <w:t>more</w:t>
      </w:r>
      <w:r>
        <w:rPr>
          <w:spacing w:val="-17"/>
        </w:rPr>
        <w:t> </w:t>
      </w:r>
      <w:r>
        <w:rPr/>
        <w:t>than</w:t>
      </w:r>
      <w:r>
        <w:rPr>
          <w:spacing w:val="-16"/>
        </w:rPr>
        <w:t> </w:t>
      </w:r>
      <w:r>
        <w:rPr/>
        <w:t>90</w:t>
      </w:r>
      <w:r>
        <w:rPr>
          <w:spacing w:val="-18"/>
        </w:rPr>
        <w:t> </w:t>
      </w:r>
      <w:r>
        <w:rPr/>
        <w:t>per</w:t>
      </w:r>
      <w:r>
        <w:rPr>
          <w:spacing w:val="-16"/>
        </w:rPr>
        <w:t> </w:t>
      </w:r>
      <w:r>
        <w:rPr/>
        <w:t>cent</w:t>
      </w:r>
      <w:r>
        <w:rPr>
          <w:spacing w:val="-16"/>
        </w:rPr>
        <w:t> </w:t>
      </w:r>
      <w:r>
        <w:rPr/>
        <w:t>of</w:t>
      </w:r>
      <w:r>
        <w:rPr>
          <w:spacing w:val="-16"/>
        </w:rPr>
        <w:t> </w:t>
      </w:r>
      <w:r>
        <w:rPr/>
        <w:t>cases</w:t>
      </w:r>
      <w:r>
        <w:rPr>
          <w:spacing w:val="-16"/>
        </w:rPr>
        <w:t> </w:t>
      </w:r>
      <w:r>
        <w:rPr/>
        <w:t>is</w:t>
      </w:r>
      <w:r>
        <w:rPr>
          <w:spacing w:val="-16"/>
        </w:rPr>
        <w:t> </w:t>
      </w:r>
      <w:r>
        <w:rPr/>
        <w:t>submitted</w:t>
      </w:r>
      <w:r>
        <w:rPr>
          <w:spacing w:val="-16"/>
        </w:rPr>
        <w:t> </w:t>
      </w:r>
      <w:r>
        <w:rPr/>
        <w:t>to</w:t>
      </w:r>
      <w:r>
        <w:rPr>
          <w:spacing w:val="-17"/>
        </w:rPr>
        <w:t> </w:t>
      </w:r>
      <w:r>
        <w:rPr/>
        <w:t>Acas</w:t>
      </w:r>
      <w:r>
        <w:rPr>
          <w:spacing w:val="-18"/>
        </w:rPr>
        <w:t> </w:t>
      </w:r>
      <w:r>
        <w:rPr/>
        <w:t>via</w:t>
      </w:r>
      <w:r>
        <w:rPr>
          <w:spacing w:val="-16"/>
        </w:rPr>
        <w:t> </w:t>
      </w:r>
      <w:r>
        <w:rPr/>
        <w:t>an</w:t>
      </w:r>
      <w:r>
        <w:rPr>
          <w:spacing w:val="-16"/>
        </w:rPr>
        <w:t> </w:t>
      </w:r>
      <w:r>
        <w:rPr/>
        <w:t>online </w:t>
      </w:r>
      <w:r>
        <w:rPr>
          <w:spacing w:val="-2"/>
        </w:rPr>
        <w:t>form.</w:t>
      </w:r>
    </w:p>
    <w:p>
      <w:pPr>
        <w:pStyle w:val="BodyText"/>
        <w:spacing w:before="11"/>
        <w:rPr>
          <w:sz w:val="19"/>
        </w:rPr>
      </w:pPr>
    </w:p>
    <w:p>
      <w:pPr>
        <w:pStyle w:val="Heading4"/>
        <w:spacing w:before="1"/>
        <w:rPr>
          <w:i/>
        </w:rPr>
      </w:pPr>
      <w:r>
        <w:rPr>
          <w:i/>
        </w:rPr>
        <w:t>The</w:t>
      </w:r>
      <w:r>
        <w:rPr>
          <w:i/>
          <w:spacing w:val="-2"/>
        </w:rPr>
        <w:t> </w:t>
      </w:r>
      <w:r>
        <w:rPr>
          <w:i/>
        </w:rPr>
        <w:t>roles</w:t>
      </w:r>
      <w:r>
        <w:rPr>
          <w:i/>
          <w:spacing w:val="-4"/>
        </w:rPr>
        <w:t> </w:t>
      </w:r>
      <w:r>
        <w:rPr>
          <w:i/>
        </w:rPr>
        <w:t>of</w:t>
      </w:r>
      <w:r>
        <w:rPr>
          <w:i/>
          <w:spacing w:val="-2"/>
        </w:rPr>
        <w:t> </w:t>
      </w:r>
      <w:r>
        <w:rPr>
          <w:i/>
        </w:rPr>
        <w:t>the</w:t>
      </w:r>
      <w:r>
        <w:rPr>
          <w:i/>
          <w:spacing w:val="-2"/>
        </w:rPr>
        <w:t> </w:t>
      </w:r>
      <w:r>
        <w:rPr>
          <w:i/>
        </w:rPr>
        <w:t>ECSO</w:t>
      </w:r>
      <w:r>
        <w:rPr>
          <w:i/>
          <w:spacing w:val="-2"/>
        </w:rPr>
        <w:t> </w:t>
      </w:r>
      <w:r>
        <w:rPr>
          <w:i/>
        </w:rPr>
        <w:t>and</w:t>
      </w:r>
      <w:r>
        <w:rPr>
          <w:i/>
          <w:spacing w:val="-1"/>
        </w:rPr>
        <w:t> </w:t>
      </w:r>
      <w:r>
        <w:rPr>
          <w:i/>
          <w:spacing w:val="-2"/>
        </w:rPr>
        <w:t>conciliator</w:t>
      </w:r>
    </w:p>
    <w:p>
      <w:pPr>
        <w:pStyle w:val="BodyText"/>
        <w:ind w:left="1337" w:right="1472"/>
        <w:jc w:val="both"/>
      </w:pPr>
      <w:r>
        <w:rPr/>
        <w:t>Following</w:t>
      </w:r>
      <w:r>
        <w:rPr>
          <w:spacing w:val="-2"/>
        </w:rPr>
        <w:t> </w:t>
      </w:r>
      <w:r>
        <w:rPr/>
        <w:t>submission</w:t>
      </w:r>
      <w:r>
        <w:rPr>
          <w:spacing w:val="-1"/>
        </w:rPr>
        <w:t> </w:t>
      </w:r>
      <w:r>
        <w:rPr/>
        <w:t>of</w:t>
      </w:r>
      <w:r>
        <w:rPr>
          <w:spacing w:val="-2"/>
        </w:rPr>
        <w:t> </w:t>
      </w:r>
      <w:r>
        <w:rPr/>
        <w:t>the</w:t>
      </w:r>
      <w:r>
        <w:rPr>
          <w:spacing w:val="-3"/>
        </w:rPr>
        <w:t> </w:t>
      </w:r>
      <w:r>
        <w:rPr/>
        <w:t>notification,</w:t>
      </w:r>
      <w:r>
        <w:rPr>
          <w:spacing w:val="-1"/>
        </w:rPr>
        <w:t> </w:t>
      </w:r>
      <w:r>
        <w:rPr/>
        <w:t>an</w:t>
      </w:r>
      <w:r>
        <w:rPr>
          <w:spacing w:val="-1"/>
        </w:rPr>
        <w:t> </w:t>
      </w:r>
      <w:r>
        <w:rPr/>
        <w:t>Acas</w:t>
      </w:r>
      <w:r>
        <w:rPr>
          <w:spacing w:val="-3"/>
        </w:rPr>
        <w:t> </w:t>
      </w:r>
      <w:r>
        <w:rPr/>
        <w:t>Early</w:t>
      </w:r>
      <w:r>
        <w:rPr>
          <w:spacing w:val="-1"/>
        </w:rPr>
        <w:t> </w:t>
      </w:r>
      <w:r>
        <w:rPr/>
        <w:t>Conciliation</w:t>
      </w:r>
      <w:r>
        <w:rPr>
          <w:spacing w:val="-1"/>
        </w:rPr>
        <w:t> </w:t>
      </w:r>
      <w:r>
        <w:rPr/>
        <w:t>Support</w:t>
      </w:r>
      <w:r>
        <w:rPr>
          <w:spacing w:val="-3"/>
        </w:rPr>
        <w:t> </w:t>
      </w:r>
      <w:r>
        <w:rPr/>
        <w:t>Officer (ECSO) contacts the potential claimant to confirm contact details, gather basic information and</w:t>
      </w:r>
      <w:r>
        <w:rPr>
          <w:spacing w:val="-1"/>
        </w:rPr>
        <w:t> </w:t>
      </w:r>
      <w:r>
        <w:rPr/>
        <w:t>provide</w:t>
      </w:r>
      <w:r>
        <w:rPr>
          <w:spacing w:val="-1"/>
        </w:rPr>
        <w:t> </w:t>
      </w:r>
      <w:r>
        <w:rPr/>
        <w:t>information about</w:t>
      </w:r>
      <w:r>
        <w:rPr>
          <w:spacing w:val="-2"/>
        </w:rPr>
        <w:t> </w:t>
      </w:r>
      <w:r>
        <w:rPr/>
        <w:t>EC.</w:t>
      </w:r>
      <w:r>
        <w:rPr>
          <w:spacing w:val="-3"/>
        </w:rPr>
        <w:t> </w:t>
      </w:r>
      <w:r>
        <w:rPr/>
        <w:t>Unless</w:t>
      </w:r>
      <w:r>
        <w:rPr>
          <w:spacing w:val="-1"/>
        </w:rPr>
        <w:t> </w:t>
      </w:r>
      <w:r>
        <w:rPr/>
        <w:t>the</w:t>
      </w:r>
      <w:r>
        <w:rPr>
          <w:spacing w:val="-4"/>
        </w:rPr>
        <w:t> </w:t>
      </w:r>
      <w:r>
        <w:rPr/>
        <w:t>case</w:t>
      </w:r>
      <w:r>
        <w:rPr>
          <w:spacing w:val="-1"/>
        </w:rPr>
        <w:t> </w:t>
      </w:r>
      <w:r>
        <w:rPr/>
        <w:t>is</w:t>
      </w:r>
      <w:r>
        <w:rPr>
          <w:spacing w:val="-1"/>
        </w:rPr>
        <w:t> </w:t>
      </w:r>
      <w:r>
        <w:rPr/>
        <w:t>clearly</w:t>
      </w:r>
      <w:r>
        <w:rPr>
          <w:spacing w:val="-1"/>
        </w:rPr>
        <w:t> </w:t>
      </w:r>
      <w:r>
        <w:rPr/>
        <w:t>invalid</w:t>
      </w:r>
      <w:r>
        <w:rPr>
          <w:spacing w:val="-1"/>
        </w:rPr>
        <w:t> </w:t>
      </w:r>
      <w:r>
        <w:rPr/>
        <w:t>or the</w:t>
      </w:r>
      <w:r>
        <w:rPr>
          <w:spacing w:val="-9"/>
        </w:rPr>
        <w:t> </w:t>
      </w:r>
      <w:r>
        <w:rPr/>
        <w:t>claimant</w:t>
      </w:r>
      <w:r>
        <w:rPr>
          <w:spacing w:val="-8"/>
        </w:rPr>
        <w:t> </w:t>
      </w:r>
      <w:r>
        <w:rPr/>
        <w:t>explicitly</w:t>
      </w:r>
      <w:r>
        <w:rPr>
          <w:spacing w:val="-8"/>
        </w:rPr>
        <w:t> </w:t>
      </w:r>
      <w:r>
        <w:rPr/>
        <w:t>declares</w:t>
      </w:r>
      <w:r>
        <w:rPr>
          <w:spacing w:val="-8"/>
        </w:rPr>
        <w:t> </w:t>
      </w:r>
      <w:r>
        <w:rPr/>
        <w:t>an</w:t>
      </w:r>
      <w:r>
        <w:rPr>
          <w:spacing w:val="-8"/>
        </w:rPr>
        <w:t> </w:t>
      </w:r>
      <w:r>
        <w:rPr/>
        <w:t>unwillingness</w:t>
      </w:r>
      <w:r>
        <w:rPr>
          <w:spacing w:val="-9"/>
        </w:rPr>
        <w:t> </w:t>
      </w:r>
      <w:r>
        <w:rPr/>
        <w:t>to</w:t>
      </w:r>
      <w:r>
        <w:rPr>
          <w:spacing w:val="-8"/>
        </w:rPr>
        <w:t> </w:t>
      </w:r>
      <w:r>
        <w:rPr/>
        <w:t>pursue</w:t>
      </w:r>
      <w:r>
        <w:rPr>
          <w:spacing w:val="-9"/>
        </w:rPr>
        <w:t> </w:t>
      </w:r>
      <w:r>
        <w:rPr/>
        <w:t>EC,</w:t>
      </w:r>
      <w:r>
        <w:rPr>
          <w:spacing w:val="-8"/>
        </w:rPr>
        <w:t> </w:t>
      </w:r>
      <w:r>
        <w:rPr/>
        <w:t>the</w:t>
      </w:r>
      <w:r>
        <w:rPr>
          <w:spacing w:val="-9"/>
        </w:rPr>
        <w:t> </w:t>
      </w:r>
      <w:r>
        <w:rPr/>
        <w:t>case</w:t>
      </w:r>
      <w:r>
        <w:rPr>
          <w:spacing w:val="-10"/>
        </w:rPr>
        <w:t> </w:t>
      </w:r>
      <w:r>
        <w:rPr/>
        <w:t>is</w:t>
      </w:r>
      <w:r>
        <w:rPr>
          <w:spacing w:val="-9"/>
        </w:rPr>
        <w:t> </w:t>
      </w:r>
      <w:r>
        <w:rPr/>
        <w:t>allocated to an Acas conciliator, who then aims to make follow-up contact and gain the claimant’s</w:t>
      </w:r>
      <w:r>
        <w:rPr>
          <w:spacing w:val="-17"/>
        </w:rPr>
        <w:t> </w:t>
      </w:r>
      <w:r>
        <w:rPr/>
        <w:t>permission</w:t>
      </w:r>
      <w:r>
        <w:rPr>
          <w:spacing w:val="-16"/>
        </w:rPr>
        <w:t> </w:t>
      </w:r>
      <w:r>
        <w:rPr/>
        <w:t>to</w:t>
      </w:r>
      <w:r>
        <w:rPr>
          <w:spacing w:val="-17"/>
        </w:rPr>
        <w:t> </w:t>
      </w:r>
      <w:r>
        <w:rPr/>
        <w:t>contact</w:t>
      </w:r>
      <w:r>
        <w:rPr>
          <w:spacing w:val="-17"/>
        </w:rPr>
        <w:t> </w:t>
      </w:r>
      <w:r>
        <w:rPr/>
        <w:t>the</w:t>
      </w:r>
      <w:r>
        <w:rPr>
          <w:spacing w:val="-18"/>
        </w:rPr>
        <w:t> </w:t>
      </w:r>
      <w:r>
        <w:rPr/>
        <w:t>respondent</w:t>
      </w:r>
      <w:r>
        <w:rPr>
          <w:spacing w:val="-17"/>
        </w:rPr>
        <w:t> </w:t>
      </w:r>
      <w:r>
        <w:rPr/>
        <w:t>(their</w:t>
      </w:r>
      <w:r>
        <w:rPr>
          <w:spacing w:val="-17"/>
        </w:rPr>
        <w:t> </w:t>
      </w:r>
      <w:r>
        <w:rPr/>
        <w:t>employer/former</w:t>
      </w:r>
      <w:r>
        <w:rPr>
          <w:spacing w:val="-16"/>
        </w:rPr>
        <w:t> </w:t>
      </w:r>
      <w:r>
        <w:rPr/>
        <w:t>employer), in order to commence EC (which by definition requires both parties’ explicit </w:t>
      </w:r>
      <w:r>
        <w:rPr>
          <w:spacing w:val="-2"/>
        </w:rPr>
        <w:t>agreement).</w:t>
      </w:r>
    </w:p>
    <w:p>
      <w:pPr>
        <w:pStyle w:val="BodyText"/>
        <w:spacing w:before="1"/>
      </w:pPr>
    </w:p>
    <w:p>
      <w:pPr>
        <w:pStyle w:val="BodyText"/>
        <w:ind w:left="1337" w:right="1474"/>
        <w:jc w:val="both"/>
      </w:pPr>
      <w:r>
        <w:rPr/>
        <w:t>Provided the respondent agrees, Acas then offers the EC service. Because notification is mandatory this gives</w:t>
      </w:r>
      <w:r>
        <w:rPr>
          <w:spacing w:val="-2"/>
        </w:rPr>
        <w:t> </w:t>
      </w:r>
      <w:r>
        <w:rPr/>
        <w:t>Acas the</w:t>
      </w:r>
      <w:r>
        <w:rPr>
          <w:spacing w:val="-1"/>
        </w:rPr>
        <w:t> </w:t>
      </w:r>
      <w:r>
        <w:rPr/>
        <w:t>opportunity to</w:t>
      </w:r>
      <w:r>
        <w:rPr>
          <w:spacing w:val="-1"/>
        </w:rPr>
        <w:t> </w:t>
      </w:r>
      <w:r>
        <w:rPr/>
        <w:t>explain the benefits</w:t>
      </w:r>
      <w:r>
        <w:rPr>
          <w:spacing w:val="-1"/>
        </w:rPr>
        <w:t> </w:t>
      </w:r>
      <w:r>
        <w:rPr/>
        <w:t>of EC to potential claimants who may not otherwise considered or known about it.</w:t>
      </w:r>
    </w:p>
    <w:p>
      <w:pPr>
        <w:spacing w:after="0"/>
        <w:jc w:val="both"/>
        <w:sectPr>
          <w:pgSz w:w="11910" w:h="16840"/>
          <w:pgMar w:header="0" w:footer="996" w:top="1340" w:bottom="1180" w:left="460" w:right="320"/>
        </w:sectPr>
      </w:pPr>
    </w:p>
    <w:p>
      <w:pPr>
        <w:pStyle w:val="BodyText"/>
        <w:spacing w:before="84"/>
        <w:ind w:left="1337" w:right="1471"/>
        <w:jc w:val="both"/>
      </w:pPr>
      <w:r>
        <w:rPr/>
        <w:t>Where parties do not engage in EC (either because the claimant or the employer refuse or are uncontactable), Acas issues a formal Certificate to the claimant entitling</w:t>
      </w:r>
      <w:r>
        <w:rPr>
          <w:spacing w:val="-3"/>
        </w:rPr>
        <w:t> </w:t>
      </w:r>
      <w:r>
        <w:rPr/>
        <w:t>them</w:t>
      </w:r>
      <w:r>
        <w:rPr>
          <w:spacing w:val="-4"/>
        </w:rPr>
        <w:t> </w:t>
      </w:r>
      <w:r>
        <w:rPr/>
        <w:t>to</w:t>
      </w:r>
      <w:r>
        <w:rPr>
          <w:spacing w:val="-4"/>
        </w:rPr>
        <w:t> </w:t>
      </w:r>
      <w:r>
        <w:rPr/>
        <w:t>make</w:t>
      </w:r>
      <w:r>
        <w:rPr>
          <w:spacing w:val="-4"/>
        </w:rPr>
        <w:t> </w:t>
      </w:r>
      <w:r>
        <w:rPr/>
        <w:t>a</w:t>
      </w:r>
      <w:r>
        <w:rPr>
          <w:spacing w:val="-4"/>
        </w:rPr>
        <w:t> </w:t>
      </w:r>
      <w:r>
        <w:rPr/>
        <w:t>tribunal</w:t>
      </w:r>
      <w:r>
        <w:rPr>
          <w:spacing w:val="-4"/>
        </w:rPr>
        <w:t> </w:t>
      </w:r>
      <w:r>
        <w:rPr/>
        <w:t>claim</w:t>
      </w:r>
      <w:r>
        <w:rPr>
          <w:spacing w:val="-4"/>
        </w:rPr>
        <w:t> </w:t>
      </w:r>
      <w:r>
        <w:rPr/>
        <w:t>(the</w:t>
      </w:r>
      <w:r>
        <w:rPr>
          <w:spacing w:val="-4"/>
        </w:rPr>
        <w:t> </w:t>
      </w:r>
      <w:r>
        <w:rPr/>
        <w:t>certificate</w:t>
      </w:r>
      <w:r>
        <w:rPr>
          <w:spacing w:val="-4"/>
        </w:rPr>
        <w:t> </w:t>
      </w:r>
      <w:r>
        <w:rPr/>
        <w:t>includes</w:t>
      </w:r>
      <w:r>
        <w:rPr>
          <w:spacing w:val="-3"/>
        </w:rPr>
        <w:t> </w:t>
      </w:r>
      <w:r>
        <w:rPr/>
        <w:t>a</w:t>
      </w:r>
      <w:r>
        <w:rPr>
          <w:spacing w:val="-4"/>
        </w:rPr>
        <w:t> </w:t>
      </w:r>
      <w:r>
        <w:rPr/>
        <w:t>unique</w:t>
      </w:r>
      <w:r>
        <w:rPr>
          <w:spacing w:val="-4"/>
        </w:rPr>
        <w:t> </w:t>
      </w:r>
      <w:r>
        <w:rPr/>
        <w:t>reference number</w:t>
      </w:r>
      <w:r>
        <w:rPr>
          <w:spacing w:val="-11"/>
        </w:rPr>
        <w:t> </w:t>
      </w:r>
      <w:r>
        <w:rPr/>
        <w:t>which</w:t>
      </w:r>
      <w:r>
        <w:rPr>
          <w:spacing w:val="-10"/>
        </w:rPr>
        <w:t> </w:t>
      </w:r>
      <w:r>
        <w:rPr/>
        <w:t>the</w:t>
      </w:r>
      <w:r>
        <w:rPr>
          <w:spacing w:val="-11"/>
        </w:rPr>
        <w:t> </w:t>
      </w:r>
      <w:r>
        <w:rPr/>
        <w:t>claimant</w:t>
      </w:r>
      <w:r>
        <w:rPr>
          <w:spacing w:val="-10"/>
        </w:rPr>
        <w:t> </w:t>
      </w:r>
      <w:r>
        <w:rPr/>
        <w:t>must</w:t>
      </w:r>
      <w:r>
        <w:rPr>
          <w:spacing w:val="-10"/>
        </w:rPr>
        <w:t> </w:t>
      </w:r>
      <w:r>
        <w:rPr/>
        <w:t>provide</w:t>
      </w:r>
      <w:r>
        <w:rPr>
          <w:spacing w:val="-11"/>
        </w:rPr>
        <w:t> </w:t>
      </w:r>
      <w:r>
        <w:rPr/>
        <w:t>if</w:t>
      </w:r>
      <w:r>
        <w:rPr>
          <w:spacing w:val="-10"/>
        </w:rPr>
        <w:t> </w:t>
      </w:r>
      <w:r>
        <w:rPr/>
        <w:t>they</w:t>
      </w:r>
      <w:r>
        <w:rPr>
          <w:spacing w:val="-10"/>
        </w:rPr>
        <w:t> </w:t>
      </w:r>
      <w:r>
        <w:rPr/>
        <w:t>go</w:t>
      </w:r>
      <w:r>
        <w:rPr>
          <w:spacing w:val="-11"/>
        </w:rPr>
        <w:t> </w:t>
      </w:r>
      <w:r>
        <w:rPr/>
        <w:t>on</w:t>
      </w:r>
      <w:r>
        <w:rPr>
          <w:spacing w:val="-11"/>
        </w:rPr>
        <w:t> </w:t>
      </w:r>
      <w:r>
        <w:rPr/>
        <w:t>to</w:t>
      </w:r>
      <w:r>
        <w:rPr>
          <w:spacing w:val="-11"/>
        </w:rPr>
        <w:t> </w:t>
      </w:r>
      <w:r>
        <w:rPr/>
        <w:t>submit</w:t>
      </w:r>
      <w:r>
        <w:rPr>
          <w:spacing w:val="-10"/>
        </w:rPr>
        <w:t> </w:t>
      </w:r>
      <w:r>
        <w:rPr/>
        <w:t>a</w:t>
      </w:r>
      <w:r>
        <w:rPr>
          <w:spacing w:val="-11"/>
        </w:rPr>
        <w:t> </w:t>
      </w:r>
      <w:r>
        <w:rPr/>
        <w:t>claim</w:t>
      </w:r>
      <w:r>
        <w:rPr>
          <w:spacing w:val="-11"/>
        </w:rPr>
        <w:t> </w:t>
      </w:r>
      <w:r>
        <w:rPr/>
        <w:t>to</w:t>
      </w:r>
      <w:r>
        <w:rPr>
          <w:spacing w:val="-11"/>
        </w:rPr>
        <w:t> </w:t>
      </w:r>
      <w:r>
        <w:rPr/>
        <w:t>the</w:t>
      </w:r>
      <w:r>
        <w:rPr>
          <w:spacing w:val="-12"/>
        </w:rPr>
        <w:t> </w:t>
      </w:r>
      <w:r>
        <w:rPr/>
        <w:t>ET). Where a claim is submitted, the parties will be offered post-ET1 conciliation, irrespective of whether they engaged in EC.</w:t>
      </w:r>
    </w:p>
    <w:p>
      <w:pPr>
        <w:pStyle w:val="BodyText"/>
        <w:spacing w:before="1"/>
      </w:pPr>
    </w:p>
    <w:p>
      <w:pPr>
        <w:pStyle w:val="BodyText"/>
        <w:ind w:left="1337" w:right="1473"/>
        <w:jc w:val="both"/>
      </w:pPr>
      <w:r>
        <w:rPr/>
        <w:t>Where</w:t>
      </w:r>
      <w:r>
        <w:rPr>
          <w:spacing w:val="-5"/>
        </w:rPr>
        <w:t> </w:t>
      </w:r>
      <w:r>
        <w:rPr/>
        <w:t>the</w:t>
      </w:r>
      <w:r>
        <w:rPr>
          <w:spacing w:val="-5"/>
        </w:rPr>
        <w:t> </w:t>
      </w:r>
      <w:r>
        <w:rPr/>
        <w:t>claimant</w:t>
      </w:r>
      <w:r>
        <w:rPr>
          <w:spacing w:val="-4"/>
        </w:rPr>
        <w:t> </w:t>
      </w:r>
      <w:r>
        <w:rPr/>
        <w:t>and</w:t>
      </w:r>
      <w:r>
        <w:rPr>
          <w:spacing w:val="-5"/>
        </w:rPr>
        <w:t> </w:t>
      </w:r>
      <w:r>
        <w:rPr/>
        <w:t>respondent</w:t>
      </w:r>
      <w:r>
        <w:rPr>
          <w:spacing w:val="-5"/>
        </w:rPr>
        <w:t> </w:t>
      </w:r>
      <w:r>
        <w:rPr/>
        <w:t>agree</w:t>
      </w:r>
      <w:r>
        <w:rPr>
          <w:spacing w:val="-5"/>
        </w:rPr>
        <w:t> </w:t>
      </w:r>
      <w:r>
        <w:rPr/>
        <w:t>to</w:t>
      </w:r>
      <w:r>
        <w:rPr>
          <w:spacing w:val="-6"/>
        </w:rPr>
        <w:t> </w:t>
      </w:r>
      <w:r>
        <w:rPr/>
        <w:t>engage</w:t>
      </w:r>
      <w:r>
        <w:rPr>
          <w:spacing w:val="-5"/>
        </w:rPr>
        <w:t> </w:t>
      </w:r>
      <w:r>
        <w:rPr/>
        <w:t>in</w:t>
      </w:r>
      <w:r>
        <w:rPr>
          <w:spacing w:val="-5"/>
        </w:rPr>
        <w:t> </w:t>
      </w:r>
      <w:r>
        <w:rPr/>
        <w:t>EC,</w:t>
      </w:r>
      <w:r>
        <w:rPr>
          <w:spacing w:val="-5"/>
        </w:rPr>
        <w:t> </w:t>
      </w:r>
      <w:r>
        <w:rPr/>
        <w:t>an</w:t>
      </w:r>
      <w:r>
        <w:rPr>
          <w:spacing w:val="-4"/>
        </w:rPr>
        <w:t> </w:t>
      </w:r>
      <w:r>
        <w:rPr/>
        <w:t>Acas</w:t>
      </w:r>
      <w:r>
        <w:rPr>
          <w:spacing w:val="-5"/>
        </w:rPr>
        <w:t> </w:t>
      </w:r>
      <w:r>
        <w:rPr/>
        <w:t>conciliator</w:t>
      </w:r>
      <w:r>
        <w:rPr>
          <w:spacing w:val="-5"/>
        </w:rPr>
        <w:t> </w:t>
      </w:r>
      <w:r>
        <w:rPr/>
        <w:t>will explore</w:t>
      </w:r>
      <w:r>
        <w:rPr>
          <w:spacing w:val="-2"/>
        </w:rPr>
        <w:t> </w:t>
      </w:r>
      <w:r>
        <w:rPr/>
        <w:t>how</w:t>
      </w:r>
      <w:r>
        <w:rPr>
          <w:spacing w:val="-3"/>
        </w:rPr>
        <w:t> </w:t>
      </w:r>
      <w:r>
        <w:rPr/>
        <w:t>the</w:t>
      </w:r>
      <w:r>
        <w:rPr>
          <w:spacing w:val="-2"/>
        </w:rPr>
        <w:t> </w:t>
      </w:r>
      <w:r>
        <w:rPr/>
        <w:t>potential</w:t>
      </w:r>
      <w:r>
        <w:rPr>
          <w:spacing w:val="-3"/>
        </w:rPr>
        <w:t> </w:t>
      </w:r>
      <w:r>
        <w:rPr/>
        <w:t>claim</w:t>
      </w:r>
      <w:r>
        <w:rPr>
          <w:spacing w:val="-2"/>
        </w:rPr>
        <w:t> </w:t>
      </w:r>
      <w:r>
        <w:rPr/>
        <w:t>might</w:t>
      </w:r>
      <w:r>
        <w:rPr>
          <w:spacing w:val="-3"/>
        </w:rPr>
        <w:t> </w:t>
      </w:r>
      <w:r>
        <w:rPr/>
        <w:t>be</w:t>
      </w:r>
      <w:r>
        <w:rPr>
          <w:spacing w:val="-2"/>
        </w:rPr>
        <w:t> </w:t>
      </w:r>
      <w:r>
        <w:rPr/>
        <w:t>resolved,</w:t>
      </w:r>
      <w:r>
        <w:rPr>
          <w:spacing w:val="-1"/>
        </w:rPr>
        <w:t> </w:t>
      </w:r>
      <w:r>
        <w:rPr/>
        <w:t>talking</w:t>
      </w:r>
      <w:r>
        <w:rPr>
          <w:spacing w:val="-3"/>
        </w:rPr>
        <w:t> </w:t>
      </w:r>
      <w:r>
        <w:rPr/>
        <w:t>through</w:t>
      </w:r>
      <w:r>
        <w:rPr>
          <w:spacing w:val="-4"/>
        </w:rPr>
        <w:t> </w:t>
      </w:r>
      <w:r>
        <w:rPr/>
        <w:t>the</w:t>
      </w:r>
      <w:r>
        <w:rPr>
          <w:spacing w:val="-5"/>
        </w:rPr>
        <w:t> </w:t>
      </w:r>
      <w:r>
        <w:rPr/>
        <w:t>issues</w:t>
      </w:r>
      <w:r>
        <w:rPr>
          <w:spacing w:val="-2"/>
        </w:rPr>
        <w:t> </w:t>
      </w:r>
      <w:r>
        <w:rPr/>
        <w:t>with the employer and the employee. Mostly this takes place over the telephone. The conciliator will also, where appropriate:</w:t>
      </w:r>
    </w:p>
    <w:p>
      <w:pPr>
        <w:pStyle w:val="BodyText"/>
        <w:spacing w:before="1"/>
      </w:pPr>
    </w:p>
    <w:p>
      <w:pPr>
        <w:pStyle w:val="ListParagraph"/>
        <w:numPr>
          <w:ilvl w:val="0"/>
          <w:numId w:val="5"/>
        </w:numPr>
        <w:tabs>
          <w:tab w:pos="2057" w:val="left" w:leader="none"/>
          <w:tab w:pos="2058" w:val="left" w:leader="none"/>
        </w:tabs>
        <w:spacing w:line="244" w:lineRule="exact" w:before="0" w:after="0"/>
        <w:ind w:left="2057" w:right="0" w:hanging="361"/>
        <w:jc w:val="left"/>
        <w:rPr>
          <w:rFonts w:ascii="Symbol" w:hAnsi="Symbol"/>
          <w:sz w:val="20"/>
        </w:rPr>
      </w:pPr>
      <w:r>
        <w:rPr>
          <w:sz w:val="20"/>
        </w:rPr>
        <w:t>explain</w:t>
      </w:r>
      <w:r>
        <w:rPr>
          <w:spacing w:val="-6"/>
          <w:sz w:val="20"/>
        </w:rPr>
        <w:t> </w:t>
      </w:r>
      <w:r>
        <w:rPr>
          <w:sz w:val="20"/>
        </w:rPr>
        <w:t>the</w:t>
      </w:r>
      <w:r>
        <w:rPr>
          <w:spacing w:val="-6"/>
          <w:sz w:val="20"/>
        </w:rPr>
        <w:t> </w:t>
      </w:r>
      <w:r>
        <w:rPr>
          <w:sz w:val="20"/>
        </w:rPr>
        <w:t>Early</w:t>
      </w:r>
      <w:r>
        <w:rPr>
          <w:spacing w:val="-4"/>
          <w:sz w:val="20"/>
        </w:rPr>
        <w:t> </w:t>
      </w:r>
      <w:r>
        <w:rPr>
          <w:sz w:val="20"/>
        </w:rPr>
        <w:t>Conciliation</w:t>
      </w:r>
      <w:r>
        <w:rPr>
          <w:spacing w:val="-3"/>
          <w:sz w:val="20"/>
        </w:rPr>
        <w:t> </w:t>
      </w:r>
      <w:r>
        <w:rPr>
          <w:spacing w:val="-2"/>
          <w:sz w:val="20"/>
        </w:rPr>
        <w:t>process</w:t>
      </w:r>
    </w:p>
    <w:p>
      <w:pPr>
        <w:pStyle w:val="ListParagraph"/>
        <w:numPr>
          <w:ilvl w:val="0"/>
          <w:numId w:val="5"/>
        </w:numPr>
        <w:tabs>
          <w:tab w:pos="2057" w:val="left" w:leader="none"/>
          <w:tab w:pos="2058" w:val="left" w:leader="none"/>
        </w:tabs>
        <w:spacing w:line="240" w:lineRule="auto" w:before="0" w:after="0"/>
        <w:ind w:left="2057" w:right="1473" w:hanging="360"/>
        <w:jc w:val="left"/>
        <w:rPr>
          <w:rFonts w:ascii="Symbol" w:hAnsi="Symbol"/>
          <w:sz w:val="20"/>
        </w:rPr>
      </w:pPr>
      <w:r>
        <w:rPr>
          <w:sz w:val="20"/>
        </w:rPr>
        <w:t>encourage</w:t>
      </w:r>
      <w:r>
        <w:rPr>
          <w:spacing w:val="-10"/>
          <w:sz w:val="20"/>
        </w:rPr>
        <w:t> </w:t>
      </w:r>
      <w:r>
        <w:rPr>
          <w:sz w:val="20"/>
        </w:rPr>
        <w:t>the</w:t>
      </w:r>
      <w:r>
        <w:rPr>
          <w:spacing w:val="-10"/>
          <w:sz w:val="20"/>
        </w:rPr>
        <w:t> </w:t>
      </w:r>
      <w:r>
        <w:rPr>
          <w:sz w:val="20"/>
        </w:rPr>
        <w:t>use</w:t>
      </w:r>
      <w:r>
        <w:rPr>
          <w:spacing w:val="-10"/>
          <w:sz w:val="20"/>
        </w:rPr>
        <w:t> </w:t>
      </w:r>
      <w:r>
        <w:rPr>
          <w:sz w:val="20"/>
        </w:rPr>
        <w:t>of</w:t>
      </w:r>
      <w:r>
        <w:rPr>
          <w:spacing w:val="-10"/>
          <w:sz w:val="20"/>
        </w:rPr>
        <w:t> </w:t>
      </w:r>
      <w:r>
        <w:rPr>
          <w:sz w:val="20"/>
        </w:rPr>
        <w:t>internal</w:t>
      </w:r>
      <w:r>
        <w:rPr>
          <w:spacing w:val="-10"/>
          <w:sz w:val="20"/>
        </w:rPr>
        <w:t> </w:t>
      </w:r>
      <w:r>
        <w:rPr>
          <w:sz w:val="20"/>
        </w:rPr>
        <w:t>procedures</w:t>
      </w:r>
      <w:r>
        <w:rPr>
          <w:spacing w:val="-9"/>
          <w:sz w:val="20"/>
        </w:rPr>
        <w:t> </w:t>
      </w:r>
      <w:r>
        <w:rPr>
          <w:sz w:val="20"/>
        </w:rPr>
        <w:t>such</w:t>
      </w:r>
      <w:r>
        <w:rPr>
          <w:spacing w:val="-11"/>
          <w:sz w:val="20"/>
        </w:rPr>
        <w:t> </w:t>
      </w:r>
      <w:r>
        <w:rPr>
          <w:sz w:val="20"/>
        </w:rPr>
        <w:t>as</w:t>
      </w:r>
      <w:r>
        <w:rPr>
          <w:spacing w:val="-9"/>
          <w:sz w:val="20"/>
        </w:rPr>
        <w:t> </w:t>
      </w:r>
      <w:r>
        <w:rPr>
          <w:sz w:val="20"/>
        </w:rPr>
        <w:t>disciplinary</w:t>
      </w:r>
      <w:r>
        <w:rPr>
          <w:spacing w:val="-9"/>
          <w:sz w:val="20"/>
        </w:rPr>
        <w:t> </w:t>
      </w:r>
      <w:r>
        <w:rPr>
          <w:sz w:val="20"/>
        </w:rPr>
        <w:t>and</w:t>
      </w:r>
      <w:r>
        <w:rPr>
          <w:spacing w:val="-10"/>
          <w:sz w:val="20"/>
        </w:rPr>
        <w:t> </w:t>
      </w:r>
      <w:r>
        <w:rPr>
          <w:sz w:val="20"/>
        </w:rPr>
        <w:t>grievance procedures if available</w:t>
      </w:r>
    </w:p>
    <w:p>
      <w:pPr>
        <w:pStyle w:val="ListParagraph"/>
        <w:numPr>
          <w:ilvl w:val="0"/>
          <w:numId w:val="5"/>
        </w:numPr>
        <w:tabs>
          <w:tab w:pos="2057" w:val="left" w:leader="none"/>
          <w:tab w:pos="2058" w:val="left" w:leader="none"/>
        </w:tabs>
        <w:spacing w:line="240" w:lineRule="auto" w:before="0" w:after="0"/>
        <w:ind w:left="2057" w:right="1474" w:hanging="360"/>
        <w:jc w:val="left"/>
        <w:rPr>
          <w:rFonts w:ascii="Symbol" w:hAnsi="Symbol"/>
          <w:sz w:val="20"/>
        </w:rPr>
      </w:pPr>
      <w:r>
        <w:rPr>
          <w:sz w:val="20"/>
        </w:rPr>
        <w:t>explain the way tribunals set about making their decision and what things they take into account</w:t>
      </w:r>
    </w:p>
    <w:p>
      <w:pPr>
        <w:pStyle w:val="ListParagraph"/>
        <w:numPr>
          <w:ilvl w:val="0"/>
          <w:numId w:val="5"/>
        </w:numPr>
        <w:tabs>
          <w:tab w:pos="2057" w:val="left" w:leader="none"/>
          <w:tab w:pos="2058" w:val="left" w:leader="none"/>
        </w:tabs>
        <w:spacing w:line="243" w:lineRule="exact" w:before="0" w:after="0"/>
        <w:ind w:left="2057" w:right="0" w:hanging="361"/>
        <w:jc w:val="left"/>
        <w:rPr>
          <w:rFonts w:ascii="Symbol" w:hAnsi="Symbol"/>
          <w:sz w:val="20"/>
        </w:rPr>
      </w:pPr>
      <w:r>
        <w:rPr>
          <w:sz w:val="20"/>
        </w:rPr>
        <w:t>discuss</w:t>
      </w:r>
      <w:r>
        <w:rPr>
          <w:spacing w:val="-2"/>
          <w:sz w:val="20"/>
        </w:rPr>
        <w:t> </w:t>
      </w:r>
      <w:r>
        <w:rPr>
          <w:sz w:val="20"/>
        </w:rPr>
        <w:t>the</w:t>
      </w:r>
      <w:r>
        <w:rPr>
          <w:spacing w:val="-4"/>
          <w:sz w:val="20"/>
        </w:rPr>
        <w:t> </w:t>
      </w:r>
      <w:r>
        <w:rPr>
          <w:sz w:val="20"/>
        </w:rPr>
        <w:t>options</w:t>
      </w:r>
      <w:r>
        <w:rPr>
          <w:spacing w:val="-1"/>
          <w:sz w:val="20"/>
        </w:rPr>
        <w:t> </w:t>
      </w:r>
      <w:r>
        <w:rPr>
          <w:spacing w:val="-2"/>
          <w:sz w:val="20"/>
        </w:rPr>
        <w:t>available</w:t>
      </w:r>
    </w:p>
    <w:p>
      <w:pPr>
        <w:pStyle w:val="ListParagraph"/>
        <w:numPr>
          <w:ilvl w:val="0"/>
          <w:numId w:val="5"/>
        </w:numPr>
        <w:tabs>
          <w:tab w:pos="2057" w:val="left" w:leader="none"/>
          <w:tab w:pos="2058" w:val="left" w:leader="none"/>
        </w:tabs>
        <w:spacing w:line="243" w:lineRule="exact" w:before="0" w:after="0"/>
        <w:ind w:left="2057" w:right="0" w:hanging="361"/>
        <w:jc w:val="left"/>
        <w:rPr>
          <w:rFonts w:ascii="Symbol" w:hAnsi="Symbol"/>
          <w:sz w:val="20"/>
        </w:rPr>
      </w:pPr>
      <w:r>
        <w:rPr>
          <w:sz w:val="20"/>
        </w:rPr>
        <w:t>help</w:t>
      </w:r>
      <w:r>
        <w:rPr>
          <w:spacing w:val="-4"/>
          <w:sz w:val="20"/>
        </w:rPr>
        <w:t> </w:t>
      </w:r>
      <w:r>
        <w:rPr>
          <w:sz w:val="20"/>
        </w:rPr>
        <w:t>parties</w:t>
      </w:r>
      <w:r>
        <w:rPr>
          <w:spacing w:val="-2"/>
          <w:sz w:val="20"/>
        </w:rPr>
        <w:t> </w:t>
      </w:r>
      <w:r>
        <w:rPr>
          <w:sz w:val="20"/>
        </w:rPr>
        <w:t>to</w:t>
      </w:r>
      <w:r>
        <w:rPr>
          <w:spacing w:val="-4"/>
          <w:sz w:val="20"/>
        </w:rPr>
        <w:t> </w:t>
      </w:r>
      <w:r>
        <w:rPr>
          <w:sz w:val="20"/>
        </w:rPr>
        <w:t>understand</w:t>
      </w:r>
      <w:r>
        <w:rPr>
          <w:spacing w:val="-2"/>
          <w:sz w:val="20"/>
        </w:rPr>
        <w:t> </w:t>
      </w:r>
      <w:r>
        <w:rPr>
          <w:sz w:val="20"/>
        </w:rPr>
        <w:t>how</w:t>
      </w:r>
      <w:r>
        <w:rPr>
          <w:spacing w:val="-3"/>
          <w:sz w:val="20"/>
        </w:rPr>
        <w:t> </w:t>
      </w:r>
      <w:r>
        <w:rPr>
          <w:sz w:val="20"/>
        </w:rPr>
        <w:t>the</w:t>
      </w:r>
      <w:r>
        <w:rPr>
          <w:spacing w:val="-5"/>
          <w:sz w:val="20"/>
        </w:rPr>
        <w:t> </w:t>
      </w:r>
      <w:r>
        <w:rPr>
          <w:sz w:val="20"/>
        </w:rPr>
        <w:t>other</w:t>
      </w:r>
      <w:r>
        <w:rPr>
          <w:spacing w:val="-1"/>
          <w:sz w:val="20"/>
        </w:rPr>
        <w:t> </w:t>
      </w:r>
      <w:r>
        <w:rPr>
          <w:sz w:val="20"/>
        </w:rPr>
        <w:t>side</w:t>
      </w:r>
      <w:r>
        <w:rPr>
          <w:spacing w:val="-3"/>
          <w:sz w:val="20"/>
        </w:rPr>
        <w:t> </w:t>
      </w:r>
      <w:r>
        <w:rPr>
          <w:sz w:val="20"/>
        </w:rPr>
        <w:t>views</w:t>
      </w:r>
      <w:r>
        <w:rPr>
          <w:spacing w:val="-2"/>
          <w:sz w:val="20"/>
        </w:rPr>
        <w:t> </w:t>
      </w:r>
      <w:r>
        <w:rPr>
          <w:sz w:val="20"/>
        </w:rPr>
        <w:t>the</w:t>
      </w:r>
      <w:r>
        <w:rPr>
          <w:spacing w:val="-2"/>
          <w:sz w:val="20"/>
        </w:rPr>
        <w:t> issues</w:t>
      </w:r>
    </w:p>
    <w:p>
      <w:pPr>
        <w:pStyle w:val="ListParagraph"/>
        <w:numPr>
          <w:ilvl w:val="0"/>
          <w:numId w:val="5"/>
        </w:numPr>
        <w:tabs>
          <w:tab w:pos="2056" w:val="left" w:leader="none"/>
          <w:tab w:pos="2058" w:val="left" w:leader="none"/>
        </w:tabs>
        <w:spacing w:line="244" w:lineRule="exact" w:before="0" w:after="0"/>
        <w:ind w:left="2057" w:right="0" w:hanging="361"/>
        <w:jc w:val="left"/>
        <w:rPr>
          <w:rFonts w:ascii="Symbol" w:hAnsi="Symbol"/>
          <w:sz w:val="20"/>
        </w:rPr>
      </w:pPr>
      <w:r>
        <w:rPr>
          <w:sz w:val="20"/>
        </w:rPr>
        <w:t>discuss</w:t>
      </w:r>
      <w:r>
        <w:rPr>
          <w:spacing w:val="-3"/>
          <w:sz w:val="20"/>
        </w:rPr>
        <w:t> </w:t>
      </w:r>
      <w:r>
        <w:rPr>
          <w:sz w:val="20"/>
        </w:rPr>
        <w:t>any</w:t>
      </w:r>
      <w:r>
        <w:rPr>
          <w:spacing w:val="-3"/>
          <w:sz w:val="20"/>
        </w:rPr>
        <w:t> </w:t>
      </w:r>
      <w:r>
        <w:rPr>
          <w:sz w:val="20"/>
        </w:rPr>
        <w:t>proposals</w:t>
      </w:r>
      <w:r>
        <w:rPr>
          <w:spacing w:val="-3"/>
          <w:sz w:val="20"/>
        </w:rPr>
        <w:t> </w:t>
      </w:r>
      <w:r>
        <w:rPr>
          <w:sz w:val="20"/>
        </w:rPr>
        <w:t>either</w:t>
      </w:r>
      <w:r>
        <w:rPr>
          <w:spacing w:val="-3"/>
          <w:sz w:val="20"/>
        </w:rPr>
        <w:t> </w:t>
      </w:r>
      <w:r>
        <w:rPr>
          <w:sz w:val="20"/>
        </w:rPr>
        <w:t>party</w:t>
      </w:r>
      <w:r>
        <w:rPr>
          <w:spacing w:val="-3"/>
          <w:sz w:val="20"/>
        </w:rPr>
        <w:t> </w:t>
      </w:r>
      <w:r>
        <w:rPr>
          <w:sz w:val="20"/>
        </w:rPr>
        <w:t>has</w:t>
      </w:r>
      <w:r>
        <w:rPr>
          <w:spacing w:val="-3"/>
          <w:sz w:val="20"/>
        </w:rPr>
        <w:t> </w:t>
      </w:r>
      <w:r>
        <w:rPr>
          <w:sz w:val="20"/>
        </w:rPr>
        <w:t>for</w:t>
      </w:r>
      <w:r>
        <w:rPr>
          <w:spacing w:val="-4"/>
          <w:sz w:val="20"/>
        </w:rPr>
        <w:t> </w:t>
      </w:r>
      <w:r>
        <w:rPr>
          <w:sz w:val="20"/>
        </w:rPr>
        <w:t>a</w:t>
      </w:r>
      <w:r>
        <w:rPr>
          <w:spacing w:val="-2"/>
          <w:sz w:val="20"/>
        </w:rPr>
        <w:t> resolution.</w:t>
      </w:r>
    </w:p>
    <w:p>
      <w:pPr>
        <w:pStyle w:val="BodyText"/>
        <w:rPr>
          <w:sz w:val="24"/>
        </w:rPr>
      </w:pPr>
    </w:p>
    <w:p>
      <w:pPr>
        <w:pStyle w:val="Heading4"/>
        <w:spacing w:before="189"/>
        <w:ind w:left="1336"/>
        <w:jc w:val="left"/>
        <w:rPr>
          <w:i/>
        </w:rPr>
      </w:pPr>
      <w:r>
        <w:rPr>
          <w:i/>
          <w:spacing w:val="-2"/>
        </w:rPr>
        <w:t>Representation</w:t>
      </w:r>
    </w:p>
    <w:p>
      <w:pPr>
        <w:pStyle w:val="BodyText"/>
        <w:ind w:left="1336" w:right="1473"/>
        <w:jc w:val="both"/>
      </w:pPr>
      <w:r>
        <w:rPr/>
        <w:t>There</w:t>
      </w:r>
      <w:r>
        <w:rPr>
          <w:spacing w:val="-2"/>
        </w:rPr>
        <w:t> </w:t>
      </w:r>
      <w:r>
        <w:rPr/>
        <w:t>is</w:t>
      </w:r>
      <w:r>
        <w:rPr>
          <w:spacing w:val="-2"/>
        </w:rPr>
        <w:t> </w:t>
      </w:r>
      <w:r>
        <w:rPr/>
        <w:t>no</w:t>
      </w:r>
      <w:r>
        <w:rPr>
          <w:spacing w:val="-2"/>
        </w:rPr>
        <w:t> </w:t>
      </w:r>
      <w:r>
        <w:rPr/>
        <w:t>obligation</w:t>
      </w:r>
      <w:r>
        <w:rPr>
          <w:spacing w:val="-1"/>
        </w:rPr>
        <w:t> </w:t>
      </w:r>
      <w:r>
        <w:rPr/>
        <w:t>for</w:t>
      </w:r>
      <w:r>
        <w:rPr>
          <w:spacing w:val="-2"/>
        </w:rPr>
        <w:t> </w:t>
      </w:r>
      <w:r>
        <w:rPr/>
        <w:t>potential</w:t>
      </w:r>
      <w:r>
        <w:rPr>
          <w:spacing w:val="-1"/>
        </w:rPr>
        <w:t> </w:t>
      </w:r>
      <w:r>
        <w:rPr/>
        <w:t>claimants</w:t>
      </w:r>
      <w:r>
        <w:rPr>
          <w:spacing w:val="-2"/>
        </w:rPr>
        <w:t> </w:t>
      </w:r>
      <w:r>
        <w:rPr/>
        <w:t>to</w:t>
      </w:r>
      <w:r>
        <w:rPr>
          <w:spacing w:val="-2"/>
        </w:rPr>
        <w:t> </w:t>
      </w:r>
      <w:r>
        <w:rPr/>
        <w:t>have</w:t>
      </w:r>
      <w:r>
        <w:rPr>
          <w:spacing w:val="-2"/>
        </w:rPr>
        <w:t> </w:t>
      </w:r>
      <w:r>
        <w:rPr/>
        <w:t>a</w:t>
      </w:r>
      <w:r>
        <w:rPr>
          <w:spacing w:val="-2"/>
        </w:rPr>
        <w:t> </w:t>
      </w:r>
      <w:r>
        <w:rPr/>
        <w:t>representative</w:t>
      </w:r>
      <w:r>
        <w:rPr>
          <w:spacing w:val="-2"/>
        </w:rPr>
        <w:t> </w:t>
      </w:r>
      <w:r>
        <w:rPr/>
        <w:t>in</w:t>
      </w:r>
      <w:r>
        <w:rPr>
          <w:spacing w:val="-1"/>
        </w:rPr>
        <w:t> </w:t>
      </w:r>
      <w:r>
        <w:rPr/>
        <w:t>EC,</w:t>
      </w:r>
      <w:r>
        <w:rPr>
          <w:spacing w:val="-2"/>
        </w:rPr>
        <w:t> </w:t>
      </w:r>
      <w:r>
        <w:rPr/>
        <w:t>but</w:t>
      </w:r>
      <w:r>
        <w:rPr>
          <w:spacing w:val="-2"/>
        </w:rPr>
        <w:t> </w:t>
      </w:r>
      <w:r>
        <w:rPr/>
        <w:t>if they do appoint a representative to act for them Acas will conciliate through that representative and indeed the representative may agree a settlement on the claimant’s behalf. Respondents will similarly choose whether or not to appoint a representative. A representative can be appointed at any point in the case – from day one to midway or even towards the end of the case.</w:t>
      </w:r>
    </w:p>
    <w:p>
      <w:pPr>
        <w:pStyle w:val="BodyText"/>
        <w:spacing w:before="1"/>
      </w:pPr>
    </w:p>
    <w:p>
      <w:pPr>
        <w:pStyle w:val="Heading4"/>
        <w:spacing w:line="243" w:lineRule="exact"/>
        <w:ind w:left="1336"/>
        <w:jc w:val="left"/>
        <w:rPr>
          <w:i/>
        </w:rPr>
      </w:pPr>
      <w:r>
        <w:rPr>
          <w:i/>
          <w:spacing w:val="-2"/>
        </w:rPr>
        <w:t>Settlements</w:t>
      </w:r>
    </w:p>
    <w:p>
      <w:pPr>
        <w:pStyle w:val="BodyText"/>
        <w:ind w:left="1336" w:right="1473"/>
        <w:jc w:val="both"/>
      </w:pPr>
      <w:r>
        <w:rPr/>
        <w:t>If a settlement is agreed through EC, the conciliator will usually record what has been</w:t>
      </w:r>
      <w:r>
        <w:rPr>
          <w:spacing w:val="-3"/>
        </w:rPr>
        <w:t> </w:t>
      </w:r>
      <w:r>
        <w:rPr/>
        <w:t>agreed</w:t>
      </w:r>
      <w:r>
        <w:rPr>
          <w:spacing w:val="-3"/>
        </w:rPr>
        <w:t> </w:t>
      </w:r>
      <w:r>
        <w:rPr/>
        <w:t>on</w:t>
      </w:r>
      <w:r>
        <w:rPr>
          <w:spacing w:val="-4"/>
        </w:rPr>
        <w:t> </w:t>
      </w:r>
      <w:r>
        <w:rPr/>
        <w:t>an</w:t>
      </w:r>
      <w:r>
        <w:rPr>
          <w:spacing w:val="-4"/>
        </w:rPr>
        <w:t> </w:t>
      </w:r>
      <w:r>
        <w:rPr/>
        <w:t>Acas</w:t>
      </w:r>
      <w:r>
        <w:rPr>
          <w:spacing w:val="-3"/>
        </w:rPr>
        <w:t> </w:t>
      </w:r>
      <w:r>
        <w:rPr/>
        <w:t>form</w:t>
      </w:r>
      <w:r>
        <w:rPr>
          <w:spacing w:val="-5"/>
        </w:rPr>
        <w:t> </w:t>
      </w:r>
      <w:r>
        <w:rPr/>
        <w:t>(known</w:t>
      </w:r>
      <w:r>
        <w:rPr>
          <w:spacing w:val="-4"/>
        </w:rPr>
        <w:t> </w:t>
      </w:r>
      <w:r>
        <w:rPr/>
        <w:t>as</w:t>
      </w:r>
      <w:r>
        <w:rPr>
          <w:spacing w:val="-4"/>
        </w:rPr>
        <w:t> </w:t>
      </w:r>
      <w:r>
        <w:rPr/>
        <w:t>a</w:t>
      </w:r>
      <w:r>
        <w:rPr>
          <w:spacing w:val="-5"/>
        </w:rPr>
        <w:t> </w:t>
      </w:r>
      <w:r>
        <w:rPr/>
        <w:t>COT3)</w:t>
      </w:r>
      <w:r>
        <w:rPr>
          <w:spacing w:val="-4"/>
        </w:rPr>
        <w:t> </w:t>
      </w:r>
      <w:r>
        <w:rPr/>
        <w:t>which</w:t>
      </w:r>
      <w:r>
        <w:rPr>
          <w:spacing w:val="-4"/>
        </w:rPr>
        <w:t> </w:t>
      </w:r>
      <w:r>
        <w:rPr/>
        <w:t>both</w:t>
      </w:r>
      <w:r>
        <w:rPr>
          <w:spacing w:val="-4"/>
        </w:rPr>
        <w:t> </w:t>
      </w:r>
      <w:r>
        <w:rPr/>
        <w:t>parties</w:t>
      </w:r>
      <w:r>
        <w:rPr>
          <w:spacing w:val="-4"/>
        </w:rPr>
        <w:t> </w:t>
      </w:r>
      <w:r>
        <w:rPr/>
        <w:t>will</w:t>
      </w:r>
      <w:r>
        <w:rPr>
          <w:spacing w:val="-4"/>
        </w:rPr>
        <w:t> </w:t>
      </w:r>
      <w:r>
        <w:rPr/>
        <w:t>sign,</w:t>
      </w:r>
      <w:r>
        <w:rPr>
          <w:spacing w:val="-4"/>
        </w:rPr>
        <w:t> </w:t>
      </w:r>
      <w:r>
        <w:rPr/>
        <w:t>as</w:t>
      </w:r>
      <w:r>
        <w:rPr>
          <w:spacing w:val="-4"/>
        </w:rPr>
        <w:t> </w:t>
      </w:r>
      <w:r>
        <w:rPr/>
        <w:t>a formal record of the agreement.</w:t>
      </w:r>
    </w:p>
    <w:p>
      <w:pPr>
        <w:pStyle w:val="BodyText"/>
        <w:spacing w:before="1"/>
      </w:pPr>
    </w:p>
    <w:p>
      <w:pPr>
        <w:pStyle w:val="BodyText"/>
        <w:ind w:left="1336" w:right="1475"/>
        <w:jc w:val="both"/>
      </w:pPr>
      <w:r>
        <w:rPr/>
        <w:t>The COT3 is a legally binding contract that means the claimant will not be able to make a tribunal claim in that matter. Conversely, if the parties cannot settle their differences</w:t>
      </w:r>
      <w:r>
        <w:rPr>
          <w:spacing w:val="-18"/>
        </w:rPr>
        <w:t> </w:t>
      </w:r>
      <w:r>
        <w:rPr/>
        <w:t>the</w:t>
      </w:r>
      <w:r>
        <w:rPr>
          <w:spacing w:val="-18"/>
        </w:rPr>
        <w:t> </w:t>
      </w:r>
      <w:r>
        <w:rPr/>
        <w:t>conciliator</w:t>
      </w:r>
      <w:r>
        <w:rPr>
          <w:spacing w:val="-17"/>
        </w:rPr>
        <w:t> </w:t>
      </w:r>
      <w:r>
        <w:rPr/>
        <w:t>will</w:t>
      </w:r>
      <w:r>
        <w:rPr>
          <w:spacing w:val="-18"/>
        </w:rPr>
        <w:t> </w:t>
      </w:r>
      <w:r>
        <w:rPr/>
        <w:t>bring</w:t>
      </w:r>
      <w:r>
        <w:rPr>
          <w:spacing w:val="-17"/>
        </w:rPr>
        <w:t> </w:t>
      </w:r>
      <w:r>
        <w:rPr/>
        <w:t>EC</w:t>
      </w:r>
      <w:r>
        <w:rPr>
          <w:spacing w:val="-18"/>
        </w:rPr>
        <w:t> </w:t>
      </w:r>
      <w:r>
        <w:rPr/>
        <w:t>to</w:t>
      </w:r>
      <w:r>
        <w:rPr>
          <w:spacing w:val="-18"/>
        </w:rPr>
        <w:t> </w:t>
      </w:r>
      <w:r>
        <w:rPr/>
        <w:t>an</w:t>
      </w:r>
      <w:r>
        <w:rPr>
          <w:spacing w:val="-17"/>
        </w:rPr>
        <w:t> </w:t>
      </w:r>
      <w:r>
        <w:rPr/>
        <w:t>end</w:t>
      </w:r>
      <w:r>
        <w:rPr>
          <w:spacing w:val="-18"/>
        </w:rPr>
        <w:t> </w:t>
      </w:r>
      <w:r>
        <w:rPr/>
        <w:t>and</w:t>
      </w:r>
      <w:r>
        <w:rPr>
          <w:spacing w:val="-17"/>
        </w:rPr>
        <w:t> </w:t>
      </w:r>
      <w:r>
        <w:rPr/>
        <w:t>a</w:t>
      </w:r>
      <w:r>
        <w:rPr>
          <w:spacing w:val="-18"/>
        </w:rPr>
        <w:t> </w:t>
      </w:r>
      <w:r>
        <w:rPr/>
        <w:t>formal</w:t>
      </w:r>
      <w:r>
        <w:rPr>
          <w:spacing w:val="-17"/>
        </w:rPr>
        <w:t> </w:t>
      </w:r>
      <w:r>
        <w:rPr/>
        <w:t>Certificate</w:t>
      </w:r>
      <w:r>
        <w:rPr>
          <w:spacing w:val="-18"/>
        </w:rPr>
        <w:t> </w:t>
      </w:r>
      <w:r>
        <w:rPr/>
        <w:t>confirming that</w:t>
      </w:r>
      <w:r>
        <w:rPr>
          <w:spacing w:val="-10"/>
        </w:rPr>
        <w:t> </w:t>
      </w:r>
      <w:r>
        <w:rPr/>
        <w:t>an</w:t>
      </w:r>
      <w:r>
        <w:rPr>
          <w:spacing w:val="-11"/>
        </w:rPr>
        <w:t> </w:t>
      </w:r>
      <w:r>
        <w:rPr/>
        <w:t>EC</w:t>
      </w:r>
      <w:r>
        <w:rPr>
          <w:spacing w:val="-11"/>
        </w:rPr>
        <w:t> </w:t>
      </w:r>
      <w:r>
        <w:rPr/>
        <w:t>notification</w:t>
      </w:r>
      <w:r>
        <w:rPr>
          <w:spacing w:val="-10"/>
        </w:rPr>
        <w:t> </w:t>
      </w:r>
      <w:r>
        <w:rPr/>
        <w:t>has</w:t>
      </w:r>
      <w:r>
        <w:rPr>
          <w:spacing w:val="-10"/>
        </w:rPr>
        <w:t> </w:t>
      </w:r>
      <w:r>
        <w:rPr/>
        <w:t>been</w:t>
      </w:r>
      <w:r>
        <w:rPr>
          <w:spacing w:val="-10"/>
        </w:rPr>
        <w:t> </w:t>
      </w:r>
      <w:r>
        <w:rPr/>
        <w:t>made</w:t>
      </w:r>
      <w:r>
        <w:rPr>
          <w:spacing w:val="-11"/>
        </w:rPr>
        <w:t> </w:t>
      </w:r>
      <w:r>
        <w:rPr/>
        <w:t>will</w:t>
      </w:r>
      <w:r>
        <w:rPr>
          <w:spacing w:val="-11"/>
        </w:rPr>
        <w:t> </w:t>
      </w:r>
      <w:r>
        <w:rPr/>
        <w:t>be</w:t>
      </w:r>
      <w:r>
        <w:rPr>
          <w:spacing w:val="-11"/>
        </w:rPr>
        <w:t> </w:t>
      </w:r>
      <w:r>
        <w:rPr/>
        <w:t>issued,</w:t>
      </w:r>
      <w:r>
        <w:rPr>
          <w:spacing w:val="-10"/>
        </w:rPr>
        <w:t> </w:t>
      </w:r>
      <w:r>
        <w:rPr/>
        <w:t>after</w:t>
      </w:r>
      <w:r>
        <w:rPr>
          <w:spacing w:val="-12"/>
        </w:rPr>
        <w:t> </w:t>
      </w:r>
      <w:r>
        <w:rPr/>
        <w:t>which</w:t>
      </w:r>
      <w:r>
        <w:rPr>
          <w:spacing w:val="-11"/>
        </w:rPr>
        <w:t> </w:t>
      </w:r>
      <w:r>
        <w:rPr/>
        <w:t>point</w:t>
      </w:r>
      <w:r>
        <w:rPr>
          <w:spacing w:val="-11"/>
        </w:rPr>
        <w:t> </w:t>
      </w:r>
      <w:r>
        <w:rPr/>
        <w:t>the</w:t>
      </w:r>
      <w:r>
        <w:rPr>
          <w:spacing w:val="-11"/>
        </w:rPr>
        <w:t> </w:t>
      </w:r>
      <w:r>
        <w:rPr/>
        <w:t>claimant is free to make a claim to an ET.</w:t>
      </w:r>
    </w:p>
    <w:p>
      <w:pPr>
        <w:pStyle w:val="BodyText"/>
      </w:pPr>
    </w:p>
    <w:p>
      <w:pPr>
        <w:pStyle w:val="Heading4"/>
        <w:spacing w:line="243" w:lineRule="exact"/>
        <w:ind w:left="1336"/>
        <w:jc w:val="left"/>
        <w:rPr>
          <w:i/>
        </w:rPr>
      </w:pPr>
      <w:r>
        <w:rPr>
          <w:i/>
          <w:spacing w:val="-2"/>
        </w:rPr>
        <w:t>Timings</w:t>
      </w:r>
    </w:p>
    <w:p>
      <w:pPr>
        <w:pStyle w:val="BodyText"/>
        <w:ind w:left="1336" w:right="1474"/>
        <w:jc w:val="both"/>
      </w:pPr>
      <w:r>
        <w:rPr/>
        <w:t>There</w:t>
      </w:r>
      <w:r>
        <w:rPr>
          <w:spacing w:val="-11"/>
        </w:rPr>
        <w:t> </w:t>
      </w:r>
      <w:r>
        <w:rPr/>
        <w:t>is</w:t>
      </w:r>
      <w:r>
        <w:rPr>
          <w:spacing w:val="-10"/>
        </w:rPr>
        <w:t> </w:t>
      </w:r>
      <w:r>
        <w:rPr/>
        <w:t>a</w:t>
      </w:r>
      <w:r>
        <w:rPr>
          <w:spacing w:val="-12"/>
        </w:rPr>
        <w:t> </w:t>
      </w:r>
      <w:r>
        <w:rPr/>
        <w:t>time</w:t>
      </w:r>
      <w:r>
        <w:rPr>
          <w:spacing w:val="-11"/>
        </w:rPr>
        <w:t> </w:t>
      </w:r>
      <w:r>
        <w:rPr/>
        <w:t>limit</w:t>
      </w:r>
      <w:r>
        <w:rPr>
          <w:spacing w:val="-10"/>
        </w:rPr>
        <w:t> </w:t>
      </w:r>
      <w:r>
        <w:rPr/>
        <w:t>for</w:t>
      </w:r>
      <w:r>
        <w:rPr>
          <w:spacing w:val="-12"/>
        </w:rPr>
        <w:t> </w:t>
      </w:r>
      <w:r>
        <w:rPr/>
        <w:t>an</w:t>
      </w:r>
      <w:r>
        <w:rPr>
          <w:spacing w:val="-10"/>
        </w:rPr>
        <w:t> </w:t>
      </w:r>
      <w:r>
        <w:rPr/>
        <w:t>employee</w:t>
      </w:r>
      <w:r>
        <w:rPr>
          <w:spacing w:val="-11"/>
        </w:rPr>
        <w:t> </w:t>
      </w:r>
      <w:r>
        <w:rPr/>
        <w:t>to</w:t>
      </w:r>
      <w:r>
        <w:rPr>
          <w:spacing w:val="-11"/>
        </w:rPr>
        <w:t> </w:t>
      </w:r>
      <w:r>
        <w:rPr/>
        <w:t>bring</w:t>
      </w:r>
      <w:r>
        <w:rPr>
          <w:spacing w:val="-12"/>
        </w:rPr>
        <w:t> </w:t>
      </w:r>
      <w:r>
        <w:rPr/>
        <w:t>an</w:t>
      </w:r>
      <w:r>
        <w:rPr>
          <w:spacing w:val="-11"/>
        </w:rPr>
        <w:t> </w:t>
      </w:r>
      <w:r>
        <w:rPr/>
        <w:t>ET</w:t>
      </w:r>
      <w:r>
        <w:rPr>
          <w:spacing w:val="-12"/>
        </w:rPr>
        <w:t> </w:t>
      </w:r>
      <w:r>
        <w:rPr/>
        <w:t>claim</w:t>
      </w:r>
      <w:r>
        <w:rPr>
          <w:spacing w:val="-11"/>
        </w:rPr>
        <w:t> </w:t>
      </w:r>
      <w:r>
        <w:rPr/>
        <w:t>following</w:t>
      </w:r>
      <w:r>
        <w:rPr>
          <w:spacing w:val="-10"/>
        </w:rPr>
        <w:t> </w:t>
      </w:r>
      <w:r>
        <w:rPr/>
        <w:t>the</w:t>
      </w:r>
      <w:r>
        <w:rPr>
          <w:spacing w:val="-12"/>
        </w:rPr>
        <w:t> </w:t>
      </w:r>
      <w:r>
        <w:rPr/>
        <w:t>event</w:t>
      </w:r>
      <w:r>
        <w:rPr>
          <w:spacing w:val="-11"/>
        </w:rPr>
        <w:t> </w:t>
      </w:r>
      <w:r>
        <w:rPr/>
        <w:t>about which</w:t>
      </w:r>
      <w:r>
        <w:rPr>
          <w:spacing w:val="-1"/>
        </w:rPr>
        <w:t> </w:t>
      </w:r>
      <w:r>
        <w:rPr/>
        <w:t>they</w:t>
      </w:r>
      <w:r>
        <w:rPr>
          <w:spacing w:val="-3"/>
        </w:rPr>
        <w:t> </w:t>
      </w:r>
      <w:r>
        <w:rPr/>
        <w:t>are</w:t>
      </w:r>
      <w:r>
        <w:rPr>
          <w:spacing w:val="-1"/>
        </w:rPr>
        <w:t> </w:t>
      </w:r>
      <w:r>
        <w:rPr/>
        <w:t>claiming –</w:t>
      </w:r>
      <w:r>
        <w:rPr>
          <w:spacing w:val="-2"/>
        </w:rPr>
        <w:t> </w:t>
      </w:r>
      <w:r>
        <w:rPr/>
        <w:t>typically three</w:t>
      </w:r>
      <w:r>
        <w:rPr>
          <w:spacing w:val="-1"/>
        </w:rPr>
        <w:t> </w:t>
      </w:r>
      <w:r>
        <w:rPr/>
        <w:t>or</w:t>
      </w:r>
      <w:r>
        <w:rPr>
          <w:spacing w:val="-1"/>
        </w:rPr>
        <w:t> </w:t>
      </w:r>
      <w:r>
        <w:rPr/>
        <w:t>six calendar</w:t>
      </w:r>
      <w:r>
        <w:rPr>
          <w:spacing w:val="-2"/>
        </w:rPr>
        <w:t> </w:t>
      </w:r>
      <w:r>
        <w:rPr/>
        <w:t>months</w:t>
      </w:r>
      <w:r>
        <w:rPr>
          <w:spacing w:val="-2"/>
        </w:rPr>
        <w:t> </w:t>
      </w:r>
      <w:r>
        <w:rPr/>
        <w:t>depending</w:t>
      </w:r>
      <w:r>
        <w:rPr>
          <w:spacing w:val="-1"/>
        </w:rPr>
        <w:t> </w:t>
      </w:r>
      <w:r>
        <w:rPr/>
        <w:t>on</w:t>
      </w:r>
      <w:r>
        <w:rPr>
          <w:spacing w:val="-3"/>
        </w:rPr>
        <w:t> </w:t>
      </w:r>
      <w:r>
        <w:rPr/>
        <w:t>the jurisdiction of the claim; this is called the ‘limitation period’. The claimant must notify</w:t>
      </w:r>
      <w:r>
        <w:rPr>
          <w:spacing w:val="-2"/>
        </w:rPr>
        <w:t> </w:t>
      </w:r>
      <w:r>
        <w:rPr/>
        <w:t>Acas</w:t>
      </w:r>
      <w:r>
        <w:rPr>
          <w:spacing w:val="-3"/>
        </w:rPr>
        <w:t> </w:t>
      </w:r>
      <w:r>
        <w:rPr/>
        <w:t>within</w:t>
      </w:r>
      <w:r>
        <w:rPr>
          <w:spacing w:val="-2"/>
        </w:rPr>
        <w:t> </w:t>
      </w:r>
      <w:r>
        <w:rPr/>
        <w:t>this</w:t>
      </w:r>
      <w:r>
        <w:rPr>
          <w:spacing w:val="-3"/>
        </w:rPr>
        <w:t> </w:t>
      </w:r>
      <w:r>
        <w:rPr/>
        <w:t>period</w:t>
      </w:r>
      <w:r>
        <w:rPr>
          <w:spacing w:val="-2"/>
        </w:rPr>
        <w:t> </w:t>
      </w:r>
      <w:r>
        <w:rPr/>
        <w:t>and</w:t>
      </w:r>
      <w:r>
        <w:rPr>
          <w:spacing w:val="-2"/>
        </w:rPr>
        <w:t> </w:t>
      </w:r>
      <w:r>
        <w:rPr/>
        <w:t>can</w:t>
      </w:r>
      <w:r>
        <w:rPr>
          <w:spacing w:val="-2"/>
        </w:rPr>
        <w:t> </w:t>
      </w:r>
      <w:r>
        <w:rPr/>
        <w:t>then</w:t>
      </w:r>
      <w:r>
        <w:rPr>
          <w:spacing w:val="-2"/>
        </w:rPr>
        <w:t> </w:t>
      </w:r>
      <w:r>
        <w:rPr/>
        <w:t>use</w:t>
      </w:r>
      <w:r>
        <w:rPr>
          <w:spacing w:val="-3"/>
        </w:rPr>
        <w:t> </w:t>
      </w:r>
      <w:r>
        <w:rPr/>
        <w:t>EC</w:t>
      </w:r>
      <w:r>
        <w:rPr>
          <w:spacing w:val="-3"/>
        </w:rPr>
        <w:t> </w:t>
      </w:r>
      <w:r>
        <w:rPr/>
        <w:t>for</w:t>
      </w:r>
      <w:r>
        <w:rPr>
          <w:spacing w:val="-2"/>
        </w:rPr>
        <w:t> </w:t>
      </w:r>
      <w:r>
        <w:rPr/>
        <w:t>a</w:t>
      </w:r>
      <w:r>
        <w:rPr>
          <w:spacing w:val="-2"/>
        </w:rPr>
        <w:t> </w:t>
      </w:r>
      <w:r>
        <w:rPr/>
        <w:t>period</w:t>
      </w:r>
      <w:r>
        <w:rPr>
          <w:spacing w:val="-2"/>
        </w:rPr>
        <w:t> </w:t>
      </w:r>
      <w:r>
        <w:rPr/>
        <w:t>of</w:t>
      </w:r>
      <w:r>
        <w:rPr>
          <w:spacing w:val="-2"/>
        </w:rPr>
        <w:t> </w:t>
      </w:r>
      <w:r>
        <w:rPr/>
        <w:t>up</w:t>
      </w:r>
      <w:r>
        <w:rPr>
          <w:spacing w:val="-2"/>
        </w:rPr>
        <w:t> </w:t>
      </w:r>
      <w:r>
        <w:rPr/>
        <w:t>to</w:t>
      </w:r>
      <w:r>
        <w:rPr>
          <w:spacing w:val="-2"/>
        </w:rPr>
        <w:t> </w:t>
      </w:r>
      <w:r>
        <w:rPr/>
        <w:t>one</w:t>
      </w:r>
      <w:r>
        <w:rPr>
          <w:spacing w:val="-3"/>
        </w:rPr>
        <w:t> </w:t>
      </w:r>
      <w:r>
        <w:rPr/>
        <w:t>month (with</w:t>
      </w:r>
      <w:r>
        <w:rPr>
          <w:spacing w:val="-7"/>
        </w:rPr>
        <w:t> </w:t>
      </w:r>
      <w:r>
        <w:rPr/>
        <w:t>the</w:t>
      </w:r>
      <w:r>
        <w:rPr>
          <w:spacing w:val="-7"/>
        </w:rPr>
        <w:t> </w:t>
      </w:r>
      <w:r>
        <w:rPr/>
        <w:t>possibility</w:t>
      </w:r>
      <w:r>
        <w:rPr>
          <w:spacing w:val="-6"/>
        </w:rPr>
        <w:t> </w:t>
      </w:r>
      <w:r>
        <w:rPr/>
        <w:t>of</w:t>
      </w:r>
      <w:r>
        <w:rPr>
          <w:spacing w:val="-6"/>
        </w:rPr>
        <w:t> </w:t>
      </w:r>
      <w:r>
        <w:rPr/>
        <w:t>a</w:t>
      </w:r>
      <w:r>
        <w:rPr>
          <w:spacing w:val="-7"/>
        </w:rPr>
        <w:t> </w:t>
      </w:r>
      <w:r>
        <w:rPr/>
        <w:t>further</w:t>
      </w:r>
      <w:r>
        <w:rPr>
          <w:spacing w:val="-7"/>
        </w:rPr>
        <w:t> </w:t>
      </w:r>
      <w:r>
        <w:rPr/>
        <w:t>two</w:t>
      </w:r>
      <w:r>
        <w:rPr>
          <w:spacing w:val="-7"/>
        </w:rPr>
        <w:t> </w:t>
      </w:r>
      <w:r>
        <w:rPr/>
        <w:t>weeks</w:t>
      </w:r>
      <w:r>
        <w:rPr>
          <w:spacing w:val="-7"/>
        </w:rPr>
        <w:t> </w:t>
      </w:r>
      <w:r>
        <w:rPr/>
        <w:t>in</w:t>
      </w:r>
      <w:r>
        <w:rPr>
          <w:spacing w:val="-7"/>
        </w:rPr>
        <w:t> </w:t>
      </w:r>
      <w:r>
        <w:rPr/>
        <w:t>certain</w:t>
      </w:r>
      <w:r>
        <w:rPr>
          <w:spacing w:val="-6"/>
        </w:rPr>
        <w:t> </w:t>
      </w:r>
      <w:r>
        <w:rPr/>
        <w:t>circumstances).</w:t>
      </w:r>
      <w:r>
        <w:rPr>
          <w:spacing w:val="-7"/>
        </w:rPr>
        <w:t> </w:t>
      </w:r>
      <w:r>
        <w:rPr/>
        <w:t>If</w:t>
      </w:r>
      <w:r>
        <w:rPr>
          <w:spacing w:val="-6"/>
        </w:rPr>
        <w:t> </w:t>
      </w:r>
      <w:r>
        <w:rPr/>
        <w:t>the</w:t>
      </w:r>
      <w:r>
        <w:rPr>
          <w:spacing w:val="-7"/>
        </w:rPr>
        <w:t> </w:t>
      </w:r>
      <w:r>
        <w:rPr/>
        <w:t>matter is still not resolved at the end of EC, the conciliator will issue a Certificate and the claimant</w:t>
      </w:r>
      <w:r>
        <w:rPr>
          <w:spacing w:val="-11"/>
        </w:rPr>
        <w:t> </w:t>
      </w:r>
      <w:r>
        <w:rPr/>
        <w:t>will</w:t>
      </w:r>
      <w:r>
        <w:rPr>
          <w:spacing w:val="-13"/>
        </w:rPr>
        <w:t> </w:t>
      </w:r>
      <w:r>
        <w:rPr/>
        <w:t>be</w:t>
      </w:r>
      <w:r>
        <w:rPr>
          <w:spacing w:val="-12"/>
        </w:rPr>
        <w:t> </w:t>
      </w:r>
      <w:r>
        <w:rPr/>
        <w:t>free</w:t>
      </w:r>
      <w:r>
        <w:rPr>
          <w:spacing w:val="-12"/>
        </w:rPr>
        <w:t> </w:t>
      </w:r>
      <w:r>
        <w:rPr/>
        <w:t>to</w:t>
      </w:r>
      <w:r>
        <w:rPr>
          <w:spacing w:val="-11"/>
        </w:rPr>
        <w:t> </w:t>
      </w:r>
      <w:r>
        <w:rPr/>
        <w:t>make</w:t>
      </w:r>
      <w:r>
        <w:rPr>
          <w:spacing w:val="-12"/>
        </w:rPr>
        <w:t> </w:t>
      </w:r>
      <w:r>
        <w:rPr/>
        <w:t>a</w:t>
      </w:r>
      <w:r>
        <w:rPr>
          <w:spacing w:val="-12"/>
        </w:rPr>
        <w:t> </w:t>
      </w:r>
      <w:r>
        <w:rPr/>
        <w:t>tribunal</w:t>
      </w:r>
      <w:r>
        <w:rPr>
          <w:spacing w:val="-12"/>
        </w:rPr>
        <w:t> </w:t>
      </w:r>
      <w:r>
        <w:rPr/>
        <w:t>claim.</w:t>
      </w:r>
      <w:r>
        <w:rPr>
          <w:spacing w:val="-10"/>
        </w:rPr>
        <w:t> </w:t>
      </w:r>
      <w:r>
        <w:rPr/>
        <w:t>Once</w:t>
      </w:r>
      <w:r>
        <w:rPr>
          <w:spacing w:val="-12"/>
        </w:rPr>
        <w:t> </w:t>
      </w:r>
      <w:r>
        <w:rPr/>
        <w:t>EC</w:t>
      </w:r>
      <w:r>
        <w:rPr>
          <w:spacing w:val="-12"/>
        </w:rPr>
        <w:t> </w:t>
      </w:r>
      <w:r>
        <w:rPr/>
        <w:t>has</w:t>
      </w:r>
      <w:r>
        <w:rPr>
          <w:spacing w:val="-12"/>
        </w:rPr>
        <w:t> </w:t>
      </w:r>
      <w:r>
        <w:rPr/>
        <w:t>ended,</w:t>
      </w:r>
      <w:r>
        <w:rPr>
          <w:spacing w:val="-11"/>
        </w:rPr>
        <w:t> </w:t>
      </w:r>
      <w:r>
        <w:rPr/>
        <w:t>all</w:t>
      </w:r>
      <w:r>
        <w:rPr>
          <w:spacing w:val="-11"/>
        </w:rPr>
        <w:t> </w:t>
      </w:r>
      <w:r>
        <w:rPr/>
        <w:t>claimants</w:t>
      </w:r>
      <w:r>
        <w:rPr>
          <w:spacing w:val="-12"/>
        </w:rPr>
        <w:t> </w:t>
      </w:r>
      <w:r>
        <w:rPr/>
        <w:t>will always have up to four weeks in which to present their claim.</w:t>
      </w:r>
    </w:p>
    <w:p>
      <w:pPr>
        <w:spacing w:after="0"/>
        <w:jc w:val="both"/>
        <w:sectPr>
          <w:pgSz w:w="11910" w:h="16840"/>
          <w:pgMar w:header="0" w:footer="996" w:top="1580" w:bottom="1180" w:left="460" w:right="320"/>
        </w:sectPr>
      </w:pPr>
    </w:p>
    <w:p>
      <w:pPr>
        <w:pStyle w:val="Heading4"/>
        <w:spacing w:line="243" w:lineRule="exact" w:before="82"/>
        <w:jc w:val="left"/>
        <w:rPr>
          <w:i/>
        </w:rPr>
      </w:pPr>
      <w:r>
        <w:rPr>
          <w:i/>
        </w:rPr>
        <w:t>The</w:t>
      </w:r>
      <w:r>
        <w:rPr>
          <w:i/>
          <w:spacing w:val="-2"/>
        </w:rPr>
        <w:t> </w:t>
      </w:r>
      <w:r>
        <w:rPr>
          <w:i/>
        </w:rPr>
        <w:t>ET1</w:t>
      </w:r>
      <w:r>
        <w:rPr>
          <w:i/>
          <w:spacing w:val="-2"/>
        </w:rPr>
        <w:t> </w:t>
      </w:r>
      <w:r>
        <w:rPr>
          <w:i/>
          <w:spacing w:val="-4"/>
        </w:rPr>
        <w:t>form</w:t>
      </w:r>
    </w:p>
    <w:p>
      <w:pPr>
        <w:pStyle w:val="BodyText"/>
        <w:ind w:left="1337" w:right="1472"/>
      </w:pPr>
      <w:r>
        <w:rPr/>
        <w:t>Employment</w:t>
      </w:r>
      <w:r>
        <w:rPr>
          <w:spacing w:val="-1"/>
        </w:rPr>
        <w:t> </w:t>
      </w:r>
      <w:r>
        <w:rPr/>
        <w:t>Tribunal</w:t>
      </w:r>
      <w:r>
        <w:rPr>
          <w:spacing w:val="-2"/>
        </w:rPr>
        <w:t> </w:t>
      </w:r>
      <w:r>
        <w:rPr/>
        <w:t>proceedings</w:t>
      </w:r>
      <w:r>
        <w:rPr>
          <w:spacing w:val="-1"/>
        </w:rPr>
        <w:t> </w:t>
      </w:r>
      <w:r>
        <w:rPr/>
        <w:t>are</w:t>
      </w:r>
      <w:r>
        <w:rPr>
          <w:spacing w:val="-2"/>
        </w:rPr>
        <w:t> </w:t>
      </w:r>
      <w:r>
        <w:rPr/>
        <w:t>begun</w:t>
      </w:r>
      <w:r>
        <w:rPr>
          <w:spacing w:val="-2"/>
        </w:rPr>
        <w:t> </w:t>
      </w:r>
      <w:r>
        <w:rPr/>
        <w:t>when</w:t>
      </w:r>
      <w:r>
        <w:rPr>
          <w:spacing w:val="-2"/>
        </w:rPr>
        <w:t> </w:t>
      </w:r>
      <w:r>
        <w:rPr/>
        <w:t>a</w:t>
      </w:r>
      <w:r>
        <w:rPr>
          <w:spacing w:val="-1"/>
        </w:rPr>
        <w:t> </w:t>
      </w:r>
      <w:r>
        <w:rPr/>
        <w:t>claimant</w:t>
      </w:r>
      <w:r>
        <w:rPr>
          <w:spacing w:val="-1"/>
        </w:rPr>
        <w:t> </w:t>
      </w:r>
      <w:r>
        <w:rPr/>
        <w:t>submits</w:t>
      </w:r>
      <w:r>
        <w:rPr>
          <w:spacing w:val="-1"/>
        </w:rPr>
        <w:t> </w:t>
      </w:r>
      <w:r>
        <w:rPr/>
        <w:t>an</w:t>
      </w:r>
      <w:r>
        <w:rPr>
          <w:spacing w:val="-2"/>
        </w:rPr>
        <w:t> </w:t>
      </w:r>
      <w:r>
        <w:rPr/>
        <w:t>‘ET1’ form against their employer to the Employment Tribunal. After the form is submitted and copied to Acas, an Acas conciliator contacts the parties to offer them</w:t>
      </w:r>
      <w:r>
        <w:rPr>
          <w:spacing w:val="-4"/>
        </w:rPr>
        <w:t> </w:t>
      </w:r>
      <w:r>
        <w:rPr/>
        <w:t>the</w:t>
      </w:r>
      <w:r>
        <w:rPr>
          <w:spacing w:val="-4"/>
        </w:rPr>
        <w:t> </w:t>
      </w:r>
      <w:r>
        <w:rPr/>
        <w:t>opportunity</w:t>
      </w:r>
      <w:r>
        <w:rPr>
          <w:spacing w:val="-4"/>
        </w:rPr>
        <w:t> </w:t>
      </w:r>
      <w:r>
        <w:rPr/>
        <w:t>to</w:t>
      </w:r>
      <w:r>
        <w:rPr>
          <w:spacing w:val="-3"/>
        </w:rPr>
        <w:t> </w:t>
      </w:r>
      <w:r>
        <w:rPr/>
        <w:t>resolve</w:t>
      </w:r>
      <w:r>
        <w:rPr>
          <w:spacing w:val="-4"/>
        </w:rPr>
        <w:t> </w:t>
      </w:r>
      <w:r>
        <w:rPr/>
        <w:t>their</w:t>
      </w:r>
      <w:r>
        <w:rPr>
          <w:spacing w:val="-3"/>
        </w:rPr>
        <w:t> </w:t>
      </w:r>
      <w:r>
        <w:rPr/>
        <w:t>dispute</w:t>
      </w:r>
      <w:r>
        <w:rPr>
          <w:spacing w:val="-4"/>
        </w:rPr>
        <w:t> </w:t>
      </w:r>
      <w:r>
        <w:rPr/>
        <w:t>through</w:t>
      </w:r>
      <w:r>
        <w:rPr>
          <w:spacing w:val="-4"/>
        </w:rPr>
        <w:t> </w:t>
      </w:r>
      <w:r>
        <w:rPr/>
        <w:t>conciliation,</w:t>
      </w:r>
      <w:r>
        <w:rPr>
          <w:spacing w:val="-3"/>
        </w:rPr>
        <w:t> </w:t>
      </w:r>
      <w:r>
        <w:rPr/>
        <w:t>avoiding</w:t>
      </w:r>
      <w:r>
        <w:rPr>
          <w:spacing w:val="-3"/>
        </w:rPr>
        <w:t> </w:t>
      </w:r>
      <w:r>
        <w:rPr/>
        <w:t>the need to go to a full tribunal.</w:t>
      </w:r>
    </w:p>
    <w:p>
      <w:pPr>
        <w:pStyle w:val="BodyText"/>
        <w:spacing w:before="12"/>
        <w:rPr>
          <w:sz w:val="19"/>
        </w:rPr>
      </w:pPr>
    </w:p>
    <w:p>
      <w:pPr>
        <w:pStyle w:val="Heading4"/>
        <w:jc w:val="left"/>
        <w:rPr>
          <w:i/>
        </w:rPr>
      </w:pPr>
      <w:r>
        <w:rPr>
          <w:i/>
        </w:rPr>
        <w:t>The</w:t>
      </w:r>
      <w:r>
        <w:rPr>
          <w:i/>
          <w:spacing w:val="-2"/>
        </w:rPr>
        <w:t> </w:t>
      </w:r>
      <w:r>
        <w:rPr>
          <w:i/>
        </w:rPr>
        <w:t>role</w:t>
      </w:r>
      <w:r>
        <w:rPr>
          <w:i/>
          <w:spacing w:val="-2"/>
        </w:rPr>
        <w:t> </w:t>
      </w:r>
      <w:r>
        <w:rPr>
          <w:i/>
        </w:rPr>
        <w:t>of</w:t>
      </w:r>
      <w:r>
        <w:rPr>
          <w:i/>
          <w:spacing w:val="-2"/>
        </w:rPr>
        <w:t> conciliator</w:t>
      </w:r>
    </w:p>
    <w:p>
      <w:pPr>
        <w:pStyle w:val="BodyText"/>
        <w:ind w:left="1337" w:right="1472"/>
      </w:pPr>
      <w:r>
        <w:rPr/>
        <w:t>The post-ET1 conciliation service is the same as that provided at the earlier EC stage:</w:t>
      </w:r>
      <w:r>
        <w:rPr>
          <w:spacing w:val="-2"/>
        </w:rPr>
        <w:t> </w:t>
      </w:r>
      <w:r>
        <w:rPr/>
        <w:t>an</w:t>
      </w:r>
      <w:r>
        <w:rPr>
          <w:spacing w:val="-3"/>
        </w:rPr>
        <w:t> </w:t>
      </w:r>
      <w:r>
        <w:rPr/>
        <w:t>Acas</w:t>
      </w:r>
      <w:r>
        <w:rPr>
          <w:spacing w:val="-2"/>
        </w:rPr>
        <w:t> </w:t>
      </w:r>
      <w:r>
        <w:rPr/>
        <w:t>conciliator</w:t>
      </w:r>
      <w:r>
        <w:rPr>
          <w:spacing w:val="-2"/>
        </w:rPr>
        <w:t> </w:t>
      </w:r>
      <w:r>
        <w:rPr/>
        <w:t>will</w:t>
      </w:r>
      <w:r>
        <w:rPr>
          <w:spacing w:val="-3"/>
        </w:rPr>
        <w:t> </w:t>
      </w:r>
      <w:r>
        <w:rPr/>
        <w:t>explore</w:t>
      </w:r>
      <w:r>
        <w:rPr>
          <w:spacing w:val="-3"/>
        </w:rPr>
        <w:t> </w:t>
      </w:r>
      <w:r>
        <w:rPr/>
        <w:t>how</w:t>
      </w:r>
      <w:r>
        <w:rPr>
          <w:spacing w:val="-3"/>
        </w:rPr>
        <w:t> </w:t>
      </w:r>
      <w:r>
        <w:rPr/>
        <w:t>the</w:t>
      </w:r>
      <w:r>
        <w:rPr>
          <w:spacing w:val="-4"/>
        </w:rPr>
        <w:t> </w:t>
      </w:r>
      <w:r>
        <w:rPr/>
        <w:t>potential</w:t>
      </w:r>
      <w:r>
        <w:rPr>
          <w:spacing w:val="-3"/>
        </w:rPr>
        <w:t> </w:t>
      </w:r>
      <w:r>
        <w:rPr/>
        <w:t>claim</w:t>
      </w:r>
      <w:r>
        <w:rPr>
          <w:spacing w:val="-4"/>
        </w:rPr>
        <w:t> </w:t>
      </w:r>
      <w:r>
        <w:rPr/>
        <w:t>might</w:t>
      </w:r>
      <w:r>
        <w:rPr>
          <w:spacing w:val="-2"/>
        </w:rPr>
        <w:t> </w:t>
      </w:r>
      <w:r>
        <w:rPr/>
        <w:t>be</w:t>
      </w:r>
      <w:r>
        <w:rPr>
          <w:spacing w:val="-2"/>
        </w:rPr>
        <w:t> </w:t>
      </w:r>
      <w:r>
        <w:rPr/>
        <w:t>resolved, talking through the issues with the employer and the employee.</w:t>
      </w:r>
    </w:p>
    <w:p>
      <w:pPr>
        <w:pStyle w:val="BodyText"/>
      </w:pPr>
    </w:p>
    <w:p>
      <w:pPr>
        <w:pStyle w:val="Heading4"/>
        <w:jc w:val="left"/>
        <w:rPr>
          <w:i/>
        </w:rPr>
      </w:pPr>
      <w:r>
        <w:rPr>
          <w:i/>
          <w:spacing w:val="-2"/>
        </w:rPr>
        <w:t>Representation</w:t>
      </w:r>
    </w:p>
    <w:p>
      <w:pPr>
        <w:pStyle w:val="BodyText"/>
        <w:spacing w:before="1"/>
        <w:ind w:left="1337" w:right="1473"/>
        <w:jc w:val="both"/>
      </w:pPr>
      <w:r>
        <w:rPr/>
        <w:t>As with EC, there is no obligation for claimants to have a representative in conciliation, but if they do appoint a representative to act for them Acas will conciliate through that representative.</w:t>
      </w:r>
    </w:p>
    <w:p>
      <w:pPr>
        <w:pStyle w:val="BodyText"/>
      </w:pPr>
    </w:p>
    <w:p>
      <w:pPr>
        <w:pStyle w:val="Heading4"/>
        <w:jc w:val="left"/>
        <w:rPr>
          <w:i/>
        </w:rPr>
      </w:pPr>
      <w:r>
        <w:rPr>
          <w:i/>
          <w:spacing w:val="-2"/>
        </w:rPr>
        <w:t>Settlements</w:t>
      </w:r>
    </w:p>
    <w:p>
      <w:pPr>
        <w:pStyle w:val="BodyText"/>
        <w:spacing w:before="1"/>
        <w:ind w:left="1337" w:right="1474"/>
        <w:jc w:val="both"/>
      </w:pPr>
      <w:r>
        <w:rPr/>
        <w:t>As with EC, if a settlement is agreed, the conciliator will usually record what has been</w:t>
      </w:r>
      <w:r>
        <w:rPr>
          <w:spacing w:val="-11"/>
        </w:rPr>
        <w:t> </w:t>
      </w:r>
      <w:r>
        <w:rPr/>
        <w:t>agreed</w:t>
      </w:r>
      <w:r>
        <w:rPr>
          <w:spacing w:val="-11"/>
        </w:rPr>
        <w:t> </w:t>
      </w:r>
      <w:r>
        <w:rPr/>
        <w:t>on</w:t>
      </w:r>
      <w:r>
        <w:rPr>
          <w:spacing w:val="-11"/>
        </w:rPr>
        <w:t> </w:t>
      </w:r>
      <w:r>
        <w:rPr/>
        <w:t>an</w:t>
      </w:r>
      <w:r>
        <w:rPr>
          <w:spacing w:val="-11"/>
        </w:rPr>
        <w:t> </w:t>
      </w:r>
      <w:r>
        <w:rPr/>
        <w:t>Acas</w:t>
      </w:r>
      <w:r>
        <w:rPr>
          <w:spacing w:val="-12"/>
        </w:rPr>
        <w:t> </w:t>
      </w:r>
      <w:r>
        <w:rPr/>
        <w:t>COT3</w:t>
      </w:r>
      <w:r>
        <w:rPr>
          <w:spacing w:val="-12"/>
        </w:rPr>
        <w:t> </w:t>
      </w:r>
      <w:r>
        <w:rPr/>
        <w:t>form,</w:t>
      </w:r>
      <w:r>
        <w:rPr>
          <w:spacing w:val="-11"/>
        </w:rPr>
        <w:t> </w:t>
      </w:r>
      <w:r>
        <w:rPr/>
        <w:t>which</w:t>
      </w:r>
      <w:r>
        <w:rPr>
          <w:spacing w:val="-11"/>
        </w:rPr>
        <w:t> </w:t>
      </w:r>
      <w:r>
        <w:rPr/>
        <w:t>both</w:t>
      </w:r>
      <w:r>
        <w:rPr>
          <w:spacing w:val="-11"/>
        </w:rPr>
        <w:t> </w:t>
      </w:r>
      <w:r>
        <w:rPr/>
        <w:t>parties</w:t>
      </w:r>
      <w:r>
        <w:rPr>
          <w:spacing w:val="-12"/>
        </w:rPr>
        <w:t> </w:t>
      </w:r>
      <w:r>
        <w:rPr/>
        <w:t>will</w:t>
      </w:r>
      <w:r>
        <w:rPr>
          <w:spacing w:val="-11"/>
        </w:rPr>
        <w:t> </w:t>
      </w:r>
      <w:r>
        <w:rPr/>
        <w:t>sign,</w:t>
      </w:r>
      <w:r>
        <w:rPr>
          <w:spacing w:val="-11"/>
        </w:rPr>
        <w:t> </w:t>
      </w:r>
      <w:r>
        <w:rPr/>
        <w:t>as</w:t>
      </w:r>
      <w:r>
        <w:rPr>
          <w:spacing w:val="-12"/>
        </w:rPr>
        <w:t> </w:t>
      </w:r>
      <w:r>
        <w:rPr/>
        <w:t>a</w:t>
      </w:r>
      <w:r>
        <w:rPr>
          <w:spacing w:val="-12"/>
        </w:rPr>
        <w:t> </w:t>
      </w:r>
      <w:r>
        <w:rPr/>
        <w:t>formal</w:t>
      </w:r>
      <w:r>
        <w:rPr>
          <w:spacing w:val="-11"/>
        </w:rPr>
        <w:t> </w:t>
      </w:r>
      <w:r>
        <w:rPr/>
        <w:t>record of the agreement. The COT3 is a legally binding contract that means the claimant will not be able to continue with the tribunal claim in that matter.</w:t>
      </w:r>
    </w:p>
    <w:p>
      <w:pPr>
        <w:pStyle w:val="BodyText"/>
        <w:spacing w:before="11"/>
        <w:rPr>
          <w:sz w:val="19"/>
        </w:rPr>
      </w:pPr>
    </w:p>
    <w:p>
      <w:pPr>
        <w:pStyle w:val="BodyText"/>
        <w:ind w:left="1337" w:right="1473"/>
        <w:jc w:val="both"/>
      </w:pPr>
      <w:r>
        <w:rPr/>
        <w:t>If</w:t>
      </w:r>
      <w:r>
        <w:rPr>
          <w:spacing w:val="-11"/>
        </w:rPr>
        <w:t> </w:t>
      </w:r>
      <w:r>
        <w:rPr/>
        <w:t>the</w:t>
      </w:r>
      <w:r>
        <w:rPr>
          <w:spacing w:val="-12"/>
        </w:rPr>
        <w:t> </w:t>
      </w:r>
      <w:r>
        <w:rPr/>
        <w:t>parties</w:t>
      </w:r>
      <w:r>
        <w:rPr>
          <w:spacing w:val="-11"/>
        </w:rPr>
        <w:t> </w:t>
      </w:r>
      <w:r>
        <w:rPr/>
        <w:t>cannot</w:t>
      </w:r>
      <w:r>
        <w:rPr>
          <w:spacing w:val="-11"/>
        </w:rPr>
        <w:t> </w:t>
      </w:r>
      <w:r>
        <w:rPr/>
        <w:t>settle</w:t>
      </w:r>
      <w:r>
        <w:rPr>
          <w:spacing w:val="-12"/>
        </w:rPr>
        <w:t> </w:t>
      </w:r>
      <w:r>
        <w:rPr/>
        <w:t>their</w:t>
      </w:r>
      <w:r>
        <w:rPr>
          <w:spacing w:val="-12"/>
        </w:rPr>
        <w:t> </w:t>
      </w:r>
      <w:r>
        <w:rPr/>
        <w:t>differences</w:t>
      </w:r>
      <w:r>
        <w:rPr>
          <w:spacing w:val="-11"/>
        </w:rPr>
        <w:t> </w:t>
      </w:r>
      <w:r>
        <w:rPr/>
        <w:t>through</w:t>
      </w:r>
      <w:r>
        <w:rPr>
          <w:spacing w:val="-11"/>
        </w:rPr>
        <w:t> </w:t>
      </w:r>
      <w:r>
        <w:rPr/>
        <w:t>conciliation,</w:t>
      </w:r>
      <w:r>
        <w:rPr>
          <w:spacing w:val="-11"/>
        </w:rPr>
        <w:t> </w:t>
      </w:r>
      <w:r>
        <w:rPr/>
        <w:t>the</w:t>
      </w:r>
      <w:r>
        <w:rPr>
          <w:spacing w:val="-12"/>
        </w:rPr>
        <w:t> </w:t>
      </w:r>
      <w:r>
        <w:rPr/>
        <w:t>conciliator</w:t>
      </w:r>
      <w:r>
        <w:rPr>
          <w:spacing w:val="-12"/>
        </w:rPr>
        <w:t> </w:t>
      </w:r>
      <w:r>
        <w:rPr/>
        <w:t>will bring the process to an end and full tribunal proceedings begin.</w:t>
      </w:r>
    </w:p>
    <w:p>
      <w:pPr>
        <w:pStyle w:val="BodyText"/>
        <w:rPr>
          <w:sz w:val="24"/>
        </w:rPr>
      </w:pPr>
    </w:p>
    <w:p>
      <w:pPr>
        <w:spacing w:before="196"/>
        <w:ind w:left="1337" w:right="0" w:firstLine="0"/>
        <w:jc w:val="both"/>
        <w:rPr>
          <w:b/>
          <w:sz w:val="20"/>
        </w:rPr>
      </w:pPr>
      <w:r>
        <w:rPr>
          <w:b/>
          <w:sz w:val="20"/>
        </w:rPr>
        <w:t>Figure</w:t>
      </w:r>
      <w:r>
        <w:rPr>
          <w:b/>
          <w:spacing w:val="-7"/>
          <w:sz w:val="20"/>
        </w:rPr>
        <w:t> </w:t>
      </w:r>
      <w:r>
        <w:rPr>
          <w:b/>
          <w:sz w:val="20"/>
        </w:rPr>
        <w:t>3.</w:t>
      </w:r>
      <w:r>
        <w:rPr>
          <w:b/>
          <w:spacing w:val="-6"/>
          <w:sz w:val="20"/>
        </w:rPr>
        <w:t> </w:t>
      </w:r>
      <w:r>
        <w:rPr>
          <w:b/>
          <w:sz w:val="20"/>
        </w:rPr>
        <w:t>Early</w:t>
      </w:r>
      <w:r>
        <w:rPr>
          <w:b/>
          <w:spacing w:val="-4"/>
          <w:sz w:val="20"/>
        </w:rPr>
        <w:t> </w:t>
      </w:r>
      <w:r>
        <w:rPr>
          <w:b/>
          <w:sz w:val="20"/>
        </w:rPr>
        <w:t>Conciliation</w:t>
      </w:r>
      <w:r>
        <w:rPr>
          <w:b/>
          <w:spacing w:val="-5"/>
          <w:sz w:val="20"/>
        </w:rPr>
        <w:t> </w:t>
      </w:r>
      <w:r>
        <w:rPr>
          <w:b/>
          <w:sz w:val="20"/>
        </w:rPr>
        <w:t>process</w:t>
      </w:r>
      <w:r>
        <w:rPr>
          <w:b/>
          <w:spacing w:val="-5"/>
          <w:sz w:val="20"/>
        </w:rPr>
        <w:t> </w:t>
      </w:r>
      <w:r>
        <w:rPr>
          <w:b/>
          <w:spacing w:val="-4"/>
          <w:sz w:val="20"/>
        </w:rPr>
        <w:t>flow</w:t>
      </w:r>
    </w:p>
    <w:p>
      <w:pPr>
        <w:pStyle w:val="BodyText"/>
        <w:spacing w:before="4"/>
        <w:rPr>
          <w:b/>
          <w:sz w:val="19"/>
        </w:rPr>
      </w:pPr>
      <w:r>
        <w:rPr/>
        <w:drawing>
          <wp:anchor distT="0" distB="0" distL="0" distR="0" allowOverlap="1" layoutInCell="1" locked="0" behindDoc="0" simplePos="0" relativeHeight="5">
            <wp:simplePos x="0" y="0"/>
            <wp:positionH relativeFrom="page">
              <wp:posOffset>1182853</wp:posOffset>
            </wp:positionH>
            <wp:positionV relativeFrom="paragraph">
              <wp:posOffset>164785</wp:posOffset>
            </wp:positionV>
            <wp:extent cx="5226373" cy="4186999"/>
            <wp:effectExtent l="0" t="0" r="0" b="0"/>
            <wp:wrapTopAndBottom/>
            <wp:docPr id="7" name="image4.png" descr="Flowchart showing the Early Conciliation process"/>
            <wp:cNvGraphicFramePr>
              <a:graphicFrameLocks noChangeAspect="1"/>
            </wp:cNvGraphicFramePr>
            <a:graphic>
              <a:graphicData uri="http://schemas.openxmlformats.org/drawingml/2006/picture">
                <pic:pic>
                  <pic:nvPicPr>
                    <pic:cNvPr id="8" name="image4.png"/>
                    <pic:cNvPicPr/>
                  </pic:nvPicPr>
                  <pic:blipFill>
                    <a:blip r:embed="rId14" cstate="print"/>
                    <a:stretch>
                      <a:fillRect/>
                    </a:stretch>
                  </pic:blipFill>
                  <pic:spPr>
                    <a:xfrm>
                      <a:off x="0" y="0"/>
                      <a:ext cx="5226373" cy="4186999"/>
                    </a:xfrm>
                    <a:prstGeom prst="rect">
                      <a:avLst/>
                    </a:prstGeom>
                  </pic:spPr>
                </pic:pic>
              </a:graphicData>
            </a:graphic>
          </wp:anchor>
        </w:drawing>
      </w:r>
    </w:p>
    <w:p>
      <w:pPr>
        <w:spacing w:after="0"/>
        <w:rPr>
          <w:sz w:val="19"/>
        </w:rPr>
        <w:sectPr>
          <w:pgSz w:w="11910" w:h="16840"/>
          <w:pgMar w:header="0" w:footer="996" w:top="1340" w:bottom="1180" w:left="460" w:right="320"/>
        </w:sectPr>
      </w:pPr>
    </w:p>
    <w:p>
      <w:pPr>
        <w:spacing w:before="82"/>
        <w:ind w:left="1337" w:right="0" w:firstLine="0"/>
        <w:jc w:val="both"/>
        <w:rPr>
          <w:b/>
          <w:sz w:val="20"/>
        </w:rPr>
      </w:pPr>
      <w:r>
        <w:rPr>
          <w:b/>
          <w:sz w:val="20"/>
        </w:rPr>
        <w:t>Figure</w:t>
      </w:r>
      <w:r>
        <w:rPr>
          <w:b/>
          <w:spacing w:val="-7"/>
          <w:sz w:val="20"/>
        </w:rPr>
        <w:t> </w:t>
      </w:r>
      <w:r>
        <w:rPr>
          <w:b/>
          <w:sz w:val="20"/>
        </w:rPr>
        <w:t>4.</w:t>
      </w:r>
      <w:r>
        <w:rPr>
          <w:b/>
          <w:spacing w:val="-6"/>
          <w:sz w:val="20"/>
        </w:rPr>
        <w:t> </w:t>
      </w:r>
      <w:r>
        <w:rPr>
          <w:b/>
          <w:sz w:val="20"/>
        </w:rPr>
        <w:t>Post-ET1</w:t>
      </w:r>
      <w:r>
        <w:rPr>
          <w:b/>
          <w:spacing w:val="-5"/>
          <w:sz w:val="20"/>
        </w:rPr>
        <w:t> </w:t>
      </w:r>
      <w:r>
        <w:rPr>
          <w:b/>
          <w:sz w:val="20"/>
        </w:rPr>
        <w:t>Conciliation</w:t>
      </w:r>
      <w:r>
        <w:rPr>
          <w:b/>
          <w:spacing w:val="-5"/>
          <w:sz w:val="20"/>
        </w:rPr>
        <w:t> </w:t>
      </w:r>
      <w:r>
        <w:rPr>
          <w:b/>
          <w:sz w:val="20"/>
        </w:rPr>
        <w:t>process</w:t>
      </w:r>
      <w:r>
        <w:rPr>
          <w:b/>
          <w:spacing w:val="-6"/>
          <w:sz w:val="20"/>
        </w:rPr>
        <w:t> </w:t>
      </w:r>
      <w:r>
        <w:rPr>
          <w:b/>
          <w:spacing w:val="-4"/>
          <w:sz w:val="20"/>
        </w:rPr>
        <w:t>flow</w:t>
      </w:r>
    </w:p>
    <w:p>
      <w:pPr>
        <w:pStyle w:val="BodyText"/>
        <w:spacing w:before="12"/>
        <w:rPr>
          <w:b/>
          <w:sz w:val="17"/>
        </w:rPr>
      </w:pPr>
      <w:r>
        <w:rPr/>
        <w:drawing>
          <wp:anchor distT="0" distB="0" distL="0" distR="0" allowOverlap="1" layoutInCell="1" locked="0" behindDoc="0" simplePos="0" relativeHeight="6">
            <wp:simplePos x="0" y="0"/>
            <wp:positionH relativeFrom="page">
              <wp:posOffset>1141096</wp:posOffset>
            </wp:positionH>
            <wp:positionV relativeFrom="paragraph">
              <wp:posOffset>154097</wp:posOffset>
            </wp:positionV>
            <wp:extent cx="5212429" cy="3871055"/>
            <wp:effectExtent l="0" t="0" r="0" b="0"/>
            <wp:wrapTopAndBottom/>
            <wp:docPr id="9" name="image5.jpeg" descr="Flowhart showing the Post ET1 Conciliation process"/>
            <wp:cNvGraphicFramePr>
              <a:graphicFrameLocks noChangeAspect="1"/>
            </wp:cNvGraphicFramePr>
            <a:graphic>
              <a:graphicData uri="http://schemas.openxmlformats.org/drawingml/2006/picture">
                <pic:pic>
                  <pic:nvPicPr>
                    <pic:cNvPr id="10" name="image5.jpeg"/>
                    <pic:cNvPicPr/>
                  </pic:nvPicPr>
                  <pic:blipFill>
                    <a:blip r:embed="rId15" cstate="print"/>
                    <a:stretch>
                      <a:fillRect/>
                    </a:stretch>
                  </pic:blipFill>
                  <pic:spPr>
                    <a:xfrm>
                      <a:off x="0" y="0"/>
                      <a:ext cx="5212429" cy="3871055"/>
                    </a:xfrm>
                    <a:prstGeom prst="rect">
                      <a:avLst/>
                    </a:prstGeom>
                  </pic:spPr>
                </pic:pic>
              </a:graphicData>
            </a:graphic>
          </wp:anchor>
        </w:drawing>
      </w:r>
    </w:p>
    <w:p>
      <w:pPr>
        <w:pStyle w:val="BodyText"/>
        <w:rPr>
          <w:b/>
          <w:sz w:val="24"/>
        </w:rPr>
      </w:pPr>
    </w:p>
    <w:p>
      <w:pPr>
        <w:pStyle w:val="BodyText"/>
        <w:spacing w:before="5"/>
        <w:rPr>
          <w:b/>
        </w:rPr>
      </w:pPr>
    </w:p>
    <w:p>
      <w:pPr>
        <w:spacing w:line="243" w:lineRule="exact" w:before="0"/>
        <w:ind w:left="1337" w:right="0" w:firstLine="0"/>
        <w:jc w:val="both"/>
        <w:rPr>
          <w:b/>
          <w:sz w:val="20"/>
        </w:rPr>
      </w:pPr>
      <w:r>
        <w:rPr>
          <w:b/>
          <w:sz w:val="20"/>
        </w:rPr>
        <w:t>Project</w:t>
      </w:r>
      <w:r>
        <w:rPr>
          <w:b/>
          <w:spacing w:val="-5"/>
          <w:sz w:val="20"/>
        </w:rPr>
        <w:t> </w:t>
      </w:r>
      <w:r>
        <w:rPr>
          <w:b/>
          <w:sz w:val="20"/>
        </w:rPr>
        <w:t>aims</w:t>
      </w:r>
      <w:r>
        <w:rPr>
          <w:b/>
          <w:spacing w:val="-3"/>
          <w:sz w:val="20"/>
        </w:rPr>
        <w:t> </w:t>
      </w:r>
      <w:r>
        <w:rPr>
          <w:b/>
          <w:sz w:val="20"/>
        </w:rPr>
        <w:t>and</w:t>
      </w:r>
      <w:r>
        <w:rPr>
          <w:b/>
          <w:spacing w:val="-3"/>
          <w:sz w:val="20"/>
        </w:rPr>
        <w:t> </w:t>
      </w:r>
      <w:r>
        <w:rPr>
          <w:b/>
          <w:spacing w:val="-2"/>
          <w:sz w:val="20"/>
        </w:rPr>
        <w:t>objectives</w:t>
      </w:r>
    </w:p>
    <w:p>
      <w:pPr>
        <w:pStyle w:val="BodyText"/>
        <w:ind w:left="1337" w:right="1472"/>
        <w:jc w:val="both"/>
      </w:pPr>
      <w:r>
        <w:rPr/>
        <w:t>The</w:t>
      </w:r>
      <w:r>
        <w:rPr>
          <w:spacing w:val="-7"/>
        </w:rPr>
        <w:t> </w:t>
      </w:r>
      <w:r>
        <w:rPr/>
        <w:t>aim</w:t>
      </w:r>
      <w:r>
        <w:rPr>
          <w:spacing w:val="-7"/>
        </w:rPr>
        <w:t> </w:t>
      </w:r>
      <w:r>
        <w:rPr/>
        <w:t>of</w:t>
      </w:r>
      <w:r>
        <w:rPr>
          <w:spacing w:val="-7"/>
        </w:rPr>
        <w:t> </w:t>
      </w:r>
      <w:r>
        <w:rPr/>
        <w:t>these</w:t>
      </w:r>
      <w:r>
        <w:rPr>
          <w:spacing w:val="-7"/>
        </w:rPr>
        <w:t> </w:t>
      </w:r>
      <w:r>
        <w:rPr/>
        <w:t>evaluations</w:t>
      </w:r>
      <w:r>
        <w:rPr>
          <w:spacing w:val="-7"/>
        </w:rPr>
        <w:t> </w:t>
      </w:r>
      <w:r>
        <w:rPr/>
        <w:t>was</w:t>
      </w:r>
      <w:r>
        <w:rPr>
          <w:spacing w:val="-8"/>
        </w:rPr>
        <w:t> </w:t>
      </w:r>
      <w:r>
        <w:rPr/>
        <w:t>to</w:t>
      </w:r>
      <w:r>
        <w:rPr>
          <w:spacing w:val="-8"/>
        </w:rPr>
        <w:t> </w:t>
      </w:r>
      <w:r>
        <w:rPr/>
        <w:t>evaluate</w:t>
      </w:r>
      <w:r>
        <w:rPr>
          <w:spacing w:val="-7"/>
        </w:rPr>
        <w:t> </w:t>
      </w:r>
      <w:r>
        <w:rPr/>
        <w:t>the</w:t>
      </w:r>
      <w:r>
        <w:rPr>
          <w:spacing w:val="-7"/>
        </w:rPr>
        <w:t> </w:t>
      </w:r>
      <w:r>
        <w:rPr/>
        <w:t>effectiveness</w:t>
      </w:r>
      <w:r>
        <w:rPr>
          <w:spacing w:val="-7"/>
        </w:rPr>
        <w:t> </w:t>
      </w:r>
      <w:r>
        <w:rPr/>
        <w:t>and</w:t>
      </w:r>
      <w:r>
        <w:rPr>
          <w:spacing w:val="-7"/>
        </w:rPr>
        <w:t> </w:t>
      </w:r>
      <w:r>
        <w:rPr/>
        <w:t>impact</w:t>
      </w:r>
      <w:r>
        <w:rPr>
          <w:spacing w:val="-7"/>
        </w:rPr>
        <w:t> </w:t>
      </w:r>
      <w:r>
        <w:rPr/>
        <w:t>of</w:t>
      </w:r>
      <w:r>
        <w:rPr>
          <w:spacing w:val="-8"/>
        </w:rPr>
        <w:t> </w:t>
      </w:r>
      <w:r>
        <w:rPr/>
        <w:t>Acas’ individual conciliation services for claimants, employers and their representatives at the EC and post-ET1 stages. Within that, the research aimed to establish:</w:t>
      </w:r>
    </w:p>
    <w:p>
      <w:pPr>
        <w:pStyle w:val="ListParagraph"/>
        <w:numPr>
          <w:ilvl w:val="0"/>
          <w:numId w:val="5"/>
        </w:numPr>
        <w:tabs>
          <w:tab w:pos="2058" w:val="left" w:leader="none"/>
        </w:tabs>
        <w:spacing w:line="240" w:lineRule="auto" w:before="1" w:after="0"/>
        <w:ind w:left="2057" w:right="1472" w:hanging="360"/>
        <w:jc w:val="both"/>
        <w:rPr>
          <w:rFonts w:ascii="Symbol" w:hAnsi="Symbol"/>
          <w:sz w:val="20"/>
        </w:rPr>
      </w:pPr>
      <w:r>
        <w:rPr>
          <w:sz w:val="20"/>
        </w:rPr>
        <w:t>A</w:t>
      </w:r>
      <w:r>
        <w:rPr>
          <w:spacing w:val="-5"/>
          <w:sz w:val="20"/>
        </w:rPr>
        <w:t> </w:t>
      </w:r>
      <w:r>
        <w:rPr>
          <w:sz w:val="20"/>
        </w:rPr>
        <w:t>reliable</w:t>
      </w:r>
      <w:r>
        <w:rPr>
          <w:spacing w:val="-5"/>
          <w:sz w:val="20"/>
        </w:rPr>
        <w:t> </w:t>
      </w:r>
      <w:r>
        <w:rPr>
          <w:sz w:val="20"/>
        </w:rPr>
        <w:t>picture</w:t>
      </w:r>
      <w:r>
        <w:rPr>
          <w:spacing w:val="-5"/>
          <w:sz w:val="20"/>
        </w:rPr>
        <w:t> </w:t>
      </w:r>
      <w:r>
        <w:rPr>
          <w:sz w:val="20"/>
        </w:rPr>
        <w:t>of</w:t>
      </w:r>
      <w:r>
        <w:rPr>
          <w:spacing w:val="-5"/>
          <w:sz w:val="20"/>
        </w:rPr>
        <w:t> </w:t>
      </w:r>
      <w:r>
        <w:rPr>
          <w:sz w:val="20"/>
        </w:rPr>
        <w:t>the</w:t>
      </w:r>
      <w:r>
        <w:rPr>
          <w:spacing w:val="-6"/>
          <w:sz w:val="20"/>
        </w:rPr>
        <w:t> </w:t>
      </w:r>
      <w:r>
        <w:rPr>
          <w:sz w:val="20"/>
        </w:rPr>
        <w:t>views</w:t>
      </w:r>
      <w:r>
        <w:rPr>
          <w:spacing w:val="-6"/>
          <w:sz w:val="20"/>
        </w:rPr>
        <w:t> </w:t>
      </w:r>
      <w:r>
        <w:rPr>
          <w:sz w:val="20"/>
        </w:rPr>
        <w:t>of</w:t>
      </w:r>
      <w:r>
        <w:rPr>
          <w:spacing w:val="-5"/>
          <w:sz w:val="20"/>
        </w:rPr>
        <w:t> </w:t>
      </w:r>
      <w:r>
        <w:rPr>
          <w:sz w:val="20"/>
        </w:rPr>
        <w:t>users</w:t>
      </w:r>
      <w:r>
        <w:rPr>
          <w:spacing w:val="-4"/>
          <w:sz w:val="20"/>
        </w:rPr>
        <w:t> </w:t>
      </w:r>
      <w:r>
        <w:rPr>
          <w:sz w:val="20"/>
        </w:rPr>
        <w:t>of</w:t>
      </w:r>
      <w:r>
        <w:rPr>
          <w:spacing w:val="-5"/>
          <w:sz w:val="20"/>
        </w:rPr>
        <w:t> </w:t>
      </w:r>
      <w:r>
        <w:rPr>
          <w:sz w:val="20"/>
        </w:rPr>
        <w:t>all</w:t>
      </w:r>
      <w:r>
        <w:rPr>
          <w:spacing w:val="-5"/>
          <w:sz w:val="20"/>
        </w:rPr>
        <w:t> </w:t>
      </w:r>
      <w:r>
        <w:rPr>
          <w:sz w:val="20"/>
        </w:rPr>
        <w:t>party</w:t>
      </w:r>
      <w:r>
        <w:rPr>
          <w:spacing w:val="-5"/>
          <w:sz w:val="20"/>
        </w:rPr>
        <w:t> </w:t>
      </w:r>
      <w:r>
        <w:rPr>
          <w:sz w:val="20"/>
        </w:rPr>
        <w:t>types</w:t>
      </w:r>
      <w:r>
        <w:rPr>
          <w:spacing w:val="-7"/>
          <w:sz w:val="20"/>
        </w:rPr>
        <w:t> </w:t>
      </w:r>
      <w:r>
        <w:rPr>
          <w:sz w:val="20"/>
        </w:rPr>
        <w:t>who</w:t>
      </w:r>
      <w:r>
        <w:rPr>
          <w:spacing w:val="-5"/>
          <w:sz w:val="20"/>
        </w:rPr>
        <w:t> </w:t>
      </w:r>
      <w:r>
        <w:rPr>
          <w:sz w:val="20"/>
        </w:rPr>
        <w:t>participated</w:t>
      </w:r>
      <w:r>
        <w:rPr>
          <w:spacing w:val="-4"/>
          <w:sz w:val="20"/>
        </w:rPr>
        <w:t> </w:t>
      </w:r>
      <w:r>
        <w:rPr>
          <w:sz w:val="20"/>
        </w:rPr>
        <w:t>in Acas conciliation; claimants (employees), claimant representatives, respondents (employers) and respondent representatives including a picture of their aims, expectations and comprehension throughout the </w:t>
      </w:r>
      <w:r>
        <w:rPr>
          <w:spacing w:val="-2"/>
          <w:sz w:val="20"/>
        </w:rPr>
        <w:t>process.</w:t>
      </w:r>
    </w:p>
    <w:p>
      <w:pPr>
        <w:pStyle w:val="ListParagraph"/>
        <w:numPr>
          <w:ilvl w:val="0"/>
          <w:numId w:val="5"/>
        </w:numPr>
        <w:tabs>
          <w:tab w:pos="2058" w:val="left" w:leader="none"/>
        </w:tabs>
        <w:spacing w:line="237" w:lineRule="auto" w:before="1" w:after="0"/>
        <w:ind w:left="2057" w:right="1475" w:hanging="360"/>
        <w:jc w:val="both"/>
        <w:rPr>
          <w:rFonts w:ascii="Symbol" w:hAnsi="Symbol"/>
          <w:sz w:val="20"/>
        </w:rPr>
      </w:pPr>
      <w:r>
        <w:rPr>
          <w:sz w:val="20"/>
        </w:rPr>
        <w:t>Performance indicators including satisfaction with the Acas EC and post-ET </w:t>
      </w:r>
      <w:r>
        <w:rPr>
          <w:spacing w:val="-2"/>
          <w:sz w:val="20"/>
        </w:rPr>
        <w:t>services.</w:t>
      </w:r>
    </w:p>
    <w:p>
      <w:pPr>
        <w:pStyle w:val="ListParagraph"/>
        <w:numPr>
          <w:ilvl w:val="0"/>
          <w:numId w:val="5"/>
        </w:numPr>
        <w:tabs>
          <w:tab w:pos="2058" w:val="left" w:leader="none"/>
        </w:tabs>
        <w:spacing w:line="237" w:lineRule="auto" w:before="2" w:after="0"/>
        <w:ind w:left="2056" w:right="1475" w:hanging="360"/>
        <w:jc w:val="both"/>
        <w:rPr>
          <w:rFonts w:ascii="Symbol" w:hAnsi="Symbol"/>
          <w:sz w:val="20"/>
        </w:rPr>
      </w:pPr>
      <w:r>
        <w:rPr>
          <w:sz w:val="20"/>
        </w:rPr>
        <w:t>Data examining the barriers and facilitators to settlement at both conciliation stages.</w:t>
      </w:r>
    </w:p>
    <w:p>
      <w:pPr>
        <w:pStyle w:val="ListParagraph"/>
        <w:numPr>
          <w:ilvl w:val="0"/>
          <w:numId w:val="5"/>
        </w:numPr>
        <w:tabs>
          <w:tab w:pos="2057" w:val="left" w:leader="none"/>
        </w:tabs>
        <w:spacing w:line="244" w:lineRule="exact" w:before="1" w:after="0"/>
        <w:ind w:left="2056" w:right="0" w:hanging="361"/>
        <w:jc w:val="both"/>
        <w:rPr>
          <w:rFonts w:ascii="Symbol" w:hAnsi="Symbol"/>
          <w:sz w:val="20"/>
        </w:rPr>
      </w:pPr>
      <w:r>
        <w:rPr>
          <w:sz w:val="20"/>
        </w:rPr>
        <w:t>Ratings</w:t>
      </w:r>
      <w:r>
        <w:rPr>
          <w:spacing w:val="-18"/>
          <w:sz w:val="20"/>
        </w:rPr>
        <w:t> </w:t>
      </w:r>
      <w:r>
        <w:rPr>
          <w:sz w:val="20"/>
        </w:rPr>
        <w:t>of</w:t>
      </w:r>
      <w:r>
        <w:rPr>
          <w:spacing w:val="-15"/>
          <w:sz w:val="20"/>
        </w:rPr>
        <w:t> </w:t>
      </w:r>
      <w:r>
        <w:rPr>
          <w:sz w:val="20"/>
        </w:rPr>
        <w:t>Acas</w:t>
      </w:r>
      <w:r>
        <w:rPr>
          <w:spacing w:val="-15"/>
          <w:sz w:val="20"/>
        </w:rPr>
        <w:t> </w:t>
      </w:r>
      <w:r>
        <w:rPr>
          <w:sz w:val="20"/>
        </w:rPr>
        <w:t>conciliators</w:t>
      </w:r>
      <w:r>
        <w:rPr>
          <w:spacing w:val="-16"/>
          <w:sz w:val="20"/>
        </w:rPr>
        <w:t> </w:t>
      </w:r>
      <w:r>
        <w:rPr>
          <w:sz w:val="20"/>
        </w:rPr>
        <w:t>and</w:t>
      </w:r>
      <w:r>
        <w:rPr>
          <w:spacing w:val="-15"/>
          <w:sz w:val="20"/>
        </w:rPr>
        <w:t> </w:t>
      </w:r>
      <w:r>
        <w:rPr>
          <w:sz w:val="20"/>
        </w:rPr>
        <w:t>Early</w:t>
      </w:r>
      <w:r>
        <w:rPr>
          <w:spacing w:val="-15"/>
          <w:sz w:val="20"/>
        </w:rPr>
        <w:t> </w:t>
      </w:r>
      <w:r>
        <w:rPr>
          <w:sz w:val="20"/>
        </w:rPr>
        <w:t>Conciliation</w:t>
      </w:r>
      <w:r>
        <w:rPr>
          <w:spacing w:val="-15"/>
          <w:sz w:val="20"/>
        </w:rPr>
        <w:t> </w:t>
      </w:r>
      <w:r>
        <w:rPr>
          <w:sz w:val="20"/>
        </w:rPr>
        <w:t>Support</w:t>
      </w:r>
      <w:r>
        <w:rPr>
          <w:spacing w:val="-15"/>
          <w:sz w:val="20"/>
        </w:rPr>
        <w:t> </w:t>
      </w:r>
      <w:r>
        <w:rPr>
          <w:sz w:val="20"/>
        </w:rPr>
        <w:t>Officers</w:t>
      </w:r>
      <w:r>
        <w:rPr>
          <w:spacing w:val="-15"/>
          <w:sz w:val="20"/>
        </w:rPr>
        <w:t> </w:t>
      </w:r>
      <w:r>
        <w:rPr>
          <w:spacing w:val="-2"/>
          <w:sz w:val="20"/>
        </w:rPr>
        <w:t>(ECSOs).</w:t>
      </w:r>
    </w:p>
    <w:p>
      <w:pPr>
        <w:pStyle w:val="ListParagraph"/>
        <w:numPr>
          <w:ilvl w:val="0"/>
          <w:numId w:val="5"/>
        </w:numPr>
        <w:tabs>
          <w:tab w:pos="2057" w:val="left" w:leader="none"/>
        </w:tabs>
        <w:spacing w:line="237" w:lineRule="auto" w:before="2" w:after="0"/>
        <w:ind w:left="2056" w:right="1475" w:hanging="360"/>
        <w:jc w:val="both"/>
        <w:rPr>
          <w:rFonts w:ascii="Symbol" w:hAnsi="Symbol"/>
          <w:sz w:val="20"/>
        </w:rPr>
      </w:pPr>
      <w:r>
        <w:rPr>
          <w:sz w:val="20"/>
        </w:rPr>
        <w:t>The impact of Acas conciliation on the dispute outcome, including the role played by EC on outcomes at the post-ET stage.</w:t>
      </w:r>
    </w:p>
    <w:p>
      <w:pPr>
        <w:pStyle w:val="ListParagraph"/>
        <w:numPr>
          <w:ilvl w:val="0"/>
          <w:numId w:val="5"/>
        </w:numPr>
        <w:tabs>
          <w:tab w:pos="2057" w:val="left" w:leader="none"/>
        </w:tabs>
        <w:spacing w:line="244" w:lineRule="exact" w:before="1" w:after="0"/>
        <w:ind w:left="2056" w:right="0" w:hanging="361"/>
        <w:jc w:val="both"/>
        <w:rPr>
          <w:rFonts w:ascii="Symbol" w:hAnsi="Symbol"/>
          <w:sz w:val="20"/>
        </w:rPr>
      </w:pPr>
      <w:r>
        <w:rPr>
          <w:sz w:val="20"/>
        </w:rPr>
        <w:t>The</w:t>
      </w:r>
      <w:r>
        <w:rPr>
          <w:spacing w:val="-3"/>
          <w:sz w:val="20"/>
        </w:rPr>
        <w:t> </w:t>
      </w:r>
      <w:r>
        <w:rPr>
          <w:sz w:val="20"/>
        </w:rPr>
        <w:t>costs</w:t>
      </w:r>
      <w:r>
        <w:rPr>
          <w:spacing w:val="-2"/>
          <w:sz w:val="20"/>
        </w:rPr>
        <w:t> </w:t>
      </w:r>
      <w:r>
        <w:rPr>
          <w:sz w:val="20"/>
        </w:rPr>
        <w:t>and</w:t>
      </w:r>
      <w:r>
        <w:rPr>
          <w:spacing w:val="-2"/>
          <w:sz w:val="20"/>
        </w:rPr>
        <w:t> </w:t>
      </w:r>
      <w:r>
        <w:rPr>
          <w:sz w:val="20"/>
        </w:rPr>
        <w:t>benefits</w:t>
      </w:r>
      <w:r>
        <w:rPr>
          <w:spacing w:val="-3"/>
          <w:sz w:val="20"/>
        </w:rPr>
        <w:t> </w:t>
      </w:r>
      <w:r>
        <w:rPr>
          <w:sz w:val="20"/>
        </w:rPr>
        <w:t>of</w:t>
      </w:r>
      <w:r>
        <w:rPr>
          <w:spacing w:val="-2"/>
          <w:sz w:val="20"/>
        </w:rPr>
        <w:t> </w:t>
      </w:r>
      <w:r>
        <w:rPr>
          <w:sz w:val="20"/>
        </w:rPr>
        <w:t>EC</w:t>
      </w:r>
      <w:r>
        <w:rPr>
          <w:spacing w:val="-2"/>
          <w:sz w:val="20"/>
        </w:rPr>
        <w:t> </w:t>
      </w:r>
      <w:r>
        <w:rPr>
          <w:sz w:val="20"/>
        </w:rPr>
        <w:t>and</w:t>
      </w:r>
      <w:r>
        <w:rPr>
          <w:spacing w:val="-2"/>
          <w:sz w:val="20"/>
        </w:rPr>
        <w:t> </w:t>
      </w:r>
      <w:r>
        <w:rPr>
          <w:sz w:val="20"/>
        </w:rPr>
        <w:t>post-ET</w:t>
      </w:r>
      <w:r>
        <w:rPr>
          <w:spacing w:val="-2"/>
          <w:sz w:val="20"/>
        </w:rPr>
        <w:t> conciliation</w:t>
      </w:r>
    </w:p>
    <w:p>
      <w:pPr>
        <w:pStyle w:val="ListParagraph"/>
        <w:numPr>
          <w:ilvl w:val="0"/>
          <w:numId w:val="5"/>
        </w:numPr>
        <w:tabs>
          <w:tab w:pos="2057" w:val="left" w:leader="none"/>
        </w:tabs>
        <w:spacing w:line="240" w:lineRule="auto" w:before="0" w:after="0"/>
        <w:ind w:left="2056" w:right="1474" w:hanging="360"/>
        <w:jc w:val="both"/>
        <w:rPr>
          <w:rFonts w:ascii="Symbol" w:hAnsi="Symbol"/>
          <w:sz w:val="20"/>
        </w:rPr>
      </w:pPr>
      <w:r>
        <w:rPr>
          <w:sz w:val="20"/>
        </w:rPr>
        <w:t>A comparison of differences in case outcomes and satisfaction between cases in different categories and with different representation status and party type (claimants, respondents and representatives of both) and other standard demographics.</w:t>
      </w:r>
    </w:p>
    <w:p>
      <w:pPr>
        <w:pStyle w:val="BodyText"/>
        <w:spacing w:before="9"/>
        <w:rPr>
          <w:sz w:val="19"/>
        </w:rPr>
      </w:pPr>
    </w:p>
    <w:p>
      <w:pPr>
        <w:pStyle w:val="Heading3"/>
        <w:ind w:left="1336"/>
      </w:pPr>
      <w:r>
        <w:rPr/>
        <w:t>Research</w:t>
      </w:r>
      <w:r>
        <w:rPr>
          <w:spacing w:val="-7"/>
        </w:rPr>
        <w:t> </w:t>
      </w:r>
      <w:r>
        <w:rPr>
          <w:spacing w:val="-2"/>
        </w:rPr>
        <w:t>design</w:t>
      </w:r>
    </w:p>
    <w:p>
      <w:pPr>
        <w:pStyle w:val="BodyText"/>
        <w:spacing w:before="1"/>
        <w:ind w:left="1336" w:right="1475"/>
        <w:jc w:val="both"/>
      </w:pPr>
      <w:r>
        <w:rPr/>
        <w:t>Each evaluation consisted of two telephone surveys; topline details are provided below.</w:t>
      </w:r>
      <w:r>
        <w:rPr>
          <w:spacing w:val="-12"/>
        </w:rPr>
        <w:t> </w:t>
      </w:r>
      <w:r>
        <w:rPr/>
        <w:t>The</w:t>
      </w:r>
      <w:r>
        <w:rPr>
          <w:spacing w:val="-11"/>
        </w:rPr>
        <w:t> </w:t>
      </w:r>
      <w:r>
        <w:rPr/>
        <w:t>full</w:t>
      </w:r>
      <w:r>
        <w:rPr>
          <w:spacing w:val="-10"/>
        </w:rPr>
        <w:t> </w:t>
      </w:r>
      <w:r>
        <w:rPr/>
        <w:t>details</w:t>
      </w:r>
      <w:r>
        <w:rPr>
          <w:spacing w:val="-10"/>
        </w:rPr>
        <w:t> </w:t>
      </w:r>
      <w:r>
        <w:rPr/>
        <w:t>of</w:t>
      </w:r>
      <w:r>
        <w:rPr>
          <w:spacing w:val="-8"/>
        </w:rPr>
        <w:t> </w:t>
      </w:r>
      <w:r>
        <w:rPr/>
        <w:t>the</w:t>
      </w:r>
      <w:r>
        <w:rPr>
          <w:spacing w:val="-11"/>
        </w:rPr>
        <w:t> </w:t>
      </w:r>
      <w:r>
        <w:rPr/>
        <w:t>survey</w:t>
      </w:r>
      <w:r>
        <w:rPr>
          <w:spacing w:val="-11"/>
        </w:rPr>
        <w:t> </w:t>
      </w:r>
      <w:r>
        <w:rPr/>
        <w:t>design</w:t>
      </w:r>
      <w:r>
        <w:rPr>
          <w:spacing w:val="-9"/>
        </w:rPr>
        <w:t> </w:t>
      </w:r>
      <w:r>
        <w:rPr/>
        <w:t>can</w:t>
      </w:r>
      <w:r>
        <w:rPr>
          <w:spacing w:val="-10"/>
        </w:rPr>
        <w:t> </w:t>
      </w:r>
      <w:r>
        <w:rPr/>
        <w:t>be</w:t>
      </w:r>
      <w:r>
        <w:rPr>
          <w:spacing w:val="-10"/>
        </w:rPr>
        <w:t> </w:t>
      </w:r>
      <w:r>
        <w:rPr/>
        <w:t>found</w:t>
      </w:r>
      <w:r>
        <w:rPr>
          <w:spacing w:val="-10"/>
        </w:rPr>
        <w:t> </w:t>
      </w:r>
      <w:r>
        <w:rPr/>
        <w:t>in</w:t>
      </w:r>
      <w:r>
        <w:rPr>
          <w:spacing w:val="-10"/>
        </w:rPr>
        <w:t> </w:t>
      </w:r>
      <w:r>
        <w:rPr/>
        <w:t>the</w:t>
      </w:r>
      <w:r>
        <w:rPr>
          <w:spacing w:val="-11"/>
        </w:rPr>
        <w:t> </w:t>
      </w:r>
      <w:r>
        <w:rPr/>
        <w:t>Technical</w:t>
      </w:r>
      <w:r>
        <w:rPr>
          <w:spacing w:val="-10"/>
        </w:rPr>
        <w:t> </w:t>
      </w:r>
      <w:r>
        <w:rPr>
          <w:spacing w:val="-2"/>
        </w:rPr>
        <w:t>Appendix.</w:t>
      </w:r>
    </w:p>
    <w:p>
      <w:pPr>
        <w:spacing w:after="0"/>
        <w:jc w:val="both"/>
        <w:sectPr>
          <w:pgSz w:w="11910" w:h="16840"/>
          <w:pgMar w:header="0" w:footer="996" w:top="1340" w:bottom="1180" w:left="460" w:right="320"/>
        </w:sectPr>
      </w:pPr>
    </w:p>
    <w:p>
      <w:pPr>
        <w:pStyle w:val="Heading4"/>
        <w:spacing w:line="243" w:lineRule="exact" w:before="82"/>
        <w:rPr>
          <w:i/>
        </w:rPr>
      </w:pPr>
      <w:r>
        <w:rPr>
          <w:i/>
        </w:rPr>
        <w:t>Early</w:t>
      </w:r>
      <w:r>
        <w:rPr>
          <w:i/>
          <w:spacing w:val="-7"/>
        </w:rPr>
        <w:t> </w:t>
      </w:r>
      <w:r>
        <w:rPr>
          <w:i/>
        </w:rPr>
        <w:t>Conciliation</w:t>
      </w:r>
      <w:r>
        <w:rPr>
          <w:i/>
          <w:spacing w:val="-7"/>
        </w:rPr>
        <w:t> </w:t>
      </w:r>
      <w:r>
        <w:rPr>
          <w:i/>
          <w:spacing w:val="-2"/>
        </w:rPr>
        <w:t>evaluation</w:t>
      </w:r>
    </w:p>
    <w:p>
      <w:pPr>
        <w:pStyle w:val="BodyText"/>
        <w:spacing w:line="243" w:lineRule="exact"/>
        <w:ind w:left="1337"/>
        <w:jc w:val="both"/>
      </w:pPr>
      <w:r>
        <w:rPr/>
        <w:t>The</w:t>
      </w:r>
      <w:r>
        <w:rPr>
          <w:spacing w:val="-2"/>
        </w:rPr>
        <w:t> </w:t>
      </w:r>
      <w:r>
        <w:rPr/>
        <w:t>two</w:t>
      </w:r>
      <w:r>
        <w:rPr>
          <w:spacing w:val="-3"/>
        </w:rPr>
        <w:t> </w:t>
      </w:r>
      <w:r>
        <w:rPr/>
        <w:t>surveys</w:t>
      </w:r>
      <w:r>
        <w:rPr>
          <w:spacing w:val="-2"/>
        </w:rPr>
        <w:t> were:</w:t>
      </w:r>
    </w:p>
    <w:p>
      <w:pPr>
        <w:pStyle w:val="ListParagraph"/>
        <w:numPr>
          <w:ilvl w:val="0"/>
          <w:numId w:val="6"/>
        </w:numPr>
        <w:tabs>
          <w:tab w:pos="2058" w:val="left" w:leader="none"/>
        </w:tabs>
        <w:spacing w:line="240" w:lineRule="auto" w:before="0" w:after="0"/>
        <w:ind w:left="2057" w:right="1473" w:hanging="360"/>
        <w:jc w:val="both"/>
        <w:rPr>
          <w:sz w:val="20"/>
        </w:rPr>
      </w:pPr>
      <w:r>
        <w:rPr>
          <w:sz w:val="20"/>
        </w:rPr>
        <w:t>A telephone survey of claimants (and their representatives) who had submitted an EC notification.</w:t>
      </w:r>
    </w:p>
    <w:p>
      <w:pPr>
        <w:pStyle w:val="ListParagraph"/>
        <w:numPr>
          <w:ilvl w:val="0"/>
          <w:numId w:val="6"/>
        </w:numPr>
        <w:tabs>
          <w:tab w:pos="2058" w:val="left" w:leader="none"/>
        </w:tabs>
        <w:spacing w:line="240" w:lineRule="auto" w:before="0" w:after="0"/>
        <w:ind w:left="2057" w:right="1474" w:hanging="360"/>
        <w:jc w:val="both"/>
        <w:rPr>
          <w:sz w:val="20"/>
        </w:rPr>
      </w:pPr>
      <w:r>
        <w:rPr>
          <w:sz w:val="20"/>
        </w:rPr>
        <w:t>A</w:t>
      </w:r>
      <w:r>
        <w:rPr>
          <w:spacing w:val="-2"/>
          <w:sz w:val="20"/>
        </w:rPr>
        <w:t> </w:t>
      </w:r>
      <w:r>
        <w:rPr>
          <w:sz w:val="20"/>
        </w:rPr>
        <w:t>telephone</w:t>
      </w:r>
      <w:r>
        <w:rPr>
          <w:spacing w:val="-4"/>
          <w:sz w:val="20"/>
        </w:rPr>
        <w:t> </w:t>
      </w:r>
      <w:r>
        <w:rPr>
          <w:sz w:val="20"/>
        </w:rPr>
        <w:t>survey</w:t>
      </w:r>
      <w:r>
        <w:rPr>
          <w:spacing w:val="-2"/>
          <w:sz w:val="20"/>
        </w:rPr>
        <w:t> </w:t>
      </w:r>
      <w:r>
        <w:rPr>
          <w:sz w:val="20"/>
        </w:rPr>
        <w:t>of</w:t>
      </w:r>
      <w:r>
        <w:rPr>
          <w:spacing w:val="-1"/>
          <w:sz w:val="20"/>
        </w:rPr>
        <w:t> </w:t>
      </w:r>
      <w:r>
        <w:rPr>
          <w:sz w:val="20"/>
        </w:rPr>
        <w:t>employers</w:t>
      </w:r>
      <w:r>
        <w:rPr>
          <w:spacing w:val="-2"/>
          <w:sz w:val="20"/>
        </w:rPr>
        <w:t> </w:t>
      </w:r>
      <w:r>
        <w:rPr>
          <w:sz w:val="20"/>
        </w:rPr>
        <w:t>(and</w:t>
      </w:r>
      <w:r>
        <w:rPr>
          <w:spacing w:val="-3"/>
          <w:sz w:val="20"/>
        </w:rPr>
        <w:t> </w:t>
      </w:r>
      <w:r>
        <w:rPr>
          <w:sz w:val="20"/>
        </w:rPr>
        <w:t>their</w:t>
      </w:r>
      <w:r>
        <w:rPr>
          <w:spacing w:val="-2"/>
          <w:sz w:val="20"/>
        </w:rPr>
        <w:t> </w:t>
      </w:r>
      <w:r>
        <w:rPr>
          <w:sz w:val="20"/>
        </w:rPr>
        <w:t>representatives)</w:t>
      </w:r>
      <w:r>
        <w:rPr>
          <w:spacing w:val="-3"/>
          <w:sz w:val="20"/>
        </w:rPr>
        <w:t> </w:t>
      </w:r>
      <w:r>
        <w:rPr>
          <w:sz w:val="20"/>
        </w:rPr>
        <w:t>who</w:t>
      </w:r>
      <w:r>
        <w:rPr>
          <w:spacing w:val="-3"/>
          <w:sz w:val="20"/>
        </w:rPr>
        <w:t> </w:t>
      </w:r>
      <w:r>
        <w:rPr>
          <w:sz w:val="20"/>
        </w:rPr>
        <w:t>had</w:t>
      </w:r>
      <w:r>
        <w:rPr>
          <w:spacing w:val="-4"/>
          <w:sz w:val="20"/>
        </w:rPr>
        <w:t> </w:t>
      </w:r>
      <w:r>
        <w:rPr>
          <w:sz w:val="20"/>
        </w:rPr>
        <w:t>been contacted by Acas about an EC notification that had been received about them, and who were offered EC.</w:t>
      </w:r>
    </w:p>
    <w:p>
      <w:pPr>
        <w:pStyle w:val="BodyText"/>
      </w:pPr>
    </w:p>
    <w:p>
      <w:pPr>
        <w:pStyle w:val="BodyText"/>
        <w:spacing w:before="1"/>
        <w:ind w:left="1336" w:right="1473"/>
        <w:jc w:val="both"/>
      </w:pPr>
      <w:r>
        <w:rPr/>
        <w:t>The sampling frame for both surveys was drawn from Acas records of EC notifications where EC had concluded and </w:t>
      </w:r>
      <w:r>
        <w:rPr>
          <w:i/>
        </w:rPr>
        <w:t>either </w:t>
      </w:r>
      <w:r>
        <w:rPr/>
        <w:t>a COT3 </w:t>
      </w:r>
      <w:r>
        <w:rPr>
          <w:i/>
        </w:rPr>
        <w:t>or </w:t>
      </w:r>
      <w:r>
        <w:rPr/>
        <w:t>Certificate had been issued</w:t>
      </w:r>
      <w:r>
        <w:rPr>
          <w:spacing w:val="-7"/>
        </w:rPr>
        <w:t> </w:t>
      </w:r>
      <w:r>
        <w:rPr/>
        <w:t>between</w:t>
      </w:r>
      <w:r>
        <w:rPr>
          <w:spacing w:val="-4"/>
        </w:rPr>
        <w:t> </w:t>
      </w:r>
      <w:r>
        <w:rPr/>
        <w:t>25</w:t>
      </w:r>
      <w:r>
        <w:rPr>
          <w:spacing w:val="-5"/>
        </w:rPr>
        <w:t> </w:t>
      </w:r>
      <w:r>
        <w:rPr/>
        <w:t>March</w:t>
      </w:r>
      <w:r>
        <w:rPr>
          <w:spacing w:val="-5"/>
        </w:rPr>
        <w:t> </w:t>
      </w:r>
      <w:r>
        <w:rPr/>
        <w:t>and</w:t>
      </w:r>
      <w:r>
        <w:rPr>
          <w:spacing w:val="-6"/>
        </w:rPr>
        <w:t> </w:t>
      </w:r>
      <w:r>
        <w:rPr/>
        <w:t>3</w:t>
      </w:r>
      <w:r>
        <w:rPr>
          <w:spacing w:val="-5"/>
        </w:rPr>
        <w:t> </w:t>
      </w:r>
      <w:r>
        <w:rPr/>
        <w:t>May</w:t>
      </w:r>
      <w:r>
        <w:rPr>
          <w:spacing w:val="-5"/>
        </w:rPr>
        <w:t> </w:t>
      </w:r>
      <w:r>
        <w:rPr/>
        <w:t>2019.</w:t>
      </w:r>
      <w:r>
        <w:rPr>
          <w:spacing w:val="-4"/>
        </w:rPr>
        <w:t> </w:t>
      </w:r>
      <w:r>
        <w:rPr/>
        <w:t>The</w:t>
      </w:r>
      <w:r>
        <w:rPr>
          <w:spacing w:val="-6"/>
        </w:rPr>
        <w:t> </w:t>
      </w:r>
      <w:r>
        <w:rPr/>
        <w:t>sampling</w:t>
      </w:r>
      <w:r>
        <w:rPr>
          <w:spacing w:val="-5"/>
        </w:rPr>
        <w:t> </w:t>
      </w:r>
      <w:r>
        <w:rPr/>
        <w:t>approach</w:t>
      </w:r>
      <w:r>
        <w:rPr>
          <w:spacing w:val="-4"/>
        </w:rPr>
        <w:t> </w:t>
      </w:r>
      <w:r>
        <w:rPr/>
        <w:t>was</w:t>
      </w:r>
      <w:r>
        <w:rPr>
          <w:spacing w:val="-4"/>
        </w:rPr>
        <w:t> </w:t>
      </w:r>
      <w:r>
        <w:rPr/>
        <w:t>as</w:t>
      </w:r>
      <w:r>
        <w:rPr>
          <w:spacing w:val="-4"/>
        </w:rPr>
        <w:t> </w:t>
      </w:r>
      <w:r>
        <w:rPr>
          <w:spacing w:val="-2"/>
        </w:rPr>
        <w:t>follows:</w:t>
      </w:r>
    </w:p>
    <w:p>
      <w:pPr>
        <w:pStyle w:val="BodyText"/>
        <w:spacing w:before="12"/>
        <w:rPr>
          <w:sz w:val="19"/>
        </w:rPr>
      </w:pPr>
    </w:p>
    <w:p>
      <w:pPr>
        <w:pStyle w:val="ListParagraph"/>
        <w:numPr>
          <w:ilvl w:val="1"/>
          <w:numId w:val="6"/>
        </w:numPr>
        <w:tabs>
          <w:tab w:pos="2057" w:val="left" w:leader="none"/>
        </w:tabs>
        <w:spacing w:line="240" w:lineRule="auto" w:before="0" w:after="0"/>
        <w:ind w:left="2056" w:right="1473" w:hanging="360"/>
        <w:jc w:val="both"/>
        <w:rPr>
          <w:sz w:val="20"/>
        </w:rPr>
      </w:pPr>
      <w:r>
        <w:rPr>
          <w:sz w:val="20"/>
        </w:rPr>
        <w:t>For the survey of claimants, a random stratified sample of claimants was drawn</w:t>
      </w:r>
      <w:r>
        <w:rPr>
          <w:spacing w:val="-18"/>
          <w:sz w:val="20"/>
        </w:rPr>
        <w:t> </w:t>
      </w:r>
      <w:r>
        <w:rPr>
          <w:sz w:val="20"/>
        </w:rPr>
        <w:t>from</w:t>
      </w:r>
      <w:r>
        <w:rPr>
          <w:spacing w:val="-18"/>
          <w:sz w:val="20"/>
        </w:rPr>
        <w:t> </w:t>
      </w:r>
      <w:r>
        <w:rPr>
          <w:sz w:val="20"/>
        </w:rPr>
        <w:t>all</w:t>
      </w:r>
      <w:r>
        <w:rPr>
          <w:spacing w:val="-17"/>
          <w:sz w:val="20"/>
        </w:rPr>
        <w:t> </w:t>
      </w:r>
      <w:r>
        <w:rPr>
          <w:sz w:val="20"/>
        </w:rPr>
        <w:t>cases</w:t>
      </w:r>
      <w:r>
        <w:rPr>
          <w:spacing w:val="-18"/>
          <w:sz w:val="20"/>
        </w:rPr>
        <w:t> </w:t>
      </w:r>
      <w:r>
        <w:rPr>
          <w:sz w:val="20"/>
        </w:rPr>
        <w:t>within</w:t>
      </w:r>
      <w:r>
        <w:rPr>
          <w:spacing w:val="-17"/>
          <w:sz w:val="20"/>
        </w:rPr>
        <w:t> </w:t>
      </w:r>
      <w:r>
        <w:rPr>
          <w:sz w:val="20"/>
        </w:rPr>
        <w:t>the</w:t>
      </w:r>
      <w:r>
        <w:rPr>
          <w:spacing w:val="-18"/>
          <w:sz w:val="20"/>
        </w:rPr>
        <w:t> </w:t>
      </w:r>
      <w:r>
        <w:rPr>
          <w:sz w:val="20"/>
        </w:rPr>
        <w:t>sample</w:t>
      </w:r>
      <w:r>
        <w:rPr>
          <w:spacing w:val="-18"/>
          <w:sz w:val="20"/>
        </w:rPr>
        <w:t> </w:t>
      </w:r>
      <w:r>
        <w:rPr>
          <w:sz w:val="20"/>
        </w:rPr>
        <w:t>frame.</w:t>
      </w:r>
      <w:r>
        <w:rPr>
          <w:spacing w:val="-17"/>
          <w:sz w:val="20"/>
        </w:rPr>
        <w:t> </w:t>
      </w:r>
      <w:r>
        <w:rPr>
          <w:sz w:val="20"/>
        </w:rPr>
        <w:t>For</w:t>
      </w:r>
      <w:r>
        <w:rPr>
          <w:spacing w:val="-18"/>
          <w:sz w:val="20"/>
        </w:rPr>
        <w:t> </w:t>
      </w:r>
      <w:r>
        <w:rPr>
          <w:sz w:val="20"/>
        </w:rPr>
        <w:t>selected</w:t>
      </w:r>
      <w:r>
        <w:rPr>
          <w:spacing w:val="-17"/>
          <w:sz w:val="20"/>
        </w:rPr>
        <w:t> </w:t>
      </w:r>
      <w:r>
        <w:rPr>
          <w:sz w:val="20"/>
        </w:rPr>
        <w:t>cases</w:t>
      </w:r>
      <w:r>
        <w:rPr>
          <w:spacing w:val="-18"/>
          <w:sz w:val="20"/>
        </w:rPr>
        <w:t> </w:t>
      </w:r>
      <w:r>
        <w:rPr>
          <w:sz w:val="20"/>
        </w:rPr>
        <w:t>which</w:t>
      </w:r>
      <w:r>
        <w:rPr>
          <w:spacing w:val="-17"/>
          <w:sz w:val="20"/>
        </w:rPr>
        <w:t> </w:t>
      </w:r>
      <w:r>
        <w:rPr>
          <w:sz w:val="20"/>
        </w:rPr>
        <w:t>were selected where a representative was listed as dealing with the case on the claimant’s behalf (according to Acas’ MI records), the claimant’s representatives was approached for the survey. In all cases where there was</w:t>
      </w:r>
      <w:r>
        <w:rPr>
          <w:spacing w:val="-14"/>
          <w:sz w:val="20"/>
        </w:rPr>
        <w:t> </w:t>
      </w:r>
      <w:r>
        <w:rPr>
          <w:sz w:val="20"/>
        </w:rPr>
        <w:t>no</w:t>
      </w:r>
      <w:r>
        <w:rPr>
          <w:spacing w:val="-13"/>
          <w:sz w:val="20"/>
        </w:rPr>
        <w:t> </w:t>
      </w:r>
      <w:r>
        <w:rPr>
          <w:sz w:val="20"/>
        </w:rPr>
        <w:t>representative,</w:t>
      </w:r>
      <w:r>
        <w:rPr>
          <w:spacing w:val="-13"/>
          <w:sz w:val="20"/>
        </w:rPr>
        <w:t> </w:t>
      </w:r>
      <w:r>
        <w:rPr>
          <w:sz w:val="20"/>
        </w:rPr>
        <w:t>the</w:t>
      </w:r>
      <w:r>
        <w:rPr>
          <w:spacing w:val="-13"/>
          <w:sz w:val="20"/>
        </w:rPr>
        <w:t> </w:t>
      </w:r>
      <w:r>
        <w:rPr>
          <w:sz w:val="20"/>
        </w:rPr>
        <w:t>claimant</w:t>
      </w:r>
      <w:r>
        <w:rPr>
          <w:spacing w:val="-12"/>
          <w:sz w:val="20"/>
        </w:rPr>
        <w:t> </w:t>
      </w:r>
      <w:r>
        <w:rPr>
          <w:sz w:val="20"/>
        </w:rPr>
        <w:t>was</w:t>
      </w:r>
      <w:r>
        <w:rPr>
          <w:spacing w:val="-13"/>
          <w:sz w:val="20"/>
        </w:rPr>
        <w:t> </w:t>
      </w:r>
      <w:r>
        <w:rPr>
          <w:sz w:val="20"/>
        </w:rPr>
        <w:t>approached</w:t>
      </w:r>
      <w:r>
        <w:rPr>
          <w:spacing w:val="-13"/>
          <w:sz w:val="20"/>
        </w:rPr>
        <w:t> </w:t>
      </w:r>
      <w:r>
        <w:rPr>
          <w:sz w:val="20"/>
        </w:rPr>
        <w:t>directly</w:t>
      </w:r>
      <w:r>
        <w:rPr>
          <w:spacing w:val="-12"/>
          <w:sz w:val="20"/>
        </w:rPr>
        <w:t> </w:t>
      </w:r>
      <w:r>
        <w:rPr>
          <w:sz w:val="20"/>
        </w:rPr>
        <w:t>for</w:t>
      </w:r>
      <w:r>
        <w:rPr>
          <w:spacing w:val="-13"/>
          <w:sz w:val="20"/>
        </w:rPr>
        <w:t> </w:t>
      </w:r>
      <w:r>
        <w:rPr>
          <w:sz w:val="20"/>
        </w:rPr>
        <w:t>the</w:t>
      </w:r>
      <w:r>
        <w:rPr>
          <w:spacing w:val="-13"/>
          <w:sz w:val="20"/>
        </w:rPr>
        <w:t> </w:t>
      </w:r>
      <w:r>
        <w:rPr>
          <w:sz w:val="20"/>
        </w:rPr>
        <w:t>survey.</w:t>
      </w:r>
    </w:p>
    <w:p>
      <w:pPr>
        <w:pStyle w:val="BodyText"/>
        <w:spacing w:before="11"/>
        <w:rPr>
          <w:sz w:val="19"/>
        </w:rPr>
      </w:pPr>
    </w:p>
    <w:p>
      <w:pPr>
        <w:pStyle w:val="ListParagraph"/>
        <w:numPr>
          <w:ilvl w:val="1"/>
          <w:numId w:val="6"/>
        </w:numPr>
        <w:tabs>
          <w:tab w:pos="2057" w:val="left" w:leader="none"/>
        </w:tabs>
        <w:spacing w:line="240" w:lineRule="auto" w:before="0" w:after="0"/>
        <w:ind w:left="2056" w:right="1474" w:hanging="360"/>
        <w:jc w:val="both"/>
        <w:rPr>
          <w:sz w:val="20"/>
        </w:rPr>
      </w:pPr>
      <w:r>
        <w:rPr>
          <w:sz w:val="20"/>
        </w:rPr>
        <w:t>For the survey of employers, a random stratified sample of employers was drawn</w:t>
      </w:r>
      <w:r>
        <w:rPr>
          <w:spacing w:val="-3"/>
          <w:sz w:val="20"/>
        </w:rPr>
        <w:t> </w:t>
      </w:r>
      <w:r>
        <w:rPr>
          <w:sz w:val="20"/>
        </w:rPr>
        <w:t>from</w:t>
      </w:r>
      <w:r>
        <w:rPr>
          <w:spacing w:val="-5"/>
          <w:sz w:val="20"/>
        </w:rPr>
        <w:t> </w:t>
      </w:r>
      <w:r>
        <w:rPr>
          <w:sz w:val="20"/>
        </w:rPr>
        <w:t>all</w:t>
      </w:r>
      <w:r>
        <w:rPr>
          <w:spacing w:val="-4"/>
          <w:sz w:val="20"/>
        </w:rPr>
        <w:t> </w:t>
      </w:r>
      <w:r>
        <w:rPr>
          <w:sz w:val="20"/>
        </w:rPr>
        <w:t>cases</w:t>
      </w:r>
      <w:r>
        <w:rPr>
          <w:spacing w:val="-3"/>
          <w:sz w:val="20"/>
        </w:rPr>
        <w:t> </w:t>
      </w:r>
      <w:r>
        <w:rPr>
          <w:sz w:val="20"/>
        </w:rPr>
        <w:t>in</w:t>
      </w:r>
      <w:r>
        <w:rPr>
          <w:spacing w:val="-2"/>
          <w:sz w:val="20"/>
        </w:rPr>
        <w:t> </w:t>
      </w:r>
      <w:r>
        <w:rPr>
          <w:sz w:val="20"/>
        </w:rPr>
        <w:t>which</w:t>
      </w:r>
      <w:r>
        <w:rPr>
          <w:spacing w:val="-3"/>
          <w:sz w:val="20"/>
        </w:rPr>
        <w:t> </w:t>
      </w:r>
      <w:r>
        <w:rPr>
          <w:sz w:val="20"/>
        </w:rPr>
        <w:t>an</w:t>
      </w:r>
      <w:r>
        <w:rPr>
          <w:spacing w:val="-3"/>
          <w:sz w:val="20"/>
        </w:rPr>
        <w:t> </w:t>
      </w:r>
      <w:r>
        <w:rPr>
          <w:sz w:val="20"/>
        </w:rPr>
        <w:t>employer</w:t>
      </w:r>
      <w:r>
        <w:rPr>
          <w:spacing w:val="-4"/>
          <w:sz w:val="20"/>
        </w:rPr>
        <w:t> </w:t>
      </w:r>
      <w:r>
        <w:rPr>
          <w:sz w:val="20"/>
        </w:rPr>
        <w:t>would</w:t>
      </w:r>
      <w:r>
        <w:rPr>
          <w:spacing w:val="-3"/>
          <w:sz w:val="20"/>
        </w:rPr>
        <w:t> </w:t>
      </w:r>
      <w:r>
        <w:rPr>
          <w:sz w:val="20"/>
        </w:rPr>
        <w:t>have</w:t>
      </w:r>
      <w:r>
        <w:rPr>
          <w:spacing w:val="-4"/>
          <w:sz w:val="20"/>
        </w:rPr>
        <w:t> </w:t>
      </w:r>
      <w:r>
        <w:rPr>
          <w:sz w:val="20"/>
        </w:rPr>
        <w:t>been</w:t>
      </w:r>
      <w:r>
        <w:rPr>
          <w:spacing w:val="-3"/>
          <w:sz w:val="20"/>
        </w:rPr>
        <w:t> </w:t>
      </w:r>
      <w:r>
        <w:rPr>
          <w:sz w:val="20"/>
        </w:rPr>
        <w:t>aware</w:t>
      </w:r>
      <w:r>
        <w:rPr>
          <w:spacing w:val="-4"/>
          <w:sz w:val="20"/>
        </w:rPr>
        <w:t> </w:t>
      </w:r>
      <w:r>
        <w:rPr>
          <w:sz w:val="20"/>
        </w:rPr>
        <w:t>than</w:t>
      </w:r>
      <w:r>
        <w:rPr>
          <w:spacing w:val="-3"/>
          <w:sz w:val="20"/>
        </w:rPr>
        <w:t> </w:t>
      </w:r>
      <w:r>
        <w:rPr>
          <w:sz w:val="20"/>
        </w:rPr>
        <w:t>an EC</w:t>
      </w:r>
      <w:r>
        <w:rPr>
          <w:spacing w:val="-4"/>
          <w:sz w:val="20"/>
        </w:rPr>
        <w:t> </w:t>
      </w:r>
      <w:r>
        <w:rPr>
          <w:sz w:val="20"/>
        </w:rPr>
        <w:t>notification</w:t>
      </w:r>
      <w:r>
        <w:rPr>
          <w:spacing w:val="-3"/>
          <w:sz w:val="20"/>
        </w:rPr>
        <w:t> </w:t>
      </w:r>
      <w:r>
        <w:rPr>
          <w:sz w:val="20"/>
        </w:rPr>
        <w:t>had</w:t>
      </w:r>
      <w:r>
        <w:rPr>
          <w:spacing w:val="-3"/>
          <w:sz w:val="20"/>
        </w:rPr>
        <w:t> </w:t>
      </w:r>
      <w:r>
        <w:rPr>
          <w:sz w:val="20"/>
        </w:rPr>
        <w:t>been</w:t>
      </w:r>
      <w:r>
        <w:rPr>
          <w:spacing w:val="-1"/>
          <w:sz w:val="20"/>
        </w:rPr>
        <w:t> </w:t>
      </w:r>
      <w:r>
        <w:rPr>
          <w:sz w:val="20"/>
        </w:rPr>
        <w:t>submitted</w:t>
      </w:r>
      <w:r>
        <w:rPr>
          <w:spacing w:val="-3"/>
          <w:sz w:val="20"/>
        </w:rPr>
        <w:t> </w:t>
      </w:r>
      <w:r>
        <w:rPr>
          <w:sz w:val="20"/>
        </w:rPr>
        <w:t>about</w:t>
      </w:r>
      <w:r>
        <w:rPr>
          <w:spacing w:val="-3"/>
          <w:sz w:val="20"/>
        </w:rPr>
        <w:t> </w:t>
      </w:r>
      <w:r>
        <w:rPr>
          <w:sz w:val="20"/>
        </w:rPr>
        <w:t>them.</w:t>
      </w:r>
      <w:r>
        <w:rPr>
          <w:spacing w:val="-2"/>
          <w:sz w:val="20"/>
        </w:rPr>
        <w:t> </w:t>
      </w:r>
      <w:r>
        <w:rPr>
          <w:sz w:val="20"/>
        </w:rPr>
        <w:t>Again,</w:t>
      </w:r>
      <w:r>
        <w:rPr>
          <w:spacing w:val="-4"/>
          <w:sz w:val="20"/>
        </w:rPr>
        <w:t> </w:t>
      </w:r>
      <w:r>
        <w:rPr>
          <w:sz w:val="20"/>
        </w:rPr>
        <w:t>where</w:t>
      </w:r>
      <w:r>
        <w:rPr>
          <w:spacing w:val="-2"/>
          <w:sz w:val="20"/>
        </w:rPr>
        <w:t> </w:t>
      </w:r>
      <w:r>
        <w:rPr>
          <w:sz w:val="20"/>
        </w:rPr>
        <w:t>recorded</w:t>
      </w:r>
      <w:r>
        <w:rPr>
          <w:spacing w:val="-2"/>
          <w:sz w:val="20"/>
        </w:rPr>
        <w:t> </w:t>
      </w:r>
      <w:r>
        <w:rPr>
          <w:sz w:val="20"/>
        </w:rPr>
        <w:t>(on Acas’</w:t>
      </w:r>
      <w:r>
        <w:rPr>
          <w:spacing w:val="-14"/>
          <w:sz w:val="20"/>
        </w:rPr>
        <w:t> </w:t>
      </w:r>
      <w:r>
        <w:rPr>
          <w:sz w:val="20"/>
        </w:rPr>
        <w:t>MI</w:t>
      </w:r>
      <w:r>
        <w:rPr>
          <w:spacing w:val="-14"/>
          <w:sz w:val="20"/>
        </w:rPr>
        <w:t> </w:t>
      </w:r>
      <w:r>
        <w:rPr>
          <w:sz w:val="20"/>
        </w:rPr>
        <w:t>records),</w:t>
      </w:r>
      <w:r>
        <w:rPr>
          <w:spacing w:val="-14"/>
          <w:sz w:val="20"/>
        </w:rPr>
        <w:t> </w:t>
      </w:r>
      <w:r>
        <w:rPr>
          <w:sz w:val="20"/>
        </w:rPr>
        <w:t>the</w:t>
      </w:r>
      <w:r>
        <w:rPr>
          <w:spacing w:val="-14"/>
          <w:sz w:val="20"/>
        </w:rPr>
        <w:t> </w:t>
      </w:r>
      <w:r>
        <w:rPr>
          <w:sz w:val="20"/>
        </w:rPr>
        <w:t>representative</w:t>
      </w:r>
      <w:r>
        <w:rPr>
          <w:spacing w:val="-14"/>
          <w:sz w:val="20"/>
        </w:rPr>
        <w:t> </w:t>
      </w:r>
      <w:r>
        <w:rPr>
          <w:sz w:val="20"/>
        </w:rPr>
        <w:t>was</w:t>
      </w:r>
      <w:r>
        <w:rPr>
          <w:spacing w:val="-14"/>
          <w:sz w:val="20"/>
        </w:rPr>
        <w:t> </w:t>
      </w:r>
      <w:r>
        <w:rPr>
          <w:sz w:val="20"/>
        </w:rPr>
        <w:t>approached.</w:t>
      </w:r>
      <w:r>
        <w:rPr>
          <w:spacing w:val="-13"/>
          <w:sz w:val="20"/>
        </w:rPr>
        <w:t> </w:t>
      </w:r>
      <w:r>
        <w:rPr>
          <w:sz w:val="20"/>
        </w:rPr>
        <w:t>An</w:t>
      </w:r>
      <w:r>
        <w:rPr>
          <w:spacing w:val="-15"/>
          <w:sz w:val="20"/>
        </w:rPr>
        <w:t> </w:t>
      </w:r>
      <w:r>
        <w:rPr>
          <w:sz w:val="20"/>
        </w:rPr>
        <w:t>overview</w:t>
      </w:r>
      <w:r>
        <w:rPr>
          <w:spacing w:val="-13"/>
          <w:sz w:val="20"/>
        </w:rPr>
        <w:t> </w:t>
      </w:r>
      <w:r>
        <w:rPr>
          <w:sz w:val="20"/>
        </w:rPr>
        <w:t>of</w:t>
      </w:r>
      <w:r>
        <w:rPr>
          <w:spacing w:val="-14"/>
          <w:sz w:val="20"/>
        </w:rPr>
        <w:t> </w:t>
      </w:r>
      <w:r>
        <w:rPr>
          <w:sz w:val="20"/>
        </w:rPr>
        <w:t>these cases is shown in Table 1 below.</w:t>
      </w:r>
    </w:p>
    <w:p>
      <w:pPr>
        <w:pStyle w:val="BodyText"/>
        <w:spacing w:before="10"/>
        <w:rPr>
          <w:sz w:val="19"/>
        </w:rPr>
      </w:pPr>
    </w:p>
    <w:p>
      <w:pPr>
        <w:pStyle w:val="Heading3"/>
        <w:ind w:left="1336"/>
      </w:pPr>
      <w:r>
        <w:rPr/>
        <w:t>Table</w:t>
      </w:r>
      <w:r>
        <w:rPr>
          <w:spacing w:val="-6"/>
        </w:rPr>
        <w:t> </w:t>
      </w:r>
      <w:r>
        <w:rPr/>
        <w:t>1.</w:t>
      </w:r>
      <w:r>
        <w:rPr>
          <w:spacing w:val="-5"/>
        </w:rPr>
        <w:t> </w:t>
      </w:r>
      <w:r>
        <w:rPr/>
        <w:t>Overview</w:t>
      </w:r>
      <w:r>
        <w:rPr>
          <w:spacing w:val="-3"/>
        </w:rPr>
        <w:t> </w:t>
      </w:r>
      <w:r>
        <w:rPr/>
        <w:t>of</w:t>
      </w:r>
      <w:r>
        <w:rPr>
          <w:spacing w:val="-4"/>
        </w:rPr>
        <w:t> </w:t>
      </w:r>
      <w:r>
        <w:rPr/>
        <w:t>EC</w:t>
      </w:r>
      <w:r>
        <w:rPr>
          <w:spacing w:val="-2"/>
        </w:rPr>
        <w:t> </w:t>
      </w:r>
      <w:r>
        <w:rPr/>
        <w:t>case</w:t>
      </w:r>
      <w:r>
        <w:rPr>
          <w:spacing w:val="-3"/>
        </w:rPr>
        <w:t> </w:t>
      </w:r>
      <w:r>
        <w:rPr/>
        <w:t>outcomes</w:t>
      </w:r>
      <w:r>
        <w:rPr>
          <w:spacing w:val="-4"/>
        </w:rPr>
        <w:t> </w:t>
      </w:r>
      <w:r>
        <w:rPr/>
        <w:t>eligible</w:t>
      </w:r>
      <w:r>
        <w:rPr>
          <w:spacing w:val="-4"/>
        </w:rPr>
        <w:t> </w:t>
      </w:r>
      <w:r>
        <w:rPr/>
        <w:t>for</w:t>
      </w:r>
      <w:r>
        <w:rPr>
          <w:spacing w:val="-3"/>
        </w:rPr>
        <w:t> </w:t>
      </w:r>
      <w:r>
        <w:rPr/>
        <w:t>each</w:t>
      </w:r>
      <w:r>
        <w:rPr>
          <w:spacing w:val="-3"/>
        </w:rPr>
        <w:t> </w:t>
      </w:r>
      <w:r>
        <w:rPr>
          <w:spacing w:val="-2"/>
        </w:rPr>
        <w:t>survey</w:t>
      </w:r>
    </w:p>
    <w:tbl>
      <w:tblPr>
        <w:tblW w:w="0" w:type="auto"/>
        <w:jc w:val="left"/>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2310"/>
        <w:gridCol w:w="2311"/>
      </w:tblGrid>
      <w:tr>
        <w:trPr>
          <w:trHeight w:val="729" w:hRule="atLeast"/>
        </w:trPr>
        <w:tc>
          <w:tcPr>
            <w:tcW w:w="3682" w:type="dxa"/>
          </w:tcPr>
          <w:p>
            <w:pPr>
              <w:pStyle w:val="TableParagraph"/>
              <w:ind w:left="107"/>
              <w:rPr>
                <w:b/>
                <w:sz w:val="20"/>
              </w:rPr>
            </w:pPr>
            <w:r>
              <w:rPr>
                <w:b/>
                <w:sz w:val="20"/>
              </w:rPr>
              <w:t>EC</w:t>
            </w:r>
            <w:r>
              <w:rPr>
                <w:b/>
                <w:spacing w:val="-1"/>
                <w:sz w:val="20"/>
              </w:rPr>
              <w:t> </w:t>
            </w:r>
            <w:r>
              <w:rPr>
                <w:b/>
                <w:spacing w:val="-2"/>
                <w:sz w:val="20"/>
              </w:rPr>
              <w:t>Outcome</w:t>
            </w:r>
          </w:p>
        </w:tc>
        <w:tc>
          <w:tcPr>
            <w:tcW w:w="2310" w:type="dxa"/>
          </w:tcPr>
          <w:p>
            <w:pPr>
              <w:pStyle w:val="TableParagraph"/>
              <w:ind w:left="267" w:firstLine="280"/>
              <w:rPr>
                <w:b/>
                <w:sz w:val="20"/>
              </w:rPr>
            </w:pPr>
            <w:r>
              <w:rPr>
                <w:b/>
                <w:spacing w:val="-2"/>
                <w:sz w:val="20"/>
              </w:rPr>
              <w:t>Potentially</w:t>
            </w:r>
          </w:p>
          <w:p>
            <w:pPr>
              <w:pStyle w:val="TableParagraph"/>
              <w:spacing w:line="242" w:lineRule="exact"/>
              <w:ind w:left="258" w:firstLine="8"/>
              <w:rPr>
                <w:b/>
                <w:sz w:val="20"/>
              </w:rPr>
            </w:pPr>
            <w:r>
              <w:rPr>
                <w:b/>
                <w:sz w:val="20"/>
              </w:rPr>
              <w:t>sampled</w:t>
            </w:r>
            <w:r>
              <w:rPr>
                <w:b/>
                <w:spacing w:val="-13"/>
                <w:sz w:val="20"/>
              </w:rPr>
              <w:t> </w:t>
            </w:r>
            <w:r>
              <w:rPr>
                <w:b/>
                <w:sz w:val="20"/>
              </w:rPr>
              <w:t>for</w:t>
            </w:r>
            <w:r>
              <w:rPr>
                <w:b/>
                <w:spacing w:val="-13"/>
                <w:sz w:val="20"/>
              </w:rPr>
              <w:t> </w:t>
            </w:r>
            <w:r>
              <w:rPr>
                <w:b/>
                <w:sz w:val="20"/>
              </w:rPr>
              <w:t>the claimant</w:t>
            </w:r>
            <w:r>
              <w:rPr>
                <w:b/>
                <w:spacing w:val="-7"/>
                <w:sz w:val="20"/>
              </w:rPr>
              <w:t> </w:t>
            </w:r>
            <w:r>
              <w:rPr>
                <w:b/>
                <w:spacing w:val="-2"/>
                <w:sz w:val="20"/>
              </w:rPr>
              <w:t>survey</w:t>
            </w:r>
          </w:p>
        </w:tc>
        <w:tc>
          <w:tcPr>
            <w:tcW w:w="2311" w:type="dxa"/>
          </w:tcPr>
          <w:p>
            <w:pPr>
              <w:pStyle w:val="TableParagraph"/>
              <w:ind w:left="268" w:firstLine="279"/>
              <w:rPr>
                <w:b/>
                <w:sz w:val="20"/>
              </w:rPr>
            </w:pPr>
            <w:r>
              <w:rPr>
                <w:b/>
                <w:spacing w:val="-2"/>
                <w:sz w:val="20"/>
              </w:rPr>
              <w:t>Potentially</w:t>
            </w:r>
          </w:p>
          <w:p>
            <w:pPr>
              <w:pStyle w:val="TableParagraph"/>
              <w:spacing w:line="242" w:lineRule="exact"/>
              <w:ind w:left="216" w:firstLine="51"/>
              <w:rPr>
                <w:b/>
                <w:sz w:val="20"/>
              </w:rPr>
            </w:pPr>
            <w:r>
              <w:rPr>
                <w:b/>
                <w:sz w:val="20"/>
              </w:rPr>
              <w:t>sampled for the employer</w:t>
            </w:r>
            <w:r>
              <w:rPr>
                <w:b/>
                <w:spacing w:val="-5"/>
                <w:sz w:val="20"/>
              </w:rPr>
              <w:t> </w:t>
            </w:r>
            <w:r>
              <w:rPr>
                <w:b/>
                <w:spacing w:val="-2"/>
                <w:sz w:val="20"/>
              </w:rPr>
              <w:t>survey</w:t>
            </w:r>
          </w:p>
        </w:tc>
      </w:tr>
      <w:tr>
        <w:trPr>
          <w:trHeight w:val="972" w:hRule="atLeast"/>
        </w:trPr>
        <w:tc>
          <w:tcPr>
            <w:tcW w:w="3682" w:type="dxa"/>
          </w:tcPr>
          <w:p>
            <w:pPr>
              <w:pStyle w:val="TableParagraph"/>
              <w:ind w:left="107" w:right="33"/>
              <w:rPr>
                <w:b/>
                <w:sz w:val="20"/>
              </w:rPr>
            </w:pPr>
            <w:r>
              <w:rPr>
                <w:b/>
                <w:sz w:val="20"/>
              </w:rPr>
              <w:t>Claimant would not engage with</w:t>
            </w:r>
            <w:r>
              <w:rPr>
                <w:b/>
                <w:spacing w:val="-7"/>
                <w:sz w:val="20"/>
              </w:rPr>
              <w:t> </w:t>
            </w:r>
            <w:r>
              <w:rPr>
                <w:b/>
                <w:sz w:val="20"/>
              </w:rPr>
              <w:t>EC</w:t>
            </w:r>
            <w:r>
              <w:rPr>
                <w:b/>
                <w:spacing w:val="-7"/>
                <w:sz w:val="20"/>
              </w:rPr>
              <w:t> </w:t>
            </w:r>
            <w:r>
              <w:rPr>
                <w:b/>
                <w:sz w:val="20"/>
              </w:rPr>
              <w:t>–</w:t>
            </w:r>
            <w:r>
              <w:rPr>
                <w:b/>
                <w:spacing w:val="-8"/>
                <w:sz w:val="20"/>
              </w:rPr>
              <w:t> </w:t>
            </w:r>
            <w:r>
              <w:rPr>
                <w:b/>
                <w:sz w:val="20"/>
              </w:rPr>
              <w:t>certificate</w:t>
            </w:r>
            <w:r>
              <w:rPr>
                <w:b/>
                <w:spacing w:val="-8"/>
                <w:sz w:val="20"/>
              </w:rPr>
              <w:t> </w:t>
            </w:r>
            <w:r>
              <w:rPr>
                <w:b/>
                <w:sz w:val="20"/>
              </w:rPr>
              <w:t>issues</w:t>
            </w:r>
            <w:r>
              <w:rPr>
                <w:b/>
                <w:spacing w:val="-8"/>
                <w:sz w:val="20"/>
              </w:rPr>
              <w:t> </w:t>
            </w:r>
            <w:r>
              <w:rPr>
                <w:b/>
                <w:sz w:val="20"/>
              </w:rPr>
              <w:t>by</w:t>
            </w:r>
          </w:p>
          <w:p>
            <w:pPr>
              <w:pStyle w:val="TableParagraph"/>
              <w:spacing w:line="244" w:lineRule="exact"/>
              <w:ind w:left="107"/>
              <w:rPr>
                <w:b/>
                <w:sz w:val="20"/>
              </w:rPr>
            </w:pPr>
            <w:r>
              <w:rPr>
                <w:b/>
                <w:sz w:val="20"/>
              </w:rPr>
              <w:t>ECSO</w:t>
            </w:r>
            <w:r>
              <w:rPr>
                <w:b/>
                <w:spacing w:val="-14"/>
                <w:sz w:val="20"/>
              </w:rPr>
              <w:t> </w:t>
            </w:r>
            <w:r>
              <w:rPr>
                <w:b/>
                <w:sz w:val="20"/>
              </w:rPr>
              <w:t>no</w:t>
            </w:r>
            <w:r>
              <w:rPr>
                <w:b/>
                <w:spacing w:val="-12"/>
                <w:sz w:val="20"/>
              </w:rPr>
              <w:t> </w:t>
            </w:r>
            <w:r>
              <w:rPr>
                <w:b/>
                <w:sz w:val="20"/>
              </w:rPr>
              <w:t>contact</w:t>
            </w:r>
            <w:r>
              <w:rPr>
                <w:b/>
                <w:spacing w:val="-13"/>
                <w:sz w:val="20"/>
              </w:rPr>
              <w:t> </w:t>
            </w:r>
            <w:r>
              <w:rPr>
                <w:b/>
                <w:sz w:val="20"/>
              </w:rPr>
              <w:t>with </w:t>
            </w:r>
            <w:r>
              <w:rPr>
                <w:b/>
                <w:spacing w:val="-2"/>
                <w:sz w:val="20"/>
              </w:rPr>
              <w:t>respondent)</w:t>
            </w:r>
          </w:p>
        </w:tc>
        <w:tc>
          <w:tcPr>
            <w:tcW w:w="2310" w:type="dxa"/>
          </w:tcPr>
          <w:p>
            <w:pPr>
              <w:pStyle w:val="TableParagraph"/>
              <w:ind w:left="966" w:right="961"/>
              <w:jc w:val="center"/>
              <w:rPr>
                <w:sz w:val="20"/>
              </w:rPr>
            </w:pPr>
            <w:r>
              <w:rPr>
                <w:spacing w:val="-5"/>
                <w:sz w:val="20"/>
              </w:rPr>
              <w:t>Yes</w:t>
            </w:r>
          </w:p>
        </w:tc>
        <w:tc>
          <w:tcPr>
            <w:tcW w:w="2311" w:type="dxa"/>
          </w:tcPr>
          <w:p>
            <w:pPr>
              <w:pStyle w:val="TableParagraph"/>
              <w:ind w:right="1009"/>
              <w:jc w:val="right"/>
              <w:rPr>
                <w:sz w:val="20"/>
              </w:rPr>
            </w:pPr>
            <w:r>
              <w:rPr>
                <w:spacing w:val="-5"/>
                <w:sz w:val="20"/>
              </w:rPr>
              <w:t>No</w:t>
            </w:r>
          </w:p>
        </w:tc>
      </w:tr>
      <w:tr>
        <w:trPr>
          <w:trHeight w:val="1214" w:hRule="atLeast"/>
        </w:trPr>
        <w:tc>
          <w:tcPr>
            <w:tcW w:w="3682" w:type="dxa"/>
          </w:tcPr>
          <w:p>
            <w:pPr>
              <w:pStyle w:val="TableParagraph"/>
              <w:ind w:left="107" w:right="33"/>
              <w:rPr>
                <w:b/>
                <w:sz w:val="20"/>
              </w:rPr>
            </w:pPr>
            <w:r>
              <w:rPr>
                <w:b/>
                <w:sz w:val="20"/>
              </w:rPr>
              <w:t>Claimant could not be contacted by conciliator – certificate issued by</w:t>
            </w:r>
          </w:p>
          <w:p>
            <w:pPr>
              <w:pStyle w:val="TableParagraph"/>
              <w:spacing w:line="242" w:lineRule="exact"/>
              <w:ind w:left="107"/>
              <w:rPr>
                <w:b/>
                <w:sz w:val="20"/>
              </w:rPr>
            </w:pPr>
            <w:r>
              <w:rPr>
                <w:b/>
                <w:sz w:val="20"/>
              </w:rPr>
              <w:t>conciliator</w:t>
            </w:r>
            <w:r>
              <w:rPr>
                <w:b/>
                <w:spacing w:val="-13"/>
                <w:sz w:val="20"/>
              </w:rPr>
              <w:t> </w:t>
            </w:r>
            <w:r>
              <w:rPr>
                <w:b/>
                <w:sz w:val="20"/>
              </w:rPr>
              <w:t>(no</w:t>
            </w:r>
            <w:r>
              <w:rPr>
                <w:b/>
                <w:spacing w:val="-11"/>
                <w:sz w:val="20"/>
              </w:rPr>
              <w:t> </w:t>
            </w:r>
            <w:r>
              <w:rPr>
                <w:b/>
                <w:sz w:val="20"/>
              </w:rPr>
              <w:t>contact</w:t>
            </w:r>
            <w:r>
              <w:rPr>
                <w:b/>
                <w:spacing w:val="-12"/>
                <w:sz w:val="20"/>
              </w:rPr>
              <w:t> </w:t>
            </w:r>
            <w:r>
              <w:rPr>
                <w:b/>
                <w:sz w:val="20"/>
              </w:rPr>
              <w:t>with </w:t>
            </w:r>
            <w:r>
              <w:rPr>
                <w:b/>
                <w:spacing w:val="-2"/>
                <w:sz w:val="20"/>
              </w:rPr>
              <w:t>respondent)</w:t>
            </w:r>
          </w:p>
        </w:tc>
        <w:tc>
          <w:tcPr>
            <w:tcW w:w="2310" w:type="dxa"/>
          </w:tcPr>
          <w:p>
            <w:pPr>
              <w:pStyle w:val="TableParagraph"/>
              <w:spacing w:line="242" w:lineRule="exact"/>
              <w:ind w:left="966" w:right="961"/>
              <w:jc w:val="center"/>
              <w:rPr>
                <w:sz w:val="20"/>
              </w:rPr>
            </w:pPr>
            <w:r>
              <w:rPr>
                <w:spacing w:val="-5"/>
                <w:sz w:val="20"/>
              </w:rPr>
              <w:t>Yes</w:t>
            </w:r>
          </w:p>
        </w:tc>
        <w:tc>
          <w:tcPr>
            <w:tcW w:w="2311" w:type="dxa"/>
          </w:tcPr>
          <w:p>
            <w:pPr>
              <w:pStyle w:val="TableParagraph"/>
              <w:spacing w:line="242" w:lineRule="exact"/>
              <w:ind w:right="1009"/>
              <w:jc w:val="right"/>
              <w:rPr>
                <w:sz w:val="20"/>
              </w:rPr>
            </w:pPr>
            <w:r>
              <w:rPr>
                <w:spacing w:val="-5"/>
                <w:sz w:val="20"/>
              </w:rPr>
              <w:t>No</w:t>
            </w:r>
          </w:p>
        </w:tc>
      </w:tr>
      <w:tr>
        <w:trPr>
          <w:trHeight w:val="729" w:hRule="atLeast"/>
        </w:trPr>
        <w:tc>
          <w:tcPr>
            <w:tcW w:w="3682" w:type="dxa"/>
          </w:tcPr>
          <w:p>
            <w:pPr>
              <w:pStyle w:val="TableParagraph"/>
              <w:ind w:left="107"/>
              <w:rPr>
                <w:b/>
                <w:sz w:val="20"/>
              </w:rPr>
            </w:pPr>
            <w:r>
              <w:rPr>
                <w:b/>
                <w:sz w:val="20"/>
              </w:rPr>
              <w:t>Claimant</w:t>
            </w:r>
            <w:r>
              <w:rPr>
                <w:b/>
                <w:spacing w:val="-5"/>
                <w:sz w:val="20"/>
              </w:rPr>
              <w:t> </w:t>
            </w:r>
            <w:r>
              <w:rPr>
                <w:b/>
                <w:sz w:val="20"/>
              </w:rPr>
              <w:t>would</w:t>
            </w:r>
            <w:r>
              <w:rPr>
                <w:b/>
                <w:spacing w:val="-3"/>
                <w:sz w:val="20"/>
              </w:rPr>
              <w:t> </w:t>
            </w:r>
            <w:r>
              <w:rPr>
                <w:b/>
                <w:sz w:val="20"/>
              </w:rPr>
              <w:t>not</w:t>
            </w:r>
            <w:r>
              <w:rPr>
                <w:b/>
                <w:spacing w:val="-4"/>
                <w:sz w:val="20"/>
              </w:rPr>
              <w:t> </w:t>
            </w:r>
            <w:r>
              <w:rPr>
                <w:b/>
                <w:spacing w:val="-2"/>
                <w:sz w:val="20"/>
              </w:rPr>
              <w:t>engage</w:t>
            </w:r>
          </w:p>
          <w:p>
            <w:pPr>
              <w:pStyle w:val="TableParagraph"/>
              <w:spacing w:line="242" w:lineRule="exact"/>
              <w:ind w:left="107"/>
              <w:rPr>
                <w:b/>
                <w:sz w:val="20"/>
              </w:rPr>
            </w:pPr>
            <w:r>
              <w:rPr>
                <w:b/>
                <w:sz w:val="20"/>
              </w:rPr>
              <w:t>with</w:t>
            </w:r>
            <w:r>
              <w:rPr>
                <w:b/>
                <w:spacing w:val="-7"/>
                <w:sz w:val="20"/>
              </w:rPr>
              <w:t> </w:t>
            </w:r>
            <w:r>
              <w:rPr>
                <w:b/>
                <w:sz w:val="20"/>
              </w:rPr>
              <w:t>EC</w:t>
            </w:r>
            <w:r>
              <w:rPr>
                <w:b/>
                <w:spacing w:val="-7"/>
                <w:sz w:val="20"/>
              </w:rPr>
              <w:t> </w:t>
            </w:r>
            <w:r>
              <w:rPr>
                <w:b/>
                <w:sz w:val="20"/>
              </w:rPr>
              <w:t>–</w:t>
            </w:r>
            <w:r>
              <w:rPr>
                <w:b/>
                <w:spacing w:val="-8"/>
                <w:sz w:val="20"/>
              </w:rPr>
              <w:t> </w:t>
            </w:r>
            <w:r>
              <w:rPr>
                <w:b/>
                <w:sz w:val="20"/>
              </w:rPr>
              <w:t>certificate</w:t>
            </w:r>
            <w:r>
              <w:rPr>
                <w:b/>
                <w:spacing w:val="-9"/>
                <w:sz w:val="20"/>
              </w:rPr>
              <w:t> </w:t>
            </w:r>
            <w:r>
              <w:rPr>
                <w:b/>
                <w:sz w:val="20"/>
              </w:rPr>
              <w:t>issued</w:t>
            </w:r>
            <w:r>
              <w:rPr>
                <w:b/>
                <w:spacing w:val="-8"/>
                <w:sz w:val="20"/>
              </w:rPr>
              <w:t> </w:t>
            </w:r>
            <w:r>
              <w:rPr>
                <w:b/>
                <w:sz w:val="20"/>
              </w:rPr>
              <w:t>by </w:t>
            </w:r>
            <w:r>
              <w:rPr>
                <w:b/>
                <w:spacing w:val="-2"/>
                <w:sz w:val="20"/>
              </w:rPr>
              <w:t>conciliator</w:t>
            </w:r>
          </w:p>
        </w:tc>
        <w:tc>
          <w:tcPr>
            <w:tcW w:w="2310" w:type="dxa"/>
          </w:tcPr>
          <w:p>
            <w:pPr>
              <w:pStyle w:val="TableParagraph"/>
              <w:ind w:left="966" w:right="961"/>
              <w:jc w:val="center"/>
              <w:rPr>
                <w:sz w:val="20"/>
              </w:rPr>
            </w:pPr>
            <w:r>
              <w:rPr>
                <w:spacing w:val="-5"/>
                <w:sz w:val="20"/>
              </w:rPr>
              <w:t>Yes</w:t>
            </w:r>
          </w:p>
        </w:tc>
        <w:tc>
          <w:tcPr>
            <w:tcW w:w="2311" w:type="dxa"/>
          </w:tcPr>
          <w:p>
            <w:pPr>
              <w:pStyle w:val="TableParagraph"/>
              <w:ind w:right="1009"/>
              <w:jc w:val="right"/>
              <w:rPr>
                <w:sz w:val="20"/>
              </w:rPr>
            </w:pPr>
            <w:r>
              <w:rPr>
                <w:spacing w:val="-5"/>
                <w:sz w:val="20"/>
              </w:rPr>
              <w:t>No</w:t>
            </w:r>
          </w:p>
        </w:tc>
      </w:tr>
      <w:tr>
        <w:trPr>
          <w:trHeight w:val="972" w:hRule="atLeast"/>
        </w:trPr>
        <w:tc>
          <w:tcPr>
            <w:tcW w:w="3682" w:type="dxa"/>
          </w:tcPr>
          <w:p>
            <w:pPr>
              <w:pStyle w:val="TableParagraph"/>
              <w:ind w:left="107"/>
              <w:rPr>
                <w:b/>
                <w:sz w:val="20"/>
              </w:rPr>
            </w:pPr>
            <w:r>
              <w:rPr>
                <w:b/>
                <w:sz w:val="20"/>
              </w:rPr>
              <w:t>Respondent could not be contacted/would not engage</w:t>
            </w:r>
          </w:p>
          <w:p>
            <w:pPr>
              <w:pStyle w:val="TableParagraph"/>
              <w:spacing w:line="244" w:lineRule="exact"/>
              <w:ind w:left="107"/>
              <w:rPr>
                <w:b/>
                <w:sz w:val="20"/>
              </w:rPr>
            </w:pPr>
            <w:r>
              <w:rPr>
                <w:b/>
                <w:sz w:val="20"/>
              </w:rPr>
              <w:t>with</w:t>
            </w:r>
            <w:r>
              <w:rPr>
                <w:b/>
                <w:spacing w:val="-7"/>
                <w:sz w:val="20"/>
              </w:rPr>
              <w:t> </w:t>
            </w:r>
            <w:r>
              <w:rPr>
                <w:b/>
                <w:sz w:val="20"/>
              </w:rPr>
              <w:t>EC</w:t>
            </w:r>
            <w:r>
              <w:rPr>
                <w:b/>
                <w:spacing w:val="-7"/>
                <w:sz w:val="20"/>
              </w:rPr>
              <w:t> </w:t>
            </w:r>
            <w:r>
              <w:rPr>
                <w:b/>
                <w:sz w:val="20"/>
              </w:rPr>
              <w:t>–</w:t>
            </w:r>
            <w:r>
              <w:rPr>
                <w:b/>
                <w:spacing w:val="-8"/>
                <w:sz w:val="20"/>
              </w:rPr>
              <w:t> </w:t>
            </w:r>
            <w:r>
              <w:rPr>
                <w:b/>
                <w:sz w:val="20"/>
              </w:rPr>
              <w:t>certificate</w:t>
            </w:r>
            <w:r>
              <w:rPr>
                <w:b/>
                <w:spacing w:val="-9"/>
                <w:sz w:val="20"/>
              </w:rPr>
              <w:t> </w:t>
            </w:r>
            <w:r>
              <w:rPr>
                <w:b/>
                <w:sz w:val="20"/>
              </w:rPr>
              <w:t>issued</w:t>
            </w:r>
            <w:r>
              <w:rPr>
                <w:b/>
                <w:spacing w:val="-8"/>
                <w:sz w:val="20"/>
              </w:rPr>
              <w:t> </w:t>
            </w:r>
            <w:r>
              <w:rPr>
                <w:b/>
                <w:sz w:val="20"/>
              </w:rPr>
              <w:t>by </w:t>
            </w:r>
            <w:r>
              <w:rPr>
                <w:b/>
                <w:spacing w:val="-2"/>
                <w:sz w:val="20"/>
              </w:rPr>
              <w:t>conciliator</w:t>
            </w:r>
          </w:p>
        </w:tc>
        <w:tc>
          <w:tcPr>
            <w:tcW w:w="2310" w:type="dxa"/>
          </w:tcPr>
          <w:p>
            <w:pPr>
              <w:pStyle w:val="TableParagraph"/>
              <w:ind w:left="966" w:right="961"/>
              <w:jc w:val="center"/>
              <w:rPr>
                <w:sz w:val="20"/>
              </w:rPr>
            </w:pPr>
            <w:r>
              <w:rPr>
                <w:spacing w:val="-5"/>
                <w:sz w:val="20"/>
              </w:rPr>
              <w:t>Yes</w:t>
            </w:r>
          </w:p>
        </w:tc>
        <w:tc>
          <w:tcPr>
            <w:tcW w:w="2311" w:type="dxa"/>
          </w:tcPr>
          <w:p>
            <w:pPr>
              <w:pStyle w:val="TableParagraph"/>
              <w:ind w:right="972"/>
              <w:jc w:val="right"/>
              <w:rPr>
                <w:sz w:val="20"/>
              </w:rPr>
            </w:pPr>
            <w:r>
              <w:rPr>
                <w:spacing w:val="-5"/>
                <w:sz w:val="20"/>
              </w:rPr>
              <w:t>Yes</w:t>
            </w:r>
          </w:p>
        </w:tc>
      </w:tr>
      <w:tr>
        <w:trPr>
          <w:trHeight w:val="728" w:hRule="atLeast"/>
        </w:trPr>
        <w:tc>
          <w:tcPr>
            <w:tcW w:w="3682" w:type="dxa"/>
          </w:tcPr>
          <w:p>
            <w:pPr>
              <w:pStyle w:val="TableParagraph"/>
              <w:ind w:left="107"/>
              <w:rPr>
                <w:b/>
                <w:sz w:val="20"/>
              </w:rPr>
            </w:pPr>
            <w:r>
              <w:rPr>
                <w:b/>
                <w:sz w:val="20"/>
              </w:rPr>
              <w:t>EC</w:t>
            </w:r>
            <w:r>
              <w:rPr>
                <w:b/>
                <w:spacing w:val="-10"/>
                <w:sz w:val="20"/>
              </w:rPr>
              <w:t> </w:t>
            </w:r>
            <w:r>
              <w:rPr>
                <w:b/>
                <w:sz w:val="20"/>
              </w:rPr>
              <w:t>complete</w:t>
            </w:r>
            <w:r>
              <w:rPr>
                <w:b/>
                <w:spacing w:val="-10"/>
                <w:sz w:val="20"/>
              </w:rPr>
              <w:t> </w:t>
            </w:r>
            <w:r>
              <w:rPr>
                <w:b/>
                <w:sz w:val="20"/>
              </w:rPr>
              <w:t>–</w:t>
            </w:r>
            <w:r>
              <w:rPr>
                <w:b/>
                <w:spacing w:val="-10"/>
                <w:sz w:val="20"/>
              </w:rPr>
              <w:t> </w:t>
            </w:r>
            <w:r>
              <w:rPr>
                <w:b/>
                <w:sz w:val="20"/>
              </w:rPr>
              <w:t>no</w:t>
            </w:r>
            <w:r>
              <w:rPr>
                <w:b/>
                <w:spacing w:val="-10"/>
                <w:sz w:val="20"/>
              </w:rPr>
              <w:t> </w:t>
            </w:r>
            <w:r>
              <w:rPr>
                <w:b/>
                <w:sz w:val="20"/>
              </w:rPr>
              <w:t>settlement (certificate issued by</w:t>
            </w:r>
          </w:p>
          <w:p>
            <w:pPr>
              <w:pStyle w:val="TableParagraph"/>
              <w:spacing w:line="223" w:lineRule="exact"/>
              <w:ind w:left="107"/>
              <w:rPr>
                <w:b/>
                <w:sz w:val="20"/>
              </w:rPr>
            </w:pPr>
            <w:r>
              <w:rPr>
                <w:b/>
                <w:spacing w:val="-2"/>
                <w:sz w:val="20"/>
              </w:rPr>
              <w:t>conciliator)</w:t>
            </w:r>
          </w:p>
        </w:tc>
        <w:tc>
          <w:tcPr>
            <w:tcW w:w="2310" w:type="dxa"/>
          </w:tcPr>
          <w:p>
            <w:pPr>
              <w:pStyle w:val="TableParagraph"/>
              <w:spacing w:line="242" w:lineRule="exact"/>
              <w:ind w:left="966" w:right="961"/>
              <w:jc w:val="center"/>
              <w:rPr>
                <w:sz w:val="20"/>
              </w:rPr>
            </w:pPr>
            <w:r>
              <w:rPr>
                <w:spacing w:val="-5"/>
                <w:sz w:val="20"/>
              </w:rPr>
              <w:t>Yes</w:t>
            </w:r>
          </w:p>
        </w:tc>
        <w:tc>
          <w:tcPr>
            <w:tcW w:w="2311" w:type="dxa"/>
          </w:tcPr>
          <w:p>
            <w:pPr>
              <w:pStyle w:val="TableParagraph"/>
              <w:spacing w:line="242" w:lineRule="exact"/>
              <w:ind w:right="972"/>
              <w:jc w:val="right"/>
              <w:rPr>
                <w:sz w:val="20"/>
              </w:rPr>
            </w:pPr>
            <w:r>
              <w:rPr>
                <w:spacing w:val="-5"/>
                <w:sz w:val="20"/>
              </w:rPr>
              <w:t>Yes</w:t>
            </w:r>
          </w:p>
        </w:tc>
      </w:tr>
      <w:tr>
        <w:trPr>
          <w:trHeight w:val="243" w:hRule="atLeast"/>
        </w:trPr>
        <w:tc>
          <w:tcPr>
            <w:tcW w:w="3682" w:type="dxa"/>
          </w:tcPr>
          <w:p>
            <w:pPr>
              <w:pStyle w:val="TableParagraph"/>
              <w:spacing w:line="223" w:lineRule="exact"/>
              <w:ind w:left="107"/>
              <w:rPr>
                <w:b/>
                <w:sz w:val="20"/>
              </w:rPr>
            </w:pPr>
            <w:r>
              <w:rPr>
                <w:b/>
                <w:sz w:val="20"/>
              </w:rPr>
              <w:t>EC</w:t>
            </w:r>
            <w:r>
              <w:rPr>
                <w:b/>
                <w:spacing w:val="-4"/>
                <w:sz w:val="20"/>
              </w:rPr>
              <w:t> </w:t>
            </w:r>
            <w:r>
              <w:rPr>
                <w:b/>
                <w:sz w:val="20"/>
              </w:rPr>
              <w:t>complete</w:t>
            </w:r>
            <w:r>
              <w:rPr>
                <w:b/>
                <w:spacing w:val="-4"/>
                <w:sz w:val="20"/>
              </w:rPr>
              <w:t> </w:t>
            </w:r>
            <w:r>
              <w:rPr>
                <w:b/>
                <w:sz w:val="20"/>
              </w:rPr>
              <w:t>–</w:t>
            </w:r>
            <w:r>
              <w:rPr>
                <w:b/>
                <w:spacing w:val="-4"/>
                <w:sz w:val="20"/>
              </w:rPr>
              <w:t> </w:t>
            </w:r>
            <w:r>
              <w:rPr>
                <w:b/>
                <w:sz w:val="20"/>
              </w:rPr>
              <w:t>resolved</w:t>
            </w:r>
            <w:r>
              <w:rPr>
                <w:b/>
                <w:spacing w:val="-3"/>
                <w:sz w:val="20"/>
              </w:rPr>
              <w:t> </w:t>
            </w:r>
            <w:r>
              <w:rPr>
                <w:b/>
                <w:spacing w:val="-4"/>
                <w:sz w:val="20"/>
              </w:rPr>
              <w:t>COT3</w:t>
            </w:r>
          </w:p>
        </w:tc>
        <w:tc>
          <w:tcPr>
            <w:tcW w:w="2310" w:type="dxa"/>
          </w:tcPr>
          <w:p>
            <w:pPr>
              <w:pStyle w:val="TableParagraph"/>
              <w:spacing w:line="223" w:lineRule="exact"/>
              <w:ind w:left="966" w:right="961"/>
              <w:jc w:val="center"/>
              <w:rPr>
                <w:sz w:val="20"/>
              </w:rPr>
            </w:pPr>
            <w:r>
              <w:rPr>
                <w:spacing w:val="-5"/>
                <w:sz w:val="20"/>
              </w:rPr>
              <w:t>Yes</w:t>
            </w:r>
          </w:p>
        </w:tc>
        <w:tc>
          <w:tcPr>
            <w:tcW w:w="2311" w:type="dxa"/>
          </w:tcPr>
          <w:p>
            <w:pPr>
              <w:pStyle w:val="TableParagraph"/>
              <w:spacing w:line="223" w:lineRule="exact"/>
              <w:ind w:right="972"/>
              <w:jc w:val="right"/>
              <w:rPr>
                <w:sz w:val="20"/>
              </w:rPr>
            </w:pPr>
            <w:r>
              <w:rPr>
                <w:spacing w:val="-5"/>
                <w:sz w:val="20"/>
              </w:rPr>
              <w:t>Yes</w:t>
            </w:r>
          </w:p>
        </w:tc>
      </w:tr>
    </w:tbl>
    <w:p>
      <w:pPr>
        <w:pStyle w:val="BodyText"/>
        <w:rPr>
          <w:b/>
        </w:rPr>
      </w:pPr>
    </w:p>
    <w:p>
      <w:pPr>
        <w:pStyle w:val="BodyText"/>
        <w:ind w:left="1337" w:right="1474"/>
        <w:jc w:val="both"/>
      </w:pPr>
      <w:r>
        <w:rPr/>
        <w:t>The sample for both surveys was issued in two main batches, timed to be approximately six to eight weeks after the conclusion of EC (marked</w:t>
      </w:r>
      <w:r>
        <w:rPr>
          <w:spacing w:val="-1"/>
        </w:rPr>
        <w:t> </w:t>
      </w:r>
      <w:r>
        <w:rPr/>
        <w:t>by either the issuing</w:t>
      </w:r>
      <w:r>
        <w:rPr>
          <w:spacing w:val="-4"/>
        </w:rPr>
        <w:t> </w:t>
      </w:r>
      <w:r>
        <w:rPr/>
        <w:t>of</w:t>
      </w:r>
      <w:r>
        <w:rPr>
          <w:spacing w:val="-4"/>
        </w:rPr>
        <w:t> </w:t>
      </w:r>
      <w:r>
        <w:rPr/>
        <w:t>the</w:t>
      </w:r>
      <w:r>
        <w:rPr>
          <w:spacing w:val="-5"/>
        </w:rPr>
        <w:t> </w:t>
      </w:r>
      <w:r>
        <w:rPr/>
        <w:t>EC</w:t>
      </w:r>
      <w:r>
        <w:rPr>
          <w:spacing w:val="-5"/>
        </w:rPr>
        <w:t> </w:t>
      </w:r>
      <w:r>
        <w:rPr/>
        <w:t>certificate</w:t>
      </w:r>
      <w:r>
        <w:rPr>
          <w:spacing w:val="-5"/>
        </w:rPr>
        <w:t> </w:t>
      </w:r>
      <w:r>
        <w:rPr/>
        <w:t>or</w:t>
      </w:r>
      <w:r>
        <w:rPr>
          <w:spacing w:val="-5"/>
        </w:rPr>
        <w:t> </w:t>
      </w:r>
      <w:r>
        <w:rPr/>
        <w:t>the</w:t>
      </w:r>
      <w:r>
        <w:rPr>
          <w:spacing w:val="-5"/>
        </w:rPr>
        <w:t> </w:t>
      </w:r>
      <w:r>
        <w:rPr/>
        <w:t>signing</w:t>
      </w:r>
      <w:r>
        <w:rPr>
          <w:spacing w:val="-4"/>
        </w:rPr>
        <w:t> </w:t>
      </w:r>
      <w:r>
        <w:rPr/>
        <w:t>of</w:t>
      </w:r>
      <w:r>
        <w:rPr>
          <w:spacing w:val="-4"/>
        </w:rPr>
        <w:t> </w:t>
      </w:r>
      <w:r>
        <w:rPr/>
        <w:t>a</w:t>
      </w:r>
      <w:r>
        <w:rPr>
          <w:spacing w:val="-5"/>
        </w:rPr>
        <w:t> </w:t>
      </w:r>
      <w:r>
        <w:rPr/>
        <w:t>COT3</w:t>
      </w:r>
      <w:r>
        <w:rPr>
          <w:spacing w:val="-5"/>
        </w:rPr>
        <w:t> </w:t>
      </w:r>
      <w:r>
        <w:rPr/>
        <w:t>agreement).</w:t>
      </w:r>
      <w:r>
        <w:rPr>
          <w:spacing w:val="-4"/>
        </w:rPr>
        <w:t> </w:t>
      </w:r>
      <w:r>
        <w:rPr/>
        <w:t>The</w:t>
      </w:r>
      <w:r>
        <w:rPr>
          <w:spacing w:val="-5"/>
        </w:rPr>
        <w:t> </w:t>
      </w:r>
      <w:r>
        <w:rPr/>
        <w:t>rationale</w:t>
      </w:r>
      <w:r>
        <w:rPr>
          <w:spacing w:val="-5"/>
        </w:rPr>
        <w:t> </w:t>
      </w:r>
      <w:r>
        <w:rPr/>
        <w:t>for this timing was based on aiming to contact service users ideally when:</w:t>
      </w:r>
    </w:p>
    <w:p>
      <w:pPr>
        <w:spacing w:after="0"/>
        <w:jc w:val="both"/>
        <w:sectPr>
          <w:pgSz w:w="11910" w:h="16840"/>
          <w:pgMar w:header="0" w:footer="996" w:top="1340" w:bottom="1180" w:left="460" w:right="320"/>
        </w:sectPr>
      </w:pPr>
    </w:p>
    <w:p>
      <w:pPr>
        <w:pStyle w:val="ListParagraph"/>
        <w:numPr>
          <w:ilvl w:val="1"/>
          <w:numId w:val="6"/>
        </w:numPr>
        <w:tabs>
          <w:tab w:pos="2058" w:val="left" w:leader="none"/>
        </w:tabs>
        <w:spacing w:line="237" w:lineRule="auto" w:before="84" w:after="0"/>
        <w:ind w:left="2057" w:right="1472" w:hanging="360"/>
        <w:jc w:val="both"/>
        <w:rPr>
          <w:sz w:val="20"/>
        </w:rPr>
      </w:pPr>
      <w:r>
        <w:rPr>
          <w:sz w:val="20"/>
        </w:rPr>
        <w:t>Their limitation period had ended (or was nearing its end), and they had made their final decision about whether or not to submit an ET claim;</w:t>
      </w:r>
    </w:p>
    <w:p>
      <w:pPr>
        <w:pStyle w:val="ListParagraph"/>
        <w:numPr>
          <w:ilvl w:val="1"/>
          <w:numId w:val="6"/>
        </w:numPr>
        <w:tabs>
          <w:tab w:pos="2058" w:val="left" w:leader="none"/>
        </w:tabs>
        <w:spacing w:line="240" w:lineRule="auto" w:before="1" w:after="0"/>
        <w:ind w:left="2057" w:right="1475" w:hanging="360"/>
        <w:jc w:val="both"/>
        <w:rPr>
          <w:sz w:val="20"/>
        </w:rPr>
      </w:pPr>
      <w:r>
        <w:rPr>
          <w:sz w:val="20"/>
        </w:rPr>
        <w:t>Or,</w:t>
      </w:r>
      <w:r>
        <w:rPr>
          <w:spacing w:val="-15"/>
          <w:sz w:val="20"/>
        </w:rPr>
        <w:t> </w:t>
      </w:r>
      <w:r>
        <w:rPr>
          <w:sz w:val="20"/>
        </w:rPr>
        <w:t>if</w:t>
      </w:r>
      <w:r>
        <w:rPr>
          <w:spacing w:val="-15"/>
          <w:sz w:val="20"/>
        </w:rPr>
        <w:t> </w:t>
      </w:r>
      <w:r>
        <w:rPr>
          <w:sz w:val="20"/>
        </w:rPr>
        <w:t>an</w:t>
      </w:r>
      <w:r>
        <w:rPr>
          <w:spacing w:val="-17"/>
          <w:sz w:val="20"/>
        </w:rPr>
        <w:t> </w:t>
      </w:r>
      <w:r>
        <w:rPr>
          <w:sz w:val="20"/>
        </w:rPr>
        <w:t>ET</w:t>
      </w:r>
      <w:r>
        <w:rPr>
          <w:spacing w:val="-17"/>
          <w:sz w:val="20"/>
        </w:rPr>
        <w:t> </w:t>
      </w:r>
      <w:r>
        <w:rPr>
          <w:sz w:val="20"/>
        </w:rPr>
        <w:t>claim</w:t>
      </w:r>
      <w:r>
        <w:rPr>
          <w:spacing w:val="-16"/>
          <w:sz w:val="20"/>
        </w:rPr>
        <w:t> </w:t>
      </w:r>
      <w:r>
        <w:rPr>
          <w:sz w:val="20"/>
        </w:rPr>
        <w:t>had</w:t>
      </w:r>
      <w:r>
        <w:rPr>
          <w:spacing w:val="-15"/>
          <w:sz w:val="20"/>
        </w:rPr>
        <w:t> </w:t>
      </w:r>
      <w:r>
        <w:rPr>
          <w:sz w:val="20"/>
        </w:rPr>
        <w:t>already</w:t>
      </w:r>
      <w:r>
        <w:rPr>
          <w:spacing w:val="-15"/>
          <w:sz w:val="20"/>
        </w:rPr>
        <w:t> </w:t>
      </w:r>
      <w:r>
        <w:rPr>
          <w:sz w:val="20"/>
        </w:rPr>
        <w:t>been</w:t>
      </w:r>
      <w:r>
        <w:rPr>
          <w:spacing w:val="-16"/>
          <w:sz w:val="20"/>
        </w:rPr>
        <w:t> </w:t>
      </w:r>
      <w:r>
        <w:rPr>
          <w:sz w:val="20"/>
        </w:rPr>
        <w:t>submitted,</w:t>
      </w:r>
      <w:r>
        <w:rPr>
          <w:spacing w:val="-17"/>
          <w:sz w:val="20"/>
        </w:rPr>
        <w:t> </w:t>
      </w:r>
      <w:r>
        <w:rPr>
          <w:sz w:val="20"/>
        </w:rPr>
        <w:t>when</w:t>
      </w:r>
      <w:r>
        <w:rPr>
          <w:spacing w:val="-16"/>
          <w:sz w:val="20"/>
        </w:rPr>
        <w:t> </w:t>
      </w:r>
      <w:r>
        <w:rPr>
          <w:sz w:val="20"/>
        </w:rPr>
        <w:t>the</w:t>
      </w:r>
      <w:r>
        <w:rPr>
          <w:spacing w:val="-17"/>
          <w:sz w:val="20"/>
        </w:rPr>
        <w:t> </w:t>
      </w:r>
      <w:r>
        <w:rPr>
          <w:sz w:val="20"/>
        </w:rPr>
        <w:t>ET</w:t>
      </w:r>
      <w:r>
        <w:rPr>
          <w:spacing w:val="-16"/>
          <w:sz w:val="20"/>
        </w:rPr>
        <w:t> </w:t>
      </w:r>
      <w:r>
        <w:rPr>
          <w:sz w:val="20"/>
        </w:rPr>
        <w:t>case</w:t>
      </w:r>
      <w:r>
        <w:rPr>
          <w:spacing w:val="-17"/>
          <w:sz w:val="20"/>
        </w:rPr>
        <w:t> </w:t>
      </w:r>
      <w:r>
        <w:rPr>
          <w:sz w:val="20"/>
        </w:rPr>
        <w:t>would</w:t>
      </w:r>
      <w:r>
        <w:rPr>
          <w:spacing w:val="-16"/>
          <w:sz w:val="20"/>
        </w:rPr>
        <w:t> </w:t>
      </w:r>
      <w:r>
        <w:rPr>
          <w:sz w:val="20"/>
        </w:rPr>
        <w:t>most likely be in an early stage and post-ET1 conciliation was unlikely to have already commenced.</w:t>
      </w:r>
    </w:p>
    <w:p>
      <w:pPr>
        <w:pStyle w:val="BodyText"/>
        <w:spacing w:before="10"/>
        <w:rPr>
          <w:sz w:val="19"/>
        </w:rPr>
      </w:pPr>
    </w:p>
    <w:p>
      <w:pPr>
        <w:pStyle w:val="Heading4"/>
        <w:spacing w:line="243" w:lineRule="exact"/>
        <w:jc w:val="left"/>
        <w:rPr>
          <w:i/>
        </w:rPr>
      </w:pPr>
      <w:r>
        <w:rPr>
          <w:i/>
        </w:rPr>
        <w:t>Post-ET1</w:t>
      </w:r>
      <w:r>
        <w:rPr>
          <w:i/>
          <w:spacing w:val="-10"/>
        </w:rPr>
        <w:t> </w:t>
      </w:r>
      <w:r>
        <w:rPr>
          <w:i/>
        </w:rPr>
        <w:t>conciliation</w:t>
      </w:r>
      <w:r>
        <w:rPr>
          <w:i/>
          <w:spacing w:val="-10"/>
        </w:rPr>
        <w:t> </w:t>
      </w:r>
      <w:r>
        <w:rPr>
          <w:i/>
          <w:spacing w:val="-2"/>
        </w:rPr>
        <w:t>evaluation</w:t>
      </w:r>
    </w:p>
    <w:p>
      <w:pPr>
        <w:pStyle w:val="BodyText"/>
        <w:spacing w:line="243" w:lineRule="exact"/>
        <w:ind w:left="1337"/>
      </w:pPr>
      <w:r>
        <w:rPr/>
        <w:t>Here</w:t>
      </w:r>
      <w:r>
        <w:rPr>
          <w:spacing w:val="-6"/>
        </w:rPr>
        <w:t> </w:t>
      </w:r>
      <w:r>
        <w:rPr/>
        <w:t>again</w:t>
      </w:r>
      <w:r>
        <w:rPr>
          <w:spacing w:val="-4"/>
        </w:rPr>
        <w:t> </w:t>
      </w:r>
      <w:r>
        <w:rPr/>
        <w:t>the</w:t>
      </w:r>
      <w:r>
        <w:rPr>
          <w:spacing w:val="-3"/>
        </w:rPr>
        <w:t> </w:t>
      </w:r>
      <w:r>
        <w:rPr/>
        <w:t>research</w:t>
      </w:r>
      <w:r>
        <w:rPr>
          <w:spacing w:val="-3"/>
        </w:rPr>
        <w:t> </w:t>
      </w:r>
      <w:r>
        <w:rPr/>
        <w:t>design</w:t>
      </w:r>
      <w:r>
        <w:rPr>
          <w:spacing w:val="-3"/>
        </w:rPr>
        <w:t> </w:t>
      </w:r>
      <w:r>
        <w:rPr/>
        <w:t>consisted</w:t>
      </w:r>
      <w:r>
        <w:rPr>
          <w:spacing w:val="-3"/>
        </w:rPr>
        <w:t> </w:t>
      </w:r>
      <w:r>
        <w:rPr/>
        <w:t>of</w:t>
      </w:r>
      <w:r>
        <w:rPr>
          <w:spacing w:val="-3"/>
        </w:rPr>
        <w:t> </w:t>
      </w:r>
      <w:r>
        <w:rPr/>
        <w:t>two</w:t>
      </w:r>
      <w:r>
        <w:rPr>
          <w:spacing w:val="-3"/>
        </w:rPr>
        <w:t> </w:t>
      </w:r>
      <w:r>
        <w:rPr/>
        <w:t>telephone</w:t>
      </w:r>
      <w:r>
        <w:rPr>
          <w:spacing w:val="-3"/>
        </w:rPr>
        <w:t> </w:t>
      </w:r>
      <w:r>
        <w:rPr>
          <w:spacing w:val="-2"/>
        </w:rPr>
        <w:t>surveys:</w:t>
      </w:r>
    </w:p>
    <w:p>
      <w:pPr>
        <w:pStyle w:val="BodyText"/>
        <w:spacing w:before="1"/>
      </w:pPr>
    </w:p>
    <w:p>
      <w:pPr>
        <w:pStyle w:val="ListParagraph"/>
        <w:numPr>
          <w:ilvl w:val="0"/>
          <w:numId w:val="7"/>
        </w:numPr>
        <w:tabs>
          <w:tab w:pos="2058" w:val="left" w:leader="none"/>
        </w:tabs>
        <w:spacing w:line="240" w:lineRule="auto" w:before="0" w:after="0"/>
        <w:ind w:left="2056" w:right="1473" w:hanging="360"/>
        <w:jc w:val="both"/>
        <w:rPr>
          <w:sz w:val="20"/>
        </w:rPr>
      </w:pPr>
      <w:r>
        <w:rPr>
          <w:sz w:val="20"/>
        </w:rPr>
        <w:t>A telephone survey of claimants (and their representatives) who had submitted an Employment Tribunal claim.</w:t>
      </w:r>
    </w:p>
    <w:p>
      <w:pPr>
        <w:pStyle w:val="ListParagraph"/>
        <w:numPr>
          <w:ilvl w:val="0"/>
          <w:numId w:val="7"/>
        </w:numPr>
        <w:tabs>
          <w:tab w:pos="2057" w:val="left" w:leader="none"/>
        </w:tabs>
        <w:spacing w:line="240" w:lineRule="auto" w:before="0" w:after="0"/>
        <w:ind w:left="2056" w:right="1475" w:hanging="360"/>
        <w:jc w:val="both"/>
        <w:rPr>
          <w:sz w:val="20"/>
        </w:rPr>
      </w:pPr>
      <w:r>
        <w:rPr>
          <w:sz w:val="20"/>
        </w:rPr>
        <w:t>A</w:t>
      </w:r>
      <w:r>
        <w:rPr>
          <w:spacing w:val="-2"/>
          <w:sz w:val="20"/>
        </w:rPr>
        <w:t> </w:t>
      </w:r>
      <w:r>
        <w:rPr>
          <w:sz w:val="20"/>
        </w:rPr>
        <w:t>telephone</w:t>
      </w:r>
      <w:r>
        <w:rPr>
          <w:spacing w:val="-4"/>
          <w:sz w:val="20"/>
        </w:rPr>
        <w:t> </w:t>
      </w:r>
      <w:r>
        <w:rPr>
          <w:sz w:val="20"/>
        </w:rPr>
        <w:t>survey</w:t>
      </w:r>
      <w:r>
        <w:rPr>
          <w:spacing w:val="-2"/>
          <w:sz w:val="20"/>
        </w:rPr>
        <w:t> </w:t>
      </w:r>
      <w:r>
        <w:rPr>
          <w:sz w:val="20"/>
        </w:rPr>
        <w:t>of</w:t>
      </w:r>
      <w:r>
        <w:rPr>
          <w:spacing w:val="-1"/>
          <w:sz w:val="20"/>
        </w:rPr>
        <w:t> </w:t>
      </w:r>
      <w:r>
        <w:rPr>
          <w:sz w:val="20"/>
        </w:rPr>
        <w:t>employers</w:t>
      </w:r>
      <w:r>
        <w:rPr>
          <w:spacing w:val="-2"/>
          <w:sz w:val="20"/>
        </w:rPr>
        <w:t> </w:t>
      </w:r>
      <w:r>
        <w:rPr>
          <w:sz w:val="20"/>
        </w:rPr>
        <w:t>(and</w:t>
      </w:r>
      <w:r>
        <w:rPr>
          <w:spacing w:val="-3"/>
          <w:sz w:val="20"/>
        </w:rPr>
        <w:t> </w:t>
      </w:r>
      <w:r>
        <w:rPr>
          <w:sz w:val="20"/>
        </w:rPr>
        <w:t>their</w:t>
      </w:r>
      <w:r>
        <w:rPr>
          <w:spacing w:val="-2"/>
          <w:sz w:val="20"/>
        </w:rPr>
        <w:t> </w:t>
      </w:r>
      <w:r>
        <w:rPr>
          <w:sz w:val="20"/>
        </w:rPr>
        <w:t>representatives)</w:t>
      </w:r>
      <w:r>
        <w:rPr>
          <w:spacing w:val="-3"/>
          <w:sz w:val="20"/>
        </w:rPr>
        <w:t> </w:t>
      </w:r>
      <w:r>
        <w:rPr>
          <w:sz w:val="20"/>
        </w:rPr>
        <w:t>who</w:t>
      </w:r>
      <w:r>
        <w:rPr>
          <w:spacing w:val="-3"/>
          <w:sz w:val="20"/>
        </w:rPr>
        <w:t> </w:t>
      </w:r>
      <w:r>
        <w:rPr>
          <w:sz w:val="20"/>
        </w:rPr>
        <w:t>had</w:t>
      </w:r>
      <w:r>
        <w:rPr>
          <w:spacing w:val="-4"/>
          <w:sz w:val="20"/>
        </w:rPr>
        <w:t> </w:t>
      </w:r>
      <w:r>
        <w:rPr>
          <w:sz w:val="20"/>
        </w:rPr>
        <w:t>been contacted</w:t>
      </w:r>
      <w:r>
        <w:rPr>
          <w:spacing w:val="-14"/>
          <w:sz w:val="20"/>
        </w:rPr>
        <w:t> </w:t>
      </w:r>
      <w:r>
        <w:rPr>
          <w:sz w:val="20"/>
        </w:rPr>
        <w:t>by</w:t>
      </w:r>
      <w:r>
        <w:rPr>
          <w:spacing w:val="-14"/>
          <w:sz w:val="20"/>
        </w:rPr>
        <w:t> </w:t>
      </w:r>
      <w:r>
        <w:rPr>
          <w:sz w:val="20"/>
        </w:rPr>
        <w:t>Acas</w:t>
      </w:r>
      <w:r>
        <w:rPr>
          <w:spacing w:val="-14"/>
          <w:sz w:val="20"/>
        </w:rPr>
        <w:t> </w:t>
      </w:r>
      <w:r>
        <w:rPr>
          <w:sz w:val="20"/>
        </w:rPr>
        <w:t>about</w:t>
      </w:r>
      <w:r>
        <w:rPr>
          <w:spacing w:val="-14"/>
          <w:sz w:val="20"/>
        </w:rPr>
        <w:t> </w:t>
      </w:r>
      <w:r>
        <w:rPr>
          <w:sz w:val="20"/>
        </w:rPr>
        <w:t>an</w:t>
      </w:r>
      <w:r>
        <w:rPr>
          <w:spacing w:val="-14"/>
          <w:sz w:val="20"/>
        </w:rPr>
        <w:t> </w:t>
      </w:r>
      <w:r>
        <w:rPr>
          <w:sz w:val="20"/>
        </w:rPr>
        <w:t>Employment</w:t>
      </w:r>
      <w:r>
        <w:rPr>
          <w:spacing w:val="-14"/>
          <w:sz w:val="20"/>
        </w:rPr>
        <w:t> </w:t>
      </w:r>
      <w:r>
        <w:rPr>
          <w:sz w:val="20"/>
        </w:rPr>
        <w:t>Tribunal</w:t>
      </w:r>
      <w:r>
        <w:rPr>
          <w:spacing w:val="-15"/>
          <w:sz w:val="20"/>
        </w:rPr>
        <w:t> </w:t>
      </w:r>
      <w:r>
        <w:rPr>
          <w:sz w:val="20"/>
        </w:rPr>
        <w:t>claim</w:t>
      </w:r>
      <w:r>
        <w:rPr>
          <w:spacing w:val="-14"/>
          <w:sz w:val="20"/>
        </w:rPr>
        <w:t> </w:t>
      </w:r>
      <w:r>
        <w:rPr>
          <w:sz w:val="20"/>
        </w:rPr>
        <w:t>taken</w:t>
      </w:r>
      <w:r>
        <w:rPr>
          <w:spacing w:val="-13"/>
          <w:sz w:val="20"/>
        </w:rPr>
        <w:t> </w:t>
      </w:r>
      <w:r>
        <w:rPr>
          <w:sz w:val="20"/>
        </w:rPr>
        <w:t>against</w:t>
      </w:r>
      <w:r>
        <w:rPr>
          <w:spacing w:val="-14"/>
          <w:sz w:val="20"/>
        </w:rPr>
        <w:t> </w:t>
      </w:r>
      <w:r>
        <w:rPr>
          <w:sz w:val="20"/>
        </w:rPr>
        <w:t>them.</w:t>
      </w:r>
    </w:p>
    <w:p>
      <w:pPr>
        <w:pStyle w:val="BodyText"/>
      </w:pPr>
    </w:p>
    <w:p>
      <w:pPr>
        <w:pStyle w:val="BodyText"/>
        <w:ind w:left="1337" w:right="1475"/>
        <w:jc w:val="both"/>
      </w:pPr>
      <w:r>
        <w:rPr/>
        <w:t>The</w:t>
      </w:r>
      <w:r>
        <w:rPr>
          <w:spacing w:val="-6"/>
        </w:rPr>
        <w:t> </w:t>
      </w:r>
      <w:r>
        <w:rPr/>
        <w:t>sampling</w:t>
      </w:r>
      <w:r>
        <w:rPr>
          <w:spacing w:val="-5"/>
        </w:rPr>
        <w:t> </w:t>
      </w:r>
      <w:r>
        <w:rPr/>
        <w:t>frame</w:t>
      </w:r>
      <w:r>
        <w:rPr>
          <w:spacing w:val="-6"/>
        </w:rPr>
        <w:t> </w:t>
      </w:r>
      <w:r>
        <w:rPr/>
        <w:t>for</w:t>
      </w:r>
      <w:r>
        <w:rPr>
          <w:spacing w:val="-6"/>
        </w:rPr>
        <w:t> </w:t>
      </w:r>
      <w:r>
        <w:rPr/>
        <w:t>both</w:t>
      </w:r>
      <w:r>
        <w:rPr>
          <w:spacing w:val="-5"/>
        </w:rPr>
        <w:t> </w:t>
      </w:r>
      <w:r>
        <w:rPr/>
        <w:t>surveys</w:t>
      </w:r>
      <w:r>
        <w:rPr>
          <w:spacing w:val="-5"/>
        </w:rPr>
        <w:t> </w:t>
      </w:r>
      <w:r>
        <w:rPr/>
        <w:t>was</w:t>
      </w:r>
      <w:r>
        <w:rPr>
          <w:spacing w:val="-5"/>
        </w:rPr>
        <w:t> </w:t>
      </w:r>
      <w:r>
        <w:rPr/>
        <w:t>drawn</w:t>
      </w:r>
      <w:r>
        <w:rPr>
          <w:spacing w:val="-5"/>
        </w:rPr>
        <w:t> </w:t>
      </w:r>
      <w:r>
        <w:rPr/>
        <w:t>from</w:t>
      </w:r>
      <w:r>
        <w:rPr>
          <w:spacing w:val="-6"/>
        </w:rPr>
        <w:t> </w:t>
      </w:r>
      <w:r>
        <w:rPr/>
        <w:t>Acas</w:t>
      </w:r>
      <w:r>
        <w:rPr>
          <w:spacing w:val="-6"/>
        </w:rPr>
        <w:t> </w:t>
      </w:r>
      <w:r>
        <w:rPr/>
        <w:t>records</w:t>
      </w:r>
      <w:r>
        <w:rPr>
          <w:spacing w:val="-5"/>
        </w:rPr>
        <w:t> </w:t>
      </w:r>
      <w:r>
        <w:rPr/>
        <w:t>of</w:t>
      </w:r>
      <w:r>
        <w:rPr>
          <w:spacing w:val="-5"/>
        </w:rPr>
        <w:t> </w:t>
      </w:r>
      <w:r>
        <w:rPr/>
        <w:t>all</w:t>
      </w:r>
      <w:r>
        <w:rPr>
          <w:spacing w:val="-6"/>
        </w:rPr>
        <w:t> </w:t>
      </w:r>
      <w:r>
        <w:rPr/>
        <w:t>claimant- and</w:t>
      </w:r>
      <w:r>
        <w:rPr>
          <w:spacing w:val="-18"/>
        </w:rPr>
        <w:t> </w:t>
      </w:r>
      <w:r>
        <w:rPr/>
        <w:t>employer-side</w:t>
      </w:r>
      <w:r>
        <w:rPr>
          <w:spacing w:val="-18"/>
        </w:rPr>
        <w:t> </w:t>
      </w:r>
      <w:r>
        <w:rPr/>
        <w:t>contacts</w:t>
      </w:r>
      <w:r>
        <w:rPr>
          <w:spacing w:val="-17"/>
        </w:rPr>
        <w:t> </w:t>
      </w:r>
      <w:r>
        <w:rPr/>
        <w:t>whose</w:t>
      </w:r>
      <w:r>
        <w:rPr>
          <w:spacing w:val="-18"/>
        </w:rPr>
        <w:t> </w:t>
      </w:r>
      <w:r>
        <w:rPr/>
        <w:t>corresponding</w:t>
      </w:r>
      <w:r>
        <w:rPr>
          <w:spacing w:val="-17"/>
        </w:rPr>
        <w:t> </w:t>
      </w:r>
      <w:r>
        <w:rPr/>
        <w:t>EC</w:t>
      </w:r>
      <w:r>
        <w:rPr>
          <w:spacing w:val="-18"/>
        </w:rPr>
        <w:t> </w:t>
      </w:r>
      <w:r>
        <w:rPr/>
        <w:t>notification</w:t>
      </w:r>
      <w:r>
        <w:rPr>
          <w:spacing w:val="-18"/>
        </w:rPr>
        <w:t> </w:t>
      </w:r>
      <w:r>
        <w:rPr/>
        <w:t>window</w:t>
      </w:r>
      <w:r>
        <w:rPr>
          <w:spacing w:val="-17"/>
        </w:rPr>
        <w:t> </w:t>
      </w:r>
      <w:r>
        <w:rPr/>
        <w:t>had</w:t>
      </w:r>
      <w:r>
        <w:rPr>
          <w:spacing w:val="-18"/>
        </w:rPr>
        <w:t> </w:t>
      </w:r>
      <w:r>
        <w:rPr/>
        <w:t>closed between 2 March and 30 May 2018.</w:t>
      </w:r>
    </w:p>
    <w:p>
      <w:pPr>
        <w:pStyle w:val="BodyText"/>
        <w:spacing w:before="1"/>
      </w:pPr>
    </w:p>
    <w:p>
      <w:pPr>
        <w:pStyle w:val="Heading3"/>
        <w:spacing w:line="243" w:lineRule="exact"/>
        <w:jc w:val="left"/>
      </w:pPr>
      <w:r>
        <w:rPr/>
        <w:t>The </w:t>
      </w:r>
      <w:r>
        <w:rPr>
          <w:spacing w:val="-2"/>
        </w:rPr>
        <w:t>questionnaires</w:t>
      </w:r>
    </w:p>
    <w:p>
      <w:pPr>
        <w:pStyle w:val="BodyText"/>
        <w:ind w:left="1337" w:right="1472" w:hanging="1"/>
      </w:pPr>
      <w:r>
        <w:rPr/>
        <w:t>In</w:t>
      </w:r>
      <w:r>
        <w:rPr>
          <w:spacing w:val="-5"/>
        </w:rPr>
        <w:t> </w:t>
      </w:r>
      <w:r>
        <w:rPr/>
        <w:t>addition</w:t>
      </w:r>
      <w:r>
        <w:rPr>
          <w:spacing w:val="-6"/>
        </w:rPr>
        <w:t> </w:t>
      </w:r>
      <w:r>
        <w:rPr/>
        <w:t>to</w:t>
      </w:r>
      <w:r>
        <w:rPr>
          <w:spacing w:val="-5"/>
        </w:rPr>
        <w:t> </w:t>
      </w:r>
      <w:r>
        <w:rPr/>
        <w:t>demographic</w:t>
      </w:r>
      <w:r>
        <w:rPr>
          <w:spacing w:val="-5"/>
        </w:rPr>
        <w:t> </w:t>
      </w:r>
      <w:r>
        <w:rPr/>
        <w:t>information,</w:t>
      </w:r>
      <w:r>
        <w:rPr>
          <w:spacing w:val="-5"/>
        </w:rPr>
        <w:t> </w:t>
      </w:r>
      <w:r>
        <w:rPr/>
        <w:t>the</w:t>
      </w:r>
      <w:r>
        <w:rPr>
          <w:spacing w:val="-5"/>
        </w:rPr>
        <w:t> </w:t>
      </w:r>
      <w:r>
        <w:rPr/>
        <w:t>questionnaires</w:t>
      </w:r>
      <w:r>
        <w:rPr>
          <w:spacing w:val="-5"/>
        </w:rPr>
        <w:t> </w:t>
      </w:r>
      <w:r>
        <w:rPr/>
        <w:t>collected</w:t>
      </w:r>
      <w:r>
        <w:rPr>
          <w:spacing w:val="-4"/>
        </w:rPr>
        <w:t> </w:t>
      </w:r>
      <w:r>
        <w:rPr/>
        <w:t>information and views on the full dispute journey:</w:t>
      </w:r>
    </w:p>
    <w:p>
      <w:pPr>
        <w:pStyle w:val="BodyText"/>
      </w:pPr>
    </w:p>
    <w:p>
      <w:pPr>
        <w:pStyle w:val="ListParagraph"/>
        <w:numPr>
          <w:ilvl w:val="1"/>
          <w:numId w:val="7"/>
        </w:numPr>
        <w:tabs>
          <w:tab w:pos="2057" w:val="left" w:leader="none"/>
          <w:tab w:pos="2058" w:val="left" w:leader="none"/>
        </w:tabs>
        <w:spacing w:line="244" w:lineRule="exact" w:before="0" w:after="0"/>
        <w:ind w:left="2057" w:right="0" w:hanging="361"/>
        <w:jc w:val="left"/>
        <w:rPr>
          <w:sz w:val="20"/>
        </w:rPr>
      </w:pPr>
      <w:r>
        <w:rPr>
          <w:sz w:val="20"/>
        </w:rPr>
        <w:t>Employment</w:t>
      </w:r>
      <w:r>
        <w:rPr>
          <w:spacing w:val="-5"/>
          <w:sz w:val="20"/>
        </w:rPr>
        <w:t> </w:t>
      </w:r>
      <w:r>
        <w:rPr>
          <w:spacing w:val="-2"/>
          <w:sz w:val="20"/>
        </w:rPr>
        <w:t>details</w:t>
      </w:r>
    </w:p>
    <w:p>
      <w:pPr>
        <w:pStyle w:val="ListParagraph"/>
        <w:numPr>
          <w:ilvl w:val="1"/>
          <w:numId w:val="7"/>
        </w:numPr>
        <w:tabs>
          <w:tab w:pos="2056" w:val="left" w:leader="none"/>
          <w:tab w:pos="2057" w:val="left" w:leader="none"/>
        </w:tabs>
        <w:spacing w:line="243" w:lineRule="exact" w:before="0" w:after="0"/>
        <w:ind w:left="2056" w:right="0" w:hanging="361"/>
        <w:jc w:val="left"/>
        <w:rPr>
          <w:sz w:val="20"/>
        </w:rPr>
      </w:pPr>
      <w:r>
        <w:rPr>
          <w:sz w:val="20"/>
        </w:rPr>
        <w:t>EC:</w:t>
      </w:r>
      <w:r>
        <w:rPr>
          <w:spacing w:val="-2"/>
          <w:sz w:val="20"/>
        </w:rPr>
        <w:t> </w:t>
      </w:r>
      <w:r>
        <w:rPr>
          <w:sz w:val="20"/>
        </w:rPr>
        <w:t>Dispute</w:t>
      </w:r>
      <w:r>
        <w:rPr>
          <w:spacing w:val="-3"/>
          <w:sz w:val="20"/>
        </w:rPr>
        <w:t> </w:t>
      </w:r>
      <w:r>
        <w:rPr>
          <w:spacing w:val="-2"/>
          <w:sz w:val="20"/>
        </w:rPr>
        <w:t>details</w:t>
      </w:r>
    </w:p>
    <w:p>
      <w:pPr>
        <w:pStyle w:val="ListParagraph"/>
        <w:numPr>
          <w:ilvl w:val="1"/>
          <w:numId w:val="7"/>
        </w:numPr>
        <w:tabs>
          <w:tab w:pos="2056" w:val="left" w:leader="none"/>
          <w:tab w:pos="2057" w:val="left" w:leader="none"/>
        </w:tabs>
        <w:spacing w:line="237" w:lineRule="auto" w:before="2" w:after="0"/>
        <w:ind w:left="2056" w:right="1594" w:hanging="361"/>
        <w:jc w:val="left"/>
        <w:rPr>
          <w:sz w:val="20"/>
        </w:rPr>
      </w:pPr>
      <w:r>
        <w:rPr>
          <w:sz w:val="20"/>
        </w:rPr>
        <w:t>EC:</w:t>
      </w:r>
      <w:r>
        <w:rPr>
          <w:spacing w:val="-3"/>
          <w:sz w:val="20"/>
        </w:rPr>
        <w:t> </w:t>
      </w:r>
      <w:r>
        <w:rPr>
          <w:sz w:val="20"/>
        </w:rPr>
        <w:t>The</w:t>
      </w:r>
      <w:r>
        <w:rPr>
          <w:spacing w:val="-4"/>
          <w:sz w:val="20"/>
        </w:rPr>
        <w:t> </w:t>
      </w:r>
      <w:r>
        <w:rPr>
          <w:sz w:val="20"/>
        </w:rPr>
        <w:t>initial</w:t>
      </w:r>
      <w:r>
        <w:rPr>
          <w:spacing w:val="-4"/>
          <w:sz w:val="20"/>
        </w:rPr>
        <w:t> </w:t>
      </w:r>
      <w:r>
        <w:rPr>
          <w:sz w:val="20"/>
        </w:rPr>
        <w:t>stages</w:t>
      </w:r>
      <w:r>
        <w:rPr>
          <w:spacing w:val="-3"/>
          <w:sz w:val="20"/>
        </w:rPr>
        <w:t> </w:t>
      </w:r>
      <w:r>
        <w:rPr>
          <w:sz w:val="20"/>
        </w:rPr>
        <w:t>of</w:t>
      </w:r>
      <w:r>
        <w:rPr>
          <w:spacing w:val="-4"/>
          <w:sz w:val="20"/>
        </w:rPr>
        <w:t> </w:t>
      </w:r>
      <w:r>
        <w:rPr>
          <w:sz w:val="20"/>
        </w:rPr>
        <w:t>the</w:t>
      </w:r>
      <w:r>
        <w:rPr>
          <w:spacing w:val="-5"/>
          <w:sz w:val="20"/>
        </w:rPr>
        <w:t> </w:t>
      </w:r>
      <w:r>
        <w:rPr>
          <w:sz w:val="20"/>
        </w:rPr>
        <w:t>dispute</w:t>
      </w:r>
      <w:r>
        <w:rPr>
          <w:spacing w:val="-5"/>
          <w:sz w:val="20"/>
        </w:rPr>
        <w:t> </w:t>
      </w:r>
      <w:r>
        <w:rPr>
          <w:sz w:val="20"/>
        </w:rPr>
        <w:t>(EC</w:t>
      </w:r>
      <w:r>
        <w:rPr>
          <w:spacing w:val="-4"/>
          <w:sz w:val="20"/>
        </w:rPr>
        <w:t> </w:t>
      </w:r>
      <w:r>
        <w:rPr>
          <w:sz w:val="20"/>
        </w:rPr>
        <w:t>notification</w:t>
      </w:r>
      <w:r>
        <w:rPr>
          <w:spacing w:val="-3"/>
          <w:sz w:val="20"/>
        </w:rPr>
        <w:t> </w:t>
      </w:r>
      <w:r>
        <w:rPr>
          <w:sz w:val="20"/>
        </w:rPr>
        <w:t>form,</w:t>
      </w:r>
      <w:r>
        <w:rPr>
          <w:spacing w:val="-4"/>
          <w:sz w:val="20"/>
        </w:rPr>
        <w:t> </w:t>
      </w:r>
      <w:r>
        <w:rPr>
          <w:sz w:val="20"/>
        </w:rPr>
        <w:t>experience</w:t>
      </w:r>
      <w:r>
        <w:rPr>
          <w:spacing w:val="-4"/>
          <w:sz w:val="20"/>
        </w:rPr>
        <w:t> </w:t>
      </w:r>
      <w:r>
        <w:rPr>
          <w:sz w:val="20"/>
        </w:rPr>
        <w:t>with an ECSO</w:t>
      </w:r>
    </w:p>
    <w:p>
      <w:pPr>
        <w:pStyle w:val="ListParagraph"/>
        <w:numPr>
          <w:ilvl w:val="1"/>
          <w:numId w:val="7"/>
        </w:numPr>
        <w:tabs>
          <w:tab w:pos="2056" w:val="left" w:leader="none"/>
          <w:tab w:pos="2057" w:val="left" w:leader="none"/>
        </w:tabs>
        <w:spacing w:line="244" w:lineRule="exact" w:before="1" w:after="0"/>
        <w:ind w:left="2056" w:right="0" w:hanging="361"/>
        <w:jc w:val="left"/>
        <w:rPr>
          <w:sz w:val="20"/>
        </w:rPr>
      </w:pPr>
      <w:r>
        <w:rPr>
          <w:sz w:val="20"/>
        </w:rPr>
        <w:t>EC:</w:t>
      </w:r>
      <w:r>
        <w:rPr>
          <w:spacing w:val="-5"/>
          <w:sz w:val="20"/>
        </w:rPr>
        <w:t> </w:t>
      </w:r>
      <w:r>
        <w:rPr>
          <w:sz w:val="20"/>
        </w:rPr>
        <w:t>The</w:t>
      </w:r>
      <w:r>
        <w:rPr>
          <w:spacing w:val="-3"/>
          <w:sz w:val="20"/>
        </w:rPr>
        <w:t> </w:t>
      </w:r>
      <w:r>
        <w:rPr>
          <w:sz w:val="20"/>
        </w:rPr>
        <w:t>experience</w:t>
      </w:r>
      <w:r>
        <w:rPr>
          <w:spacing w:val="-3"/>
          <w:sz w:val="20"/>
        </w:rPr>
        <w:t> </w:t>
      </w:r>
      <w:r>
        <w:rPr>
          <w:sz w:val="20"/>
        </w:rPr>
        <w:t>and</w:t>
      </w:r>
      <w:r>
        <w:rPr>
          <w:spacing w:val="-2"/>
          <w:sz w:val="20"/>
        </w:rPr>
        <w:t> </w:t>
      </w:r>
      <w:r>
        <w:rPr>
          <w:sz w:val="20"/>
        </w:rPr>
        <w:t>outcome</w:t>
      </w:r>
      <w:r>
        <w:rPr>
          <w:spacing w:val="-5"/>
          <w:sz w:val="20"/>
        </w:rPr>
        <w:t> </w:t>
      </w:r>
      <w:r>
        <w:rPr>
          <w:sz w:val="20"/>
        </w:rPr>
        <w:t>of</w:t>
      </w:r>
      <w:r>
        <w:rPr>
          <w:spacing w:val="-3"/>
          <w:sz w:val="20"/>
        </w:rPr>
        <w:t> </w:t>
      </w:r>
      <w:r>
        <w:rPr>
          <w:sz w:val="20"/>
        </w:rPr>
        <w:t>EC</w:t>
      </w:r>
      <w:r>
        <w:rPr>
          <w:spacing w:val="-3"/>
          <w:sz w:val="20"/>
        </w:rPr>
        <w:t> </w:t>
      </w:r>
      <w:r>
        <w:rPr>
          <w:sz w:val="20"/>
        </w:rPr>
        <w:t>(including</w:t>
      </w:r>
      <w:r>
        <w:rPr>
          <w:spacing w:val="-3"/>
          <w:sz w:val="20"/>
        </w:rPr>
        <w:t> </w:t>
      </w:r>
      <w:r>
        <w:rPr>
          <w:sz w:val="20"/>
        </w:rPr>
        <w:t>satisfaction</w:t>
      </w:r>
      <w:r>
        <w:rPr>
          <w:spacing w:val="-3"/>
          <w:sz w:val="20"/>
        </w:rPr>
        <w:t> </w:t>
      </w:r>
      <w:r>
        <w:rPr>
          <w:sz w:val="20"/>
        </w:rPr>
        <w:t>with</w:t>
      </w:r>
      <w:r>
        <w:rPr>
          <w:spacing w:val="-3"/>
          <w:sz w:val="20"/>
        </w:rPr>
        <w:t> </w:t>
      </w:r>
      <w:r>
        <w:rPr>
          <w:spacing w:val="-2"/>
          <w:sz w:val="20"/>
        </w:rPr>
        <w:t>both)</w:t>
      </w:r>
    </w:p>
    <w:p>
      <w:pPr>
        <w:pStyle w:val="ListParagraph"/>
        <w:numPr>
          <w:ilvl w:val="1"/>
          <w:numId w:val="7"/>
        </w:numPr>
        <w:tabs>
          <w:tab w:pos="2056" w:val="left" w:leader="none"/>
          <w:tab w:pos="2057" w:val="left" w:leader="none"/>
        </w:tabs>
        <w:spacing w:line="243" w:lineRule="exact" w:before="0" w:after="0"/>
        <w:ind w:left="2056" w:right="0" w:hanging="361"/>
        <w:jc w:val="left"/>
        <w:rPr>
          <w:sz w:val="20"/>
        </w:rPr>
      </w:pPr>
      <w:r>
        <w:rPr>
          <w:sz w:val="20"/>
        </w:rPr>
        <w:t>EC:</w:t>
      </w:r>
      <w:r>
        <w:rPr>
          <w:spacing w:val="-3"/>
          <w:sz w:val="20"/>
        </w:rPr>
        <w:t> </w:t>
      </w:r>
      <w:r>
        <w:rPr>
          <w:sz w:val="20"/>
        </w:rPr>
        <w:t>Submission</w:t>
      </w:r>
      <w:r>
        <w:rPr>
          <w:spacing w:val="-2"/>
          <w:sz w:val="20"/>
        </w:rPr>
        <w:t> </w:t>
      </w:r>
      <w:r>
        <w:rPr>
          <w:sz w:val="20"/>
        </w:rPr>
        <w:t>of</w:t>
      </w:r>
      <w:r>
        <w:rPr>
          <w:spacing w:val="-2"/>
          <w:sz w:val="20"/>
        </w:rPr>
        <w:t> </w:t>
      </w:r>
      <w:r>
        <w:rPr>
          <w:sz w:val="20"/>
        </w:rPr>
        <w:t>an</w:t>
      </w:r>
      <w:r>
        <w:rPr>
          <w:spacing w:val="-3"/>
          <w:sz w:val="20"/>
        </w:rPr>
        <w:t> </w:t>
      </w:r>
      <w:r>
        <w:rPr>
          <w:sz w:val="20"/>
        </w:rPr>
        <w:t>ET</w:t>
      </w:r>
      <w:r>
        <w:rPr>
          <w:spacing w:val="-2"/>
          <w:sz w:val="20"/>
        </w:rPr>
        <w:t> claim</w:t>
      </w:r>
    </w:p>
    <w:p>
      <w:pPr>
        <w:pStyle w:val="ListParagraph"/>
        <w:numPr>
          <w:ilvl w:val="1"/>
          <w:numId w:val="7"/>
        </w:numPr>
        <w:tabs>
          <w:tab w:pos="2056" w:val="left" w:leader="none"/>
          <w:tab w:pos="2057" w:val="left" w:leader="none"/>
        </w:tabs>
        <w:spacing w:line="243" w:lineRule="exact" w:before="0" w:after="0"/>
        <w:ind w:left="2056" w:right="0" w:hanging="361"/>
        <w:jc w:val="left"/>
        <w:rPr>
          <w:sz w:val="20"/>
        </w:rPr>
      </w:pPr>
      <w:r>
        <w:rPr>
          <w:sz w:val="20"/>
        </w:rPr>
        <w:t>ET:</w:t>
      </w:r>
      <w:r>
        <w:rPr>
          <w:spacing w:val="-7"/>
          <w:sz w:val="20"/>
        </w:rPr>
        <w:t> </w:t>
      </w:r>
      <w:r>
        <w:rPr>
          <w:sz w:val="20"/>
        </w:rPr>
        <w:t>Acas</w:t>
      </w:r>
      <w:r>
        <w:rPr>
          <w:spacing w:val="-3"/>
          <w:sz w:val="20"/>
        </w:rPr>
        <w:t> </w:t>
      </w:r>
      <w:r>
        <w:rPr>
          <w:sz w:val="20"/>
        </w:rPr>
        <w:t>involvement</w:t>
      </w:r>
      <w:r>
        <w:rPr>
          <w:spacing w:val="-3"/>
          <w:sz w:val="20"/>
        </w:rPr>
        <w:t> </w:t>
      </w:r>
      <w:r>
        <w:rPr>
          <w:sz w:val="20"/>
        </w:rPr>
        <w:t>in,</w:t>
      </w:r>
      <w:r>
        <w:rPr>
          <w:spacing w:val="-3"/>
          <w:sz w:val="20"/>
        </w:rPr>
        <w:t> </w:t>
      </w:r>
      <w:r>
        <w:rPr>
          <w:sz w:val="20"/>
        </w:rPr>
        <w:t>and</w:t>
      </w:r>
      <w:r>
        <w:rPr>
          <w:spacing w:val="-4"/>
          <w:sz w:val="20"/>
        </w:rPr>
        <w:t> </w:t>
      </w:r>
      <w:r>
        <w:rPr>
          <w:sz w:val="20"/>
        </w:rPr>
        <w:t>user</w:t>
      </w:r>
      <w:r>
        <w:rPr>
          <w:spacing w:val="-5"/>
          <w:sz w:val="20"/>
        </w:rPr>
        <w:t> </w:t>
      </w:r>
      <w:r>
        <w:rPr>
          <w:sz w:val="20"/>
        </w:rPr>
        <w:t>experience</w:t>
      </w:r>
      <w:r>
        <w:rPr>
          <w:spacing w:val="-4"/>
          <w:sz w:val="20"/>
        </w:rPr>
        <w:t> </w:t>
      </w:r>
      <w:r>
        <w:rPr>
          <w:sz w:val="20"/>
        </w:rPr>
        <w:t>of,</w:t>
      </w:r>
      <w:r>
        <w:rPr>
          <w:spacing w:val="-3"/>
          <w:sz w:val="20"/>
        </w:rPr>
        <w:t> </w:t>
      </w:r>
      <w:r>
        <w:rPr>
          <w:sz w:val="20"/>
        </w:rPr>
        <w:t>post-ET1</w:t>
      </w:r>
      <w:r>
        <w:rPr>
          <w:spacing w:val="-3"/>
          <w:sz w:val="20"/>
        </w:rPr>
        <w:t> </w:t>
      </w:r>
      <w:r>
        <w:rPr>
          <w:spacing w:val="-2"/>
          <w:sz w:val="20"/>
        </w:rPr>
        <w:t>conciliation</w:t>
      </w:r>
    </w:p>
    <w:p>
      <w:pPr>
        <w:pStyle w:val="ListParagraph"/>
        <w:numPr>
          <w:ilvl w:val="1"/>
          <w:numId w:val="7"/>
        </w:numPr>
        <w:tabs>
          <w:tab w:pos="2056" w:val="left" w:leader="none"/>
          <w:tab w:pos="2057" w:val="left" w:leader="none"/>
        </w:tabs>
        <w:spacing w:line="243" w:lineRule="exact" w:before="0" w:after="0"/>
        <w:ind w:left="2056" w:right="0" w:hanging="361"/>
        <w:jc w:val="left"/>
        <w:rPr>
          <w:sz w:val="20"/>
        </w:rPr>
      </w:pPr>
      <w:r>
        <w:rPr>
          <w:sz w:val="20"/>
        </w:rPr>
        <w:t>ET:</w:t>
      </w:r>
      <w:r>
        <w:rPr>
          <w:spacing w:val="-3"/>
          <w:sz w:val="20"/>
        </w:rPr>
        <w:t> </w:t>
      </w:r>
      <w:r>
        <w:rPr>
          <w:sz w:val="20"/>
        </w:rPr>
        <w:t>the</w:t>
      </w:r>
      <w:r>
        <w:rPr>
          <w:spacing w:val="-3"/>
          <w:sz w:val="20"/>
        </w:rPr>
        <w:t> </w:t>
      </w:r>
      <w:r>
        <w:rPr>
          <w:sz w:val="20"/>
        </w:rPr>
        <w:t>outcome</w:t>
      </w:r>
      <w:r>
        <w:rPr>
          <w:spacing w:val="-3"/>
          <w:sz w:val="20"/>
        </w:rPr>
        <w:t> </w:t>
      </w:r>
      <w:r>
        <w:rPr>
          <w:sz w:val="20"/>
        </w:rPr>
        <w:t>of</w:t>
      </w:r>
      <w:r>
        <w:rPr>
          <w:spacing w:val="-2"/>
          <w:sz w:val="20"/>
        </w:rPr>
        <w:t> </w:t>
      </w:r>
      <w:r>
        <w:rPr>
          <w:sz w:val="20"/>
        </w:rPr>
        <w:t>the</w:t>
      </w:r>
      <w:r>
        <w:rPr>
          <w:spacing w:val="-3"/>
          <w:sz w:val="20"/>
        </w:rPr>
        <w:t> </w:t>
      </w:r>
      <w:r>
        <w:rPr>
          <w:sz w:val="20"/>
        </w:rPr>
        <w:t>Tribunal</w:t>
      </w:r>
      <w:r>
        <w:rPr>
          <w:spacing w:val="-2"/>
          <w:sz w:val="20"/>
        </w:rPr>
        <w:t> (satisfaction)</w:t>
      </w:r>
    </w:p>
    <w:p>
      <w:pPr>
        <w:pStyle w:val="ListParagraph"/>
        <w:numPr>
          <w:ilvl w:val="1"/>
          <w:numId w:val="7"/>
        </w:numPr>
        <w:tabs>
          <w:tab w:pos="2056" w:val="left" w:leader="none"/>
          <w:tab w:pos="2057" w:val="left" w:leader="none"/>
        </w:tabs>
        <w:spacing w:line="475" w:lineRule="auto" w:before="0" w:after="0"/>
        <w:ind w:left="1336" w:right="3077" w:firstLine="360"/>
        <w:jc w:val="left"/>
        <w:rPr>
          <w:sz w:val="20"/>
        </w:rPr>
      </w:pPr>
      <w:r>
        <w:rPr>
          <w:sz w:val="20"/>
        </w:rPr>
        <w:t>EC:</w:t>
      </w:r>
      <w:r>
        <w:rPr>
          <w:spacing w:val="-3"/>
          <w:sz w:val="20"/>
        </w:rPr>
        <w:t> </w:t>
      </w:r>
      <w:r>
        <w:rPr>
          <w:sz w:val="20"/>
        </w:rPr>
        <w:t>The</w:t>
      </w:r>
      <w:r>
        <w:rPr>
          <w:spacing w:val="-4"/>
          <w:sz w:val="20"/>
        </w:rPr>
        <w:t> </w:t>
      </w:r>
      <w:r>
        <w:rPr>
          <w:sz w:val="20"/>
        </w:rPr>
        <w:t>role</w:t>
      </w:r>
      <w:r>
        <w:rPr>
          <w:spacing w:val="-4"/>
          <w:sz w:val="20"/>
        </w:rPr>
        <w:t> </w:t>
      </w:r>
      <w:r>
        <w:rPr>
          <w:sz w:val="20"/>
        </w:rPr>
        <w:t>played</w:t>
      </w:r>
      <w:r>
        <w:rPr>
          <w:spacing w:val="-3"/>
          <w:sz w:val="20"/>
        </w:rPr>
        <w:t> </w:t>
      </w:r>
      <w:r>
        <w:rPr>
          <w:sz w:val="20"/>
        </w:rPr>
        <w:t>by</w:t>
      </w:r>
      <w:r>
        <w:rPr>
          <w:spacing w:val="-4"/>
          <w:sz w:val="20"/>
        </w:rPr>
        <w:t> </w:t>
      </w:r>
      <w:r>
        <w:rPr>
          <w:sz w:val="20"/>
        </w:rPr>
        <w:t>prior</w:t>
      </w:r>
      <w:r>
        <w:rPr>
          <w:spacing w:val="-3"/>
          <w:sz w:val="20"/>
        </w:rPr>
        <w:t> </w:t>
      </w:r>
      <w:r>
        <w:rPr>
          <w:sz w:val="20"/>
        </w:rPr>
        <w:t>EC</w:t>
      </w:r>
      <w:r>
        <w:rPr>
          <w:spacing w:val="-4"/>
          <w:sz w:val="20"/>
        </w:rPr>
        <w:t> </w:t>
      </w:r>
      <w:r>
        <w:rPr>
          <w:sz w:val="20"/>
        </w:rPr>
        <w:t>in</w:t>
      </w:r>
      <w:r>
        <w:rPr>
          <w:spacing w:val="-4"/>
          <w:sz w:val="20"/>
        </w:rPr>
        <w:t> </w:t>
      </w:r>
      <w:r>
        <w:rPr>
          <w:sz w:val="20"/>
        </w:rPr>
        <w:t>resolving</w:t>
      </w:r>
      <w:r>
        <w:rPr>
          <w:spacing w:val="-3"/>
          <w:sz w:val="20"/>
        </w:rPr>
        <w:t> </w:t>
      </w:r>
      <w:r>
        <w:rPr>
          <w:sz w:val="20"/>
        </w:rPr>
        <w:t>post-ET1</w:t>
      </w:r>
      <w:r>
        <w:rPr>
          <w:spacing w:val="-3"/>
          <w:sz w:val="20"/>
        </w:rPr>
        <w:t> </w:t>
      </w:r>
      <w:r>
        <w:rPr>
          <w:sz w:val="20"/>
        </w:rPr>
        <w:t>cases The full questionnaires can be found in the technical appendix.</w:t>
      </w:r>
    </w:p>
    <w:p>
      <w:pPr>
        <w:pStyle w:val="Heading3"/>
        <w:spacing w:before="4"/>
        <w:ind w:left="1336"/>
        <w:jc w:val="left"/>
      </w:pPr>
      <w:r>
        <w:rPr>
          <w:spacing w:val="-2"/>
        </w:rPr>
        <w:t>Fieldwork</w:t>
      </w:r>
    </w:p>
    <w:p>
      <w:pPr>
        <w:pStyle w:val="BodyText"/>
        <w:spacing w:before="1"/>
        <w:ind w:left="1336" w:right="1595"/>
      </w:pPr>
      <w:r>
        <w:rPr/>
        <w:t>For the EC surveys, fieldwork took place from the 23 May and 23 August 2019. In total, 932 interviews were achieved in the claimant survey (76% with claimants</w:t>
      </w:r>
      <w:r>
        <w:rPr>
          <w:spacing w:val="-3"/>
        </w:rPr>
        <w:t> </w:t>
      </w:r>
      <w:r>
        <w:rPr/>
        <w:t>and</w:t>
      </w:r>
      <w:r>
        <w:rPr>
          <w:spacing w:val="-3"/>
        </w:rPr>
        <w:t> </w:t>
      </w:r>
      <w:r>
        <w:rPr/>
        <w:t>24%</w:t>
      </w:r>
      <w:r>
        <w:rPr>
          <w:spacing w:val="-4"/>
        </w:rPr>
        <w:t> </w:t>
      </w:r>
      <w:r>
        <w:rPr/>
        <w:t>with</w:t>
      </w:r>
      <w:r>
        <w:rPr>
          <w:spacing w:val="-3"/>
        </w:rPr>
        <w:t> </w:t>
      </w:r>
      <w:r>
        <w:rPr/>
        <w:t>their</w:t>
      </w:r>
      <w:r>
        <w:rPr>
          <w:spacing w:val="-3"/>
        </w:rPr>
        <w:t> </w:t>
      </w:r>
      <w:r>
        <w:rPr/>
        <w:t>representatives)</w:t>
      </w:r>
      <w:r>
        <w:rPr>
          <w:spacing w:val="-3"/>
        </w:rPr>
        <w:t> </w:t>
      </w:r>
      <w:r>
        <w:rPr/>
        <w:t>and</w:t>
      </w:r>
      <w:r>
        <w:rPr>
          <w:spacing w:val="-4"/>
        </w:rPr>
        <w:t> </w:t>
      </w:r>
      <w:r>
        <w:rPr/>
        <w:t>773</w:t>
      </w:r>
      <w:r>
        <w:rPr>
          <w:spacing w:val="-3"/>
        </w:rPr>
        <w:t> </w:t>
      </w:r>
      <w:r>
        <w:rPr/>
        <w:t>interviews</w:t>
      </w:r>
      <w:r>
        <w:rPr>
          <w:spacing w:val="-4"/>
        </w:rPr>
        <w:t> </w:t>
      </w:r>
      <w:r>
        <w:rPr/>
        <w:t>were</w:t>
      </w:r>
      <w:r>
        <w:rPr>
          <w:spacing w:val="-3"/>
        </w:rPr>
        <w:t> </w:t>
      </w:r>
      <w:r>
        <w:rPr/>
        <w:t>achieved in the employer survey (70% with employers and 30% with their representatives). Details on response rate can be reviewed in the technical </w:t>
      </w:r>
      <w:r>
        <w:rPr>
          <w:spacing w:val="-2"/>
        </w:rPr>
        <w:t>appendix.</w:t>
      </w:r>
    </w:p>
    <w:p>
      <w:pPr>
        <w:pStyle w:val="BodyText"/>
        <w:spacing w:before="1"/>
      </w:pPr>
    </w:p>
    <w:p>
      <w:pPr>
        <w:pStyle w:val="BodyText"/>
        <w:ind w:left="1336" w:right="1553"/>
      </w:pPr>
      <w:r>
        <w:rPr/>
        <w:t>For</w:t>
      </w:r>
      <w:r>
        <w:rPr>
          <w:spacing w:val="-3"/>
        </w:rPr>
        <w:t> </w:t>
      </w:r>
      <w:r>
        <w:rPr/>
        <w:t>the</w:t>
      </w:r>
      <w:r>
        <w:rPr>
          <w:spacing w:val="-5"/>
        </w:rPr>
        <w:t> </w:t>
      </w:r>
      <w:r>
        <w:rPr/>
        <w:t>post-ET1</w:t>
      </w:r>
      <w:r>
        <w:rPr>
          <w:spacing w:val="-5"/>
        </w:rPr>
        <w:t> </w:t>
      </w:r>
      <w:r>
        <w:rPr/>
        <w:t>conciliation</w:t>
      </w:r>
      <w:r>
        <w:rPr>
          <w:spacing w:val="-3"/>
        </w:rPr>
        <w:t> </w:t>
      </w:r>
      <w:r>
        <w:rPr/>
        <w:t>surveys,</w:t>
      </w:r>
      <w:r>
        <w:rPr>
          <w:spacing w:val="-4"/>
        </w:rPr>
        <w:t> </w:t>
      </w:r>
      <w:r>
        <w:rPr/>
        <w:t>fieldwork</w:t>
      </w:r>
      <w:r>
        <w:rPr>
          <w:spacing w:val="-3"/>
        </w:rPr>
        <w:t> </w:t>
      </w:r>
      <w:r>
        <w:rPr/>
        <w:t>took</w:t>
      </w:r>
      <w:r>
        <w:rPr>
          <w:spacing w:val="-4"/>
        </w:rPr>
        <w:t> </w:t>
      </w:r>
      <w:r>
        <w:rPr/>
        <w:t>place</w:t>
      </w:r>
      <w:r>
        <w:rPr>
          <w:spacing w:val="-3"/>
        </w:rPr>
        <w:t> </w:t>
      </w:r>
      <w:r>
        <w:rPr/>
        <w:t>between</w:t>
      </w:r>
      <w:r>
        <w:rPr>
          <w:spacing w:val="-4"/>
        </w:rPr>
        <w:t> </w:t>
      </w:r>
      <w:r>
        <w:rPr/>
        <w:t>12</w:t>
      </w:r>
      <w:r>
        <w:rPr>
          <w:spacing w:val="-3"/>
        </w:rPr>
        <w:t> </w:t>
      </w:r>
      <w:r>
        <w:rPr/>
        <w:t>June</w:t>
      </w:r>
      <w:r>
        <w:rPr>
          <w:spacing w:val="-3"/>
        </w:rPr>
        <w:t> </w:t>
      </w:r>
      <w:r>
        <w:rPr/>
        <w:t>and 23 August 2019. In total, 481 interviews were achieved in the claimant survey (81% with claimants and 19% with their representatives) and 464 interviews were</w:t>
      </w:r>
      <w:r>
        <w:rPr>
          <w:spacing w:val="-2"/>
        </w:rPr>
        <w:t> </w:t>
      </w:r>
      <w:r>
        <w:rPr/>
        <w:t>achieved</w:t>
      </w:r>
      <w:r>
        <w:rPr>
          <w:spacing w:val="-2"/>
        </w:rPr>
        <w:t> </w:t>
      </w:r>
      <w:r>
        <w:rPr/>
        <w:t>in</w:t>
      </w:r>
      <w:r>
        <w:rPr>
          <w:spacing w:val="-2"/>
        </w:rPr>
        <w:t> </w:t>
      </w:r>
      <w:r>
        <w:rPr/>
        <w:t>the</w:t>
      </w:r>
      <w:r>
        <w:rPr>
          <w:spacing w:val="-2"/>
        </w:rPr>
        <w:t> </w:t>
      </w:r>
      <w:r>
        <w:rPr/>
        <w:t>employer</w:t>
      </w:r>
      <w:r>
        <w:rPr>
          <w:spacing w:val="-2"/>
        </w:rPr>
        <w:t> </w:t>
      </w:r>
      <w:r>
        <w:rPr/>
        <w:t>survey</w:t>
      </w:r>
      <w:r>
        <w:rPr>
          <w:spacing w:val="-2"/>
        </w:rPr>
        <w:t> </w:t>
      </w:r>
      <w:r>
        <w:rPr/>
        <w:t>(47%</w:t>
      </w:r>
      <w:r>
        <w:rPr>
          <w:spacing w:val="-3"/>
        </w:rPr>
        <w:t> </w:t>
      </w:r>
      <w:r>
        <w:rPr/>
        <w:t>with</w:t>
      </w:r>
      <w:r>
        <w:rPr>
          <w:spacing w:val="-2"/>
        </w:rPr>
        <w:t> </w:t>
      </w:r>
      <w:r>
        <w:rPr/>
        <w:t>employers</w:t>
      </w:r>
      <w:r>
        <w:rPr>
          <w:spacing w:val="-2"/>
        </w:rPr>
        <w:t> </w:t>
      </w:r>
      <w:r>
        <w:rPr/>
        <w:t>and</w:t>
      </w:r>
      <w:r>
        <w:rPr>
          <w:spacing w:val="-3"/>
        </w:rPr>
        <w:t> </w:t>
      </w:r>
      <w:r>
        <w:rPr/>
        <w:t>53%</w:t>
      </w:r>
      <w:r>
        <w:rPr>
          <w:spacing w:val="-3"/>
        </w:rPr>
        <w:t> </w:t>
      </w:r>
      <w:r>
        <w:rPr/>
        <w:t>with</w:t>
      </w:r>
      <w:r>
        <w:rPr>
          <w:spacing w:val="-3"/>
        </w:rPr>
        <w:t> </w:t>
      </w:r>
      <w:r>
        <w:rPr/>
        <w:t>their </w:t>
      </w:r>
      <w:r>
        <w:rPr>
          <w:spacing w:val="-2"/>
        </w:rPr>
        <w:t>representatives).</w:t>
      </w:r>
    </w:p>
    <w:p>
      <w:pPr>
        <w:pStyle w:val="BodyText"/>
      </w:pPr>
    </w:p>
    <w:p>
      <w:pPr>
        <w:pStyle w:val="BodyText"/>
        <w:ind w:left="1336" w:right="1472"/>
      </w:pPr>
      <w:r>
        <w:rPr/>
        <w:t>Further</w:t>
      </w:r>
      <w:r>
        <w:rPr>
          <w:spacing w:val="-5"/>
        </w:rPr>
        <w:t> </w:t>
      </w:r>
      <w:r>
        <w:rPr/>
        <w:t>details</w:t>
      </w:r>
      <w:r>
        <w:rPr>
          <w:spacing w:val="-3"/>
        </w:rPr>
        <w:t> </w:t>
      </w:r>
      <w:r>
        <w:rPr/>
        <w:t>about</w:t>
      </w:r>
      <w:r>
        <w:rPr>
          <w:spacing w:val="-4"/>
        </w:rPr>
        <w:t> </w:t>
      </w:r>
      <w:r>
        <w:rPr/>
        <w:t>fieldwork</w:t>
      </w:r>
      <w:r>
        <w:rPr>
          <w:spacing w:val="-3"/>
        </w:rPr>
        <w:t> </w:t>
      </w:r>
      <w:r>
        <w:rPr/>
        <w:t>management</w:t>
      </w:r>
      <w:r>
        <w:rPr>
          <w:spacing w:val="-3"/>
        </w:rPr>
        <w:t> </w:t>
      </w:r>
      <w:r>
        <w:rPr/>
        <w:t>and</w:t>
      </w:r>
      <w:r>
        <w:rPr>
          <w:spacing w:val="-3"/>
        </w:rPr>
        <w:t> </w:t>
      </w:r>
      <w:r>
        <w:rPr/>
        <w:t>response</w:t>
      </w:r>
      <w:r>
        <w:rPr>
          <w:spacing w:val="-4"/>
        </w:rPr>
        <w:t> </w:t>
      </w:r>
      <w:r>
        <w:rPr/>
        <w:t>to</w:t>
      </w:r>
      <w:r>
        <w:rPr>
          <w:spacing w:val="-3"/>
        </w:rPr>
        <w:t> </w:t>
      </w:r>
      <w:r>
        <w:rPr/>
        <w:t>both</w:t>
      </w:r>
      <w:r>
        <w:rPr>
          <w:spacing w:val="-3"/>
        </w:rPr>
        <w:t> </w:t>
      </w:r>
      <w:r>
        <w:rPr/>
        <w:t>surveys</w:t>
      </w:r>
      <w:r>
        <w:rPr>
          <w:spacing w:val="-3"/>
        </w:rPr>
        <w:t> </w:t>
      </w:r>
      <w:r>
        <w:rPr/>
        <w:t>are included in the Technical Appendix</w:t>
      </w:r>
    </w:p>
    <w:p>
      <w:pPr>
        <w:pStyle w:val="BodyText"/>
      </w:pPr>
    </w:p>
    <w:p>
      <w:pPr>
        <w:pStyle w:val="Heading3"/>
        <w:spacing w:line="243" w:lineRule="exact" w:before="1"/>
        <w:ind w:left="1336"/>
        <w:jc w:val="left"/>
      </w:pPr>
      <w:r>
        <w:rPr>
          <w:spacing w:val="-2"/>
        </w:rPr>
        <w:t>Weighting</w:t>
      </w:r>
    </w:p>
    <w:p>
      <w:pPr>
        <w:pStyle w:val="BodyText"/>
        <w:ind w:left="1336" w:right="1474"/>
        <w:jc w:val="both"/>
      </w:pPr>
      <w:r>
        <w:rPr/>
        <w:t>For both EC surveys, the final data were weighted to be representative to all claimants,</w:t>
      </w:r>
      <w:r>
        <w:rPr>
          <w:spacing w:val="-12"/>
        </w:rPr>
        <w:t> </w:t>
      </w:r>
      <w:r>
        <w:rPr/>
        <w:t>employers</w:t>
      </w:r>
      <w:r>
        <w:rPr>
          <w:spacing w:val="-12"/>
        </w:rPr>
        <w:t> </w:t>
      </w:r>
      <w:r>
        <w:rPr/>
        <w:t>and</w:t>
      </w:r>
      <w:r>
        <w:rPr>
          <w:spacing w:val="-12"/>
        </w:rPr>
        <w:t> </w:t>
      </w:r>
      <w:r>
        <w:rPr/>
        <w:t>representatives</w:t>
      </w:r>
      <w:r>
        <w:rPr>
          <w:spacing w:val="-13"/>
        </w:rPr>
        <w:t> </w:t>
      </w:r>
      <w:r>
        <w:rPr/>
        <w:t>who</w:t>
      </w:r>
      <w:r>
        <w:rPr>
          <w:spacing w:val="-15"/>
        </w:rPr>
        <w:t> </w:t>
      </w:r>
      <w:r>
        <w:rPr/>
        <w:t>submitted</w:t>
      </w:r>
      <w:r>
        <w:rPr>
          <w:spacing w:val="-12"/>
        </w:rPr>
        <w:t> </w:t>
      </w:r>
      <w:r>
        <w:rPr/>
        <w:t>an</w:t>
      </w:r>
      <w:r>
        <w:rPr>
          <w:spacing w:val="-12"/>
        </w:rPr>
        <w:t> </w:t>
      </w:r>
      <w:r>
        <w:rPr/>
        <w:t>EC</w:t>
      </w:r>
      <w:r>
        <w:rPr>
          <w:spacing w:val="-13"/>
        </w:rPr>
        <w:t> </w:t>
      </w:r>
      <w:r>
        <w:rPr/>
        <w:t>notification,</w:t>
      </w:r>
      <w:r>
        <w:rPr>
          <w:spacing w:val="-12"/>
        </w:rPr>
        <w:t> </w:t>
      </w:r>
      <w:r>
        <w:rPr/>
        <w:t>whose cases closed within the sampling period. The two surveys (claimant-side and employer-side) were weighted separately.</w:t>
      </w:r>
    </w:p>
    <w:p>
      <w:pPr>
        <w:spacing w:after="0"/>
        <w:jc w:val="both"/>
        <w:sectPr>
          <w:pgSz w:w="11910" w:h="16840"/>
          <w:pgMar w:header="0" w:footer="996" w:top="1340" w:bottom="1180" w:left="460" w:right="320"/>
        </w:sectPr>
      </w:pPr>
    </w:p>
    <w:p>
      <w:pPr>
        <w:pStyle w:val="BodyText"/>
        <w:spacing w:before="82"/>
        <w:ind w:left="1337" w:right="1473"/>
        <w:jc w:val="both"/>
      </w:pPr>
      <w:r>
        <w:rPr/>
        <w:t>A similar approach was taken in the ET survey: data from both surveys were weighted</w:t>
      </w:r>
      <w:r>
        <w:rPr>
          <w:spacing w:val="-8"/>
        </w:rPr>
        <w:t> </w:t>
      </w:r>
      <w:r>
        <w:rPr/>
        <w:t>to</w:t>
      </w:r>
      <w:r>
        <w:rPr>
          <w:spacing w:val="-9"/>
        </w:rPr>
        <w:t> </w:t>
      </w:r>
      <w:r>
        <w:rPr/>
        <w:t>be</w:t>
      </w:r>
      <w:r>
        <w:rPr>
          <w:spacing w:val="-8"/>
        </w:rPr>
        <w:t> </w:t>
      </w:r>
      <w:r>
        <w:rPr/>
        <w:t>representative</w:t>
      </w:r>
      <w:r>
        <w:rPr>
          <w:spacing w:val="-8"/>
        </w:rPr>
        <w:t> </w:t>
      </w:r>
      <w:r>
        <w:rPr/>
        <w:t>to</w:t>
      </w:r>
      <w:r>
        <w:rPr>
          <w:spacing w:val="-8"/>
        </w:rPr>
        <w:t> </w:t>
      </w:r>
      <w:r>
        <w:rPr/>
        <w:t>all</w:t>
      </w:r>
      <w:r>
        <w:rPr>
          <w:spacing w:val="-9"/>
        </w:rPr>
        <w:t> </w:t>
      </w:r>
      <w:r>
        <w:rPr/>
        <w:t>claimants,</w:t>
      </w:r>
      <w:r>
        <w:rPr>
          <w:spacing w:val="-8"/>
        </w:rPr>
        <w:t> </w:t>
      </w:r>
      <w:r>
        <w:rPr/>
        <w:t>employers</w:t>
      </w:r>
      <w:r>
        <w:rPr>
          <w:spacing w:val="-8"/>
        </w:rPr>
        <w:t> </w:t>
      </w:r>
      <w:r>
        <w:rPr/>
        <w:t>and</w:t>
      </w:r>
      <w:r>
        <w:rPr>
          <w:spacing w:val="-8"/>
        </w:rPr>
        <w:t> </w:t>
      </w:r>
      <w:r>
        <w:rPr/>
        <w:t>representatives</w:t>
      </w:r>
      <w:r>
        <w:rPr>
          <w:spacing w:val="-8"/>
        </w:rPr>
        <w:t> </w:t>
      </w:r>
      <w:r>
        <w:rPr/>
        <w:t>who submitted an EC notification, whose cases closed within the sampling period, with separate weighting schemes for the employer- and claimant-side surveys</w:t>
      </w:r>
    </w:p>
    <w:p>
      <w:pPr>
        <w:pStyle w:val="BodyText"/>
        <w:spacing w:before="11"/>
        <w:rPr>
          <w:sz w:val="19"/>
        </w:rPr>
      </w:pPr>
    </w:p>
    <w:p>
      <w:pPr>
        <w:pStyle w:val="BodyText"/>
        <w:ind w:left="1337"/>
        <w:jc w:val="both"/>
      </w:pPr>
      <w:r>
        <w:rPr/>
        <w:t>Full</w:t>
      </w:r>
      <w:r>
        <w:rPr>
          <w:spacing w:val="-7"/>
        </w:rPr>
        <w:t> </w:t>
      </w:r>
      <w:r>
        <w:rPr/>
        <w:t>details</w:t>
      </w:r>
      <w:r>
        <w:rPr>
          <w:spacing w:val="-3"/>
        </w:rPr>
        <w:t> </w:t>
      </w:r>
      <w:r>
        <w:rPr/>
        <w:t>of</w:t>
      </w:r>
      <w:r>
        <w:rPr>
          <w:spacing w:val="-3"/>
        </w:rPr>
        <w:t> </w:t>
      </w:r>
      <w:r>
        <w:rPr/>
        <w:t>the</w:t>
      </w:r>
      <w:r>
        <w:rPr>
          <w:spacing w:val="-4"/>
        </w:rPr>
        <w:t> </w:t>
      </w:r>
      <w:r>
        <w:rPr/>
        <w:t>weighting</w:t>
      </w:r>
      <w:r>
        <w:rPr>
          <w:spacing w:val="-3"/>
        </w:rPr>
        <w:t> </w:t>
      </w:r>
      <w:r>
        <w:rPr/>
        <w:t>strategy</w:t>
      </w:r>
      <w:r>
        <w:rPr>
          <w:spacing w:val="-4"/>
        </w:rPr>
        <w:t> </w:t>
      </w:r>
      <w:r>
        <w:rPr/>
        <w:t>is</w:t>
      </w:r>
      <w:r>
        <w:rPr>
          <w:spacing w:val="-2"/>
        </w:rPr>
        <w:t> </w:t>
      </w:r>
      <w:r>
        <w:rPr/>
        <w:t>included</w:t>
      </w:r>
      <w:r>
        <w:rPr>
          <w:spacing w:val="-3"/>
        </w:rPr>
        <w:t> </w:t>
      </w:r>
      <w:r>
        <w:rPr/>
        <w:t>in</w:t>
      </w:r>
      <w:r>
        <w:rPr>
          <w:spacing w:val="-3"/>
        </w:rPr>
        <w:t> </w:t>
      </w:r>
      <w:r>
        <w:rPr/>
        <w:t>the</w:t>
      </w:r>
      <w:r>
        <w:rPr>
          <w:spacing w:val="-5"/>
        </w:rPr>
        <w:t> </w:t>
      </w:r>
      <w:r>
        <w:rPr/>
        <w:t>Technical</w:t>
      </w:r>
      <w:r>
        <w:rPr>
          <w:spacing w:val="-4"/>
        </w:rPr>
        <w:t> </w:t>
      </w:r>
      <w:r>
        <w:rPr>
          <w:spacing w:val="-2"/>
        </w:rPr>
        <w:t>Appendix.</w:t>
      </w:r>
    </w:p>
    <w:p>
      <w:pPr>
        <w:spacing w:after="0"/>
        <w:jc w:val="both"/>
        <w:sectPr>
          <w:pgSz w:w="11910" w:h="16840"/>
          <w:pgMar w:header="0" w:footer="996" w:top="1340" w:bottom="1180" w:left="460" w:right="320"/>
        </w:sectPr>
      </w:pPr>
    </w:p>
    <w:p>
      <w:pPr>
        <w:pStyle w:val="Heading1"/>
        <w:numPr>
          <w:ilvl w:val="0"/>
          <w:numId w:val="2"/>
        </w:numPr>
        <w:tabs>
          <w:tab w:pos="1696" w:val="left" w:leader="none"/>
        </w:tabs>
        <w:spacing w:line="240" w:lineRule="auto" w:before="81" w:after="0"/>
        <w:ind w:left="1695" w:right="2077" w:hanging="358"/>
        <w:jc w:val="left"/>
      </w:pPr>
      <w:bookmarkStart w:name="6. INTRODUCTION TO THE EVALUATION OF EAR" w:id="11"/>
      <w:bookmarkEnd w:id="11"/>
      <w:r>
        <w:rPr>
          <w:b w:val="0"/>
        </w:rPr>
      </w:r>
      <w:bookmarkStart w:name="_bookmark5" w:id="12"/>
      <w:bookmarkEnd w:id="12"/>
      <w:r>
        <w:rPr/>
        <w:t>I</w:t>
      </w:r>
      <w:r>
        <w:rPr/>
        <w:t>NTRODUCTION</w:t>
      </w:r>
      <w:r>
        <w:rPr>
          <w:spacing w:val="-8"/>
        </w:rPr>
        <w:t> </w:t>
      </w:r>
      <w:r>
        <w:rPr/>
        <w:t>TO</w:t>
      </w:r>
      <w:r>
        <w:rPr>
          <w:spacing w:val="-9"/>
        </w:rPr>
        <w:t> </w:t>
      </w:r>
      <w:r>
        <w:rPr/>
        <w:t>THE</w:t>
      </w:r>
      <w:r>
        <w:rPr>
          <w:spacing w:val="-8"/>
        </w:rPr>
        <w:t> </w:t>
      </w:r>
      <w:r>
        <w:rPr/>
        <w:t>EVALUATION</w:t>
      </w:r>
      <w:r>
        <w:rPr>
          <w:spacing w:val="-9"/>
        </w:rPr>
        <w:t> </w:t>
      </w:r>
      <w:r>
        <w:rPr/>
        <w:t>OF EARLY CONCILIATION</w:t>
      </w:r>
    </w:p>
    <w:p>
      <w:pPr>
        <w:pStyle w:val="BodyText"/>
        <w:spacing w:before="9"/>
        <w:rPr>
          <w:b/>
          <w:sz w:val="52"/>
        </w:rPr>
      </w:pPr>
    </w:p>
    <w:p>
      <w:pPr>
        <w:pStyle w:val="BodyText"/>
        <w:spacing w:line="256" w:lineRule="auto"/>
        <w:ind w:left="1337" w:right="1473"/>
        <w:jc w:val="both"/>
      </w:pPr>
      <w:r>
        <w:rPr/>
        <w:t>The Advisory, Conciliation, and Arbitration Service (Acas) commissioned Ipsos MORI</w:t>
      </w:r>
      <w:r>
        <w:rPr>
          <w:spacing w:val="-4"/>
        </w:rPr>
        <w:t> </w:t>
      </w:r>
      <w:r>
        <w:rPr/>
        <w:t>to</w:t>
      </w:r>
      <w:r>
        <w:rPr>
          <w:spacing w:val="-5"/>
        </w:rPr>
        <w:t> </w:t>
      </w:r>
      <w:r>
        <w:rPr/>
        <w:t>undertake</w:t>
      </w:r>
      <w:r>
        <w:rPr>
          <w:spacing w:val="-4"/>
        </w:rPr>
        <w:t> </w:t>
      </w:r>
      <w:r>
        <w:rPr/>
        <w:t>the</w:t>
      </w:r>
      <w:r>
        <w:rPr>
          <w:spacing w:val="-5"/>
        </w:rPr>
        <w:t> </w:t>
      </w:r>
      <w:r>
        <w:rPr/>
        <w:t>second</w:t>
      </w:r>
      <w:r>
        <w:rPr>
          <w:spacing w:val="-4"/>
        </w:rPr>
        <w:t> </w:t>
      </w:r>
      <w:r>
        <w:rPr/>
        <w:t>wave</w:t>
      </w:r>
      <w:r>
        <w:rPr>
          <w:spacing w:val="-4"/>
        </w:rPr>
        <w:t> </w:t>
      </w:r>
      <w:r>
        <w:rPr/>
        <w:t>of</w:t>
      </w:r>
      <w:r>
        <w:rPr>
          <w:spacing w:val="-3"/>
        </w:rPr>
        <w:t> </w:t>
      </w:r>
      <w:r>
        <w:rPr/>
        <w:t>its</w:t>
      </w:r>
      <w:r>
        <w:rPr>
          <w:spacing w:val="-3"/>
        </w:rPr>
        <w:t> </w:t>
      </w:r>
      <w:r>
        <w:rPr/>
        <w:t>evaluation</w:t>
      </w:r>
      <w:r>
        <w:rPr>
          <w:spacing w:val="-3"/>
        </w:rPr>
        <w:t> </w:t>
      </w:r>
      <w:r>
        <w:rPr/>
        <w:t>of</w:t>
      </w:r>
      <w:r>
        <w:rPr>
          <w:spacing w:val="-3"/>
        </w:rPr>
        <w:t> </w:t>
      </w:r>
      <w:r>
        <w:rPr/>
        <w:t>the</w:t>
      </w:r>
      <w:r>
        <w:rPr>
          <w:spacing w:val="-4"/>
        </w:rPr>
        <w:t> </w:t>
      </w:r>
      <w:r>
        <w:rPr/>
        <w:t>Early</w:t>
      </w:r>
      <w:r>
        <w:rPr>
          <w:spacing w:val="-4"/>
        </w:rPr>
        <w:t> </w:t>
      </w:r>
      <w:r>
        <w:rPr/>
        <w:t>Conciliation</w:t>
      </w:r>
      <w:r>
        <w:rPr>
          <w:spacing w:val="-3"/>
        </w:rPr>
        <w:t> </w:t>
      </w:r>
      <w:r>
        <w:rPr/>
        <w:t>(EC) service. This part of the report outlines the findings from this research, with comparisons to </w:t>
      </w:r>
      <w:hyperlink r:id="rId16">
        <w:r>
          <w:rPr>
            <w:color w:val="0562C1"/>
            <w:u w:val="single" w:color="0562C1"/>
          </w:rPr>
          <w:t>a similar study undertaken in 2015</w:t>
        </w:r>
      </w:hyperlink>
      <w:r>
        <w:rPr/>
        <w:t>.</w:t>
      </w:r>
    </w:p>
    <w:p>
      <w:pPr>
        <w:pStyle w:val="BodyText"/>
      </w:pPr>
    </w:p>
    <w:p>
      <w:pPr>
        <w:pStyle w:val="BodyText"/>
        <w:ind w:left="1337" w:right="1474"/>
        <w:jc w:val="both"/>
      </w:pPr>
      <w:r>
        <w:rPr/>
        <w:t>The</w:t>
      </w:r>
      <w:r>
        <w:rPr>
          <w:spacing w:val="-8"/>
        </w:rPr>
        <w:t> </w:t>
      </w:r>
      <w:r>
        <w:rPr/>
        <w:t>survey</w:t>
      </w:r>
      <w:r>
        <w:rPr>
          <w:spacing w:val="-9"/>
        </w:rPr>
        <w:t> </w:t>
      </w:r>
      <w:r>
        <w:rPr/>
        <w:t>covers</w:t>
      </w:r>
      <w:r>
        <w:rPr>
          <w:spacing w:val="-8"/>
        </w:rPr>
        <w:t> </w:t>
      </w:r>
      <w:r>
        <w:rPr/>
        <w:t>user</w:t>
      </w:r>
      <w:r>
        <w:rPr>
          <w:spacing w:val="-9"/>
        </w:rPr>
        <w:t> </w:t>
      </w:r>
      <w:r>
        <w:rPr/>
        <w:t>experiences</w:t>
      </w:r>
      <w:r>
        <w:rPr>
          <w:spacing w:val="-7"/>
        </w:rPr>
        <w:t> </w:t>
      </w:r>
      <w:r>
        <w:rPr/>
        <w:t>of</w:t>
      </w:r>
      <w:r>
        <w:rPr>
          <w:spacing w:val="-7"/>
        </w:rPr>
        <w:t> </w:t>
      </w:r>
      <w:r>
        <w:rPr/>
        <w:t>the</w:t>
      </w:r>
      <w:r>
        <w:rPr>
          <w:spacing w:val="-8"/>
        </w:rPr>
        <w:t> </w:t>
      </w:r>
      <w:r>
        <w:rPr/>
        <w:t>service</w:t>
      </w:r>
      <w:r>
        <w:rPr>
          <w:spacing w:val="-8"/>
        </w:rPr>
        <w:t> </w:t>
      </w:r>
      <w:r>
        <w:rPr/>
        <w:t>provided</w:t>
      </w:r>
      <w:r>
        <w:rPr>
          <w:spacing w:val="-8"/>
        </w:rPr>
        <w:t> </w:t>
      </w:r>
      <w:r>
        <w:rPr/>
        <w:t>from</w:t>
      </w:r>
      <w:r>
        <w:rPr>
          <w:spacing w:val="-8"/>
        </w:rPr>
        <w:t> </w:t>
      </w:r>
      <w:r>
        <w:rPr/>
        <w:t>the</w:t>
      </w:r>
      <w:r>
        <w:rPr>
          <w:spacing w:val="-8"/>
        </w:rPr>
        <w:t> </w:t>
      </w:r>
      <w:r>
        <w:rPr/>
        <w:t>submission</w:t>
      </w:r>
      <w:r>
        <w:rPr>
          <w:spacing w:val="-7"/>
        </w:rPr>
        <w:t> </w:t>
      </w:r>
      <w:r>
        <w:rPr/>
        <w:t>of an</w:t>
      </w:r>
      <w:r>
        <w:rPr>
          <w:spacing w:val="-1"/>
        </w:rPr>
        <w:t> </w:t>
      </w:r>
      <w:r>
        <w:rPr/>
        <w:t>EC</w:t>
      </w:r>
      <w:r>
        <w:rPr>
          <w:spacing w:val="-1"/>
        </w:rPr>
        <w:t> </w:t>
      </w:r>
      <w:r>
        <w:rPr/>
        <w:t>notification</w:t>
      </w:r>
      <w:r>
        <w:rPr>
          <w:spacing w:val="-1"/>
        </w:rPr>
        <w:t> </w:t>
      </w:r>
      <w:r>
        <w:rPr/>
        <w:t>form</w:t>
      </w:r>
      <w:r>
        <w:rPr>
          <w:spacing w:val="-2"/>
        </w:rPr>
        <w:t> </w:t>
      </w:r>
      <w:r>
        <w:rPr/>
        <w:t>up</w:t>
      </w:r>
      <w:r>
        <w:rPr>
          <w:spacing w:val="-2"/>
        </w:rPr>
        <w:t> </w:t>
      </w:r>
      <w:r>
        <w:rPr/>
        <w:t>to</w:t>
      </w:r>
      <w:r>
        <w:rPr>
          <w:spacing w:val="-2"/>
        </w:rPr>
        <w:t> </w:t>
      </w:r>
      <w:r>
        <w:rPr/>
        <w:t>the</w:t>
      </w:r>
      <w:r>
        <w:rPr>
          <w:spacing w:val="-2"/>
        </w:rPr>
        <w:t> </w:t>
      </w:r>
      <w:r>
        <w:rPr/>
        <w:t>resolution</w:t>
      </w:r>
      <w:r>
        <w:rPr>
          <w:spacing w:val="-1"/>
        </w:rPr>
        <w:t> </w:t>
      </w:r>
      <w:r>
        <w:rPr/>
        <w:t>of</w:t>
      </w:r>
      <w:r>
        <w:rPr>
          <w:spacing w:val="-1"/>
        </w:rPr>
        <w:t> </w:t>
      </w:r>
      <w:r>
        <w:rPr/>
        <w:t>the</w:t>
      </w:r>
      <w:r>
        <w:rPr>
          <w:spacing w:val="-2"/>
        </w:rPr>
        <w:t> </w:t>
      </w:r>
      <w:r>
        <w:rPr/>
        <w:t>dispute</w:t>
      </w:r>
      <w:r>
        <w:rPr>
          <w:spacing w:val="-2"/>
        </w:rPr>
        <w:t> </w:t>
      </w:r>
      <w:r>
        <w:rPr/>
        <w:t>through</w:t>
      </w:r>
      <w:r>
        <w:rPr>
          <w:spacing w:val="-3"/>
        </w:rPr>
        <w:t> </w:t>
      </w:r>
      <w:r>
        <w:rPr/>
        <w:t>a</w:t>
      </w:r>
      <w:r>
        <w:rPr>
          <w:spacing w:val="-2"/>
        </w:rPr>
        <w:t> </w:t>
      </w:r>
      <w:r>
        <w:rPr/>
        <w:t>settlement</w:t>
      </w:r>
      <w:r>
        <w:rPr>
          <w:spacing w:val="-2"/>
        </w:rPr>
        <w:t> </w:t>
      </w:r>
      <w:r>
        <w:rPr/>
        <w:t>or preparation for a full tribunal claim, or another outcome. User experiences of conciliation after the submission of the ET1 form are covered under the second survey in this report.</w:t>
      </w:r>
    </w:p>
    <w:p>
      <w:pPr>
        <w:pStyle w:val="BodyText"/>
      </w:pPr>
    </w:p>
    <w:p>
      <w:pPr>
        <w:pStyle w:val="BodyText"/>
        <w:ind w:left="1337" w:right="1473"/>
        <w:jc w:val="both"/>
      </w:pPr>
      <w:r>
        <w:rPr/>
        <w:t>Fieldwork</w:t>
      </w:r>
      <w:r>
        <w:rPr>
          <w:spacing w:val="-9"/>
        </w:rPr>
        <w:t> </w:t>
      </w:r>
      <w:r>
        <w:rPr/>
        <w:t>took</w:t>
      </w:r>
      <w:r>
        <w:rPr>
          <w:spacing w:val="-9"/>
        </w:rPr>
        <w:t> </w:t>
      </w:r>
      <w:r>
        <w:rPr/>
        <w:t>place</w:t>
      </w:r>
      <w:r>
        <w:rPr>
          <w:spacing w:val="-10"/>
        </w:rPr>
        <w:t> </w:t>
      </w:r>
      <w:r>
        <w:rPr/>
        <w:t>from</w:t>
      </w:r>
      <w:r>
        <w:rPr>
          <w:spacing w:val="-10"/>
        </w:rPr>
        <w:t> </w:t>
      </w:r>
      <w:r>
        <w:rPr/>
        <w:t>the</w:t>
      </w:r>
      <w:r>
        <w:rPr>
          <w:spacing w:val="-10"/>
        </w:rPr>
        <w:t> </w:t>
      </w:r>
      <w:r>
        <w:rPr/>
        <w:t>23</w:t>
      </w:r>
      <w:r>
        <w:rPr>
          <w:spacing w:val="-11"/>
        </w:rPr>
        <w:t> </w:t>
      </w:r>
      <w:r>
        <w:rPr/>
        <w:t>May</w:t>
      </w:r>
      <w:r>
        <w:rPr>
          <w:spacing w:val="-9"/>
        </w:rPr>
        <w:t> </w:t>
      </w:r>
      <w:r>
        <w:rPr/>
        <w:t>and</w:t>
      </w:r>
      <w:r>
        <w:rPr>
          <w:spacing w:val="-9"/>
        </w:rPr>
        <w:t> </w:t>
      </w:r>
      <w:r>
        <w:rPr/>
        <w:t>23</w:t>
      </w:r>
      <w:r>
        <w:rPr>
          <w:spacing w:val="-11"/>
        </w:rPr>
        <w:t> </w:t>
      </w:r>
      <w:r>
        <w:rPr/>
        <w:t>August</w:t>
      </w:r>
      <w:r>
        <w:rPr>
          <w:spacing w:val="-9"/>
        </w:rPr>
        <w:t> </w:t>
      </w:r>
      <w:r>
        <w:rPr/>
        <w:t>2019.</w:t>
      </w:r>
      <w:r>
        <w:rPr>
          <w:spacing w:val="-10"/>
        </w:rPr>
        <w:t> </w:t>
      </w:r>
      <w:r>
        <w:rPr/>
        <w:t>In</w:t>
      </w:r>
      <w:r>
        <w:rPr>
          <w:spacing w:val="-9"/>
        </w:rPr>
        <w:t> </w:t>
      </w:r>
      <w:r>
        <w:rPr/>
        <w:t>total,</w:t>
      </w:r>
      <w:r>
        <w:rPr>
          <w:spacing w:val="-9"/>
        </w:rPr>
        <w:t> </w:t>
      </w:r>
      <w:r>
        <w:rPr/>
        <w:t>932</w:t>
      </w:r>
      <w:r>
        <w:rPr>
          <w:spacing w:val="-9"/>
        </w:rPr>
        <w:t> </w:t>
      </w:r>
      <w:r>
        <w:rPr/>
        <w:t>interviews were achieved in the claimant survey (76% with claimants and 24% with their representatives) and 773 interviews were achieved in the employer survey (70% with employers</w:t>
      </w:r>
      <w:r>
        <w:rPr>
          <w:spacing w:val="-1"/>
        </w:rPr>
        <w:t> </w:t>
      </w:r>
      <w:r>
        <w:rPr/>
        <w:t>and</w:t>
      </w:r>
      <w:r>
        <w:rPr>
          <w:spacing w:val="-1"/>
        </w:rPr>
        <w:t> </w:t>
      </w:r>
      <w:r>
        <w:rPr/>
        <w:t>30% with their</w:t>
      </w:r>
      <w:r>
        <w:rPr>
          <w:spacing w:val="-1"/>
        </w:rPr>
        <w:t> </w:t>
      </w:r>
      <w:r>
        <w:rPr/>
        <w:t>representatives). Details</w:t>
      </w:r>
      <w:r>
        <w:rPr>
          <w:spacing w:val="-1"/>
        </w:rPr>
        <w:t> </w:t>
      </w:r>
      <w:r>
        <w:rPr/>
        <w:t>on response</w:t>
      </w:r>
      <w:r>
        <w:rPr>
          <w:spacing w:val="-1"/>
        </w:rPr>
        <w:t> </w:t>
      </w:r>
      <w:r>
        <w:rPr/>
        <w:t>rate</w:t>
      </w:r>
      <w:r>
        <w:rPr>
          <w:spacing w:val="-1"/>
        </w:rPr>
        <w:t> </w:t>
      </w:r>
      <w:r>
        <w:rPr/>
        <w:t>can be reviewed in the technical appendix.</w:t>
      </w:r>
    </w:p>
    <w:p>
      <w:pPr>
        <w:pStyle w:val="BodyText"/>
        <w:spacing w:before="4"/>
        <w:rPr>
          <w:sz w:val="23"/>
        </w:rPr>
      </w:pPr>
    </w:p>
    <w:p>
      <w:pPr>
        <w:pStyle w:val="BodyText"/>
        <w:ind w:left="1337" w:right="1472"/>
      </w:pPr>
      <w:r>
        <w:rPr/>
        <w:t>In</w:t>
      </w:r>
      <w:r>
        <w:rPr>
          <w:spacing w:val="-1"/>
        </w:rPr>
        <w:t> </w:t>
      </w:r>
      <w:r>
        <w:rPr/>
        <w:t>considering</w:t>
      </w:r>
      <w:r>
        <w:rPr>
          <w:spacing w:val="-1"/>
        </w:rPr>
        <w:t> </w:t>
      </w:r>
      <w:r>
        <w:rPr/>
        <w:t>the</w:t>
      </w:r>
      <w:r>
        <w:rPr>
          <w:spacing w:val="-2"/>
        </w:rPr>
        <w:t> </w:t>
      </w:r>
      <w:r>
        <w:rPr/>
        <w:t>results</w:t>
      </w:r>
      <w:r>
        <w:rPr>
          <w:spacing w:val="-1"/>
        </w:rPr>
        <w:t> </w:t>
      </w:r>
      <w:r>
        <w:rPr/>
        <w:t>for</w:t>
      </w:r>
      <w:r>
        <w:rPr>
          <w:spacing w:val="-3"/>
        </w:rPr>
        <w:t> </w:t>
      </w:r>
      <w:r>
        <w:rPr/>
        <w:t>this</w:t>
      </w:r>
      <w:r>
        <w:rPr>
          <w:spacing w:val="-1"/>
        </w:rPr>
        <w:t> </w:t>
      </w:r>
      <w:r>
        <w:rPr/>
        <w:t>survey,</w:t>
      </w:r>
      <w:r>
        <w:rPr>
          <w:spacing w:val="-2"/>
        </w:rPr>
        <w:t> </w:t>
      </w:r>
      <w:r>
        <w:rPr/>
        <w:t>especially</w:t>
      </w:r>
      <w:r>
        <w:rPr>
          <w:spacing w:val="-1"/>
        </w:rPr>
        <w:t> </w:t>
      </w:r>
      <w:r>
        <w:rPr/>
        <w:t>the</w:t>
      </w:r>
      <w:r>
        <w:rPr>
          <w:spacing w:val="-2"/>
        </w:rPr>
        <w:t> </w:t>
      </w:r>
      <w:r>
        <w:rPr/>
        <w:t>trends</w:t>
      </w:r>
      <w:r>
        <w:rPr>
          <w:spacing w:val="-1"/>
        </w:rPr>
        <w:t> </w:t>
      </w:r>
      <w:r>
        <w:rPr/>
        <w:t>and</w:t>
      </w:r>
      <w:r>
        <w:rPr>
          <w:spacing w:val="-1"/>
        </w:rPr>
        <w:t> </w:t>
      </w:r>
      <w:r>
        <w:rPr/>
        <w:t>changes</w:t>
      </w:r>
      <w:r>
        <w:rPr>
          <w:spacing w:val="-1"/>
        </w:rPr>
        <w:t> </w:t>
      </w:r>
      <w:r>
        <w:rPr/>
        <w:t>since the previous evaluation in 2015, it is important to be mindful of the context of change:</w:t>
      </w:r>
      <w:r>
        <w:rPr>
          <w:spacing w:val="-3"/>
        </w:rPr>
        <w:t> </w:t>
      </w:r>
      <w:r>
        <w:rPr/>
        <w:t>the</w:t>
      </w:r>
      <w:r>
        <w:rPr>
          <w:spacing w:val="-3"/>
        </w:rPr>
        <w:t> </w:t>
      </w:r>
      <w:r>
        <w:rPr/>
        <w:t>abolition</w:t>
      </w:r>
      <w:r>
        <w:rPr>
          <w:spacing w:val="-2"/>
        </w:rPr>
        <w:t> </w:t>
      </w:r>
      <w:r>
        <w:rPr/>
        <w:t>of</w:t>
      </w:r>
      <w:r>
        <w:rPr>
          <w:spacing w:val="-3"/>
        </w:rPr>
        <w:t> </w:t>
      </w:r>
      <w:r>
        <w:rPr/>
        <w:t>ET</w:t>
      </w:r>
      <w:r>
        <w:rPr>
          <w:spacing w:val="-3"/>
        </w:rPr>
        <w:t> </w:t>
      </w:r>
      <w:r>
        <w:rPr/>
        <w:t>fees,</w:t>
      </w:r>
      <w:r>
        <w:rPr>
          <w:spacing w:val="-3"/>
        </w:rPr>
        <w:t> </w:t>
      </w:r>
      <w:r>
        <w:rPr/>
        <w:t>the</w:t>
      </w:r>
      <w:r>
        <w:rPr>
          <w:spacing w:val="-3"/>
        </w:rPr>
        <w:t> </w:t>
      </w:r>
      <w:r>
        <w:rPr/>
        <w:t>increase</w:t>
      </w:r>
      <w:r>
        <w:rPr>
          <w:spacing w:val="-2"/>
        </w:rPr>
        <w:t> </w:t>
      </w:r>
      <w:r>
        <w:rPr/>
        <w:t>in</w:t>
      </w:r>
      <w:r>
        <w:rPr>
          <w:spacing w:val="-3"/>
        </w:rPr>
        <w:t> </w:t>
      </w:r>
      <w:r>
        <w:rPr/>
        <w:t>EC</w:t>
      </w:r>
      <w:r>
        <w:rPr>
          <w:spacing w:val="-3"/>
        </w:rPr>
        <w:t> </w:t>
      </w:r>
      <w:r>
        <w:rPr/>
        <w:t>caseloads,</w:t>
      </w:r>
      <w:r>
        <w:rPr>
          <w:spacing w:val="-2"/>
        </w:rPr>
        <w:t> </w:t>
      </w:r>
      <w:r>
        <w:rPr/>
        <w:t>and</w:t>
      </w:r>
      <w:r>
        <w:rPr>
          <w:spacing w:val="-2"/>
        </w:rPr>
        <w:t> </w:t>
      </w:r>
      <w:r>
        <w:rPr/>
        <w:t>–</w:t>
      </w:r>
      <w:r>
        <w:rPr>
          <w:spacing w:val="-3"/>
        </w:rPr>
        <w:t> </w:t>
      </w:r>
      <w:r>
        <w:rPr/>
        <w:t>perhaps</w:t>
      </w:r>
      <w:r>
        <w:rPr>
          <w:spacing w:val="-2"/>
        </w:rPr>
        <w:t> </w:t>
      </w:r>
      <w:r>
        <w:rPr/>
        <w:t>to</w:t>
      </w:r>
      <w:r>
        <w:rPr>
          <w:spacing w:val="-5"/>
        </w:rPr>
        <w:t> </w:t>
      </w:r>
      <w:r>
        <w:rPr/>
        <w:t>a lesser extent – the introduction by Acas of a dedicated fast-track conciliator role might</w:t>
      </w:r>
      <w:r>
        <w:rPr>
          <w:spacing w:val="-1"/>
        </w:rPr>
        <w:t> </w:t>
      </w:r>
      <w:r>
        <w:rPr/>
        <w:t>all</w:t>
      </w:r>
      <w:r>
        <w:rPr>
          <w:spacing w:val="-2"/>
        </w:rPr>
        <w:t> </w:t>
      </w:r>
      <w:r>
        <w:rPr/>
        <w:t>be expected</w:t>
      </w:r>
      <w:r>
        <w:rPr>
          <w:spacing w:val="-2"/>
        </w:rPr>
        <w:t> </w:t>
      </w:r>
      <w:r>
        <w:rPr/>
        <w:t>to</w:t>
      </w:r>
      <w:r>
        <w:rPr>
          <w:spacing w:val="-1"/>
        </w:rPr>
        <w:t> </w:t>
      </w:r>
      <w:r>
        <w:rPr/>
        <w:t>have</w:t>
      </w:r>
      <w:r>
        <w:rPr>
          <w:spacing w:val="-2"/>
        </w:rPr>
        <w:t> </w:t>
      </w:r>
      <w:r>
        <w:rPr/>
        <w:t>some</w:t>
      </w:r>
      <w:r>
        <w:rPr>
          <w:spacing w:val="-2"/>
        </w:rPr>
        <w:t> </w:t>
      </w:r>
      <w:r>
        <w:rPr/>
        <w:t>bearing</w:t>
      </w:r>
      <w:r>
        <w:rPr>
          <w:spacing w:val="-1"/>
        </w:rPr>
        <w:t> </w:t>
      </w:r>
      <w:r>
        <w:rPr/>
        <w:t>on</w:t>
      </w:r>
      <w:r>
        <w:rPr>
          <w:spacing w:val="-1"/>
        </w:rPr>
        <w:t> </w:t>
      </w:r>
      <w:r>
        <w:rPr/>
        <w:t>results,</w:t>
      </w:r>
      <w:r>
        <w:rPr>
          <w:spacing w:val="-2"/>
        </w:rPr>
        <w:t> </w:t>
      </w:r>
      <w:r>
        <w:rPr/>
        <w:t>although</w:t>
      </w:r>
      <w:r>
        <w:rPr>
          <w:spacing w:val="-1"/>
        </w:rPr>
        <w:t> </w:t>
      </w:r>
      <w:r>
        <w:rPr/>
        <w:t>it</w:t>
      </w:r>
      <w:r>
        <w:rPr>
          <w:spacing w:val="-1"/>
        </w:rPr>
        <w:t> </w:t>
      </w:r>
      <w:r>
        <w:rPr/>
        <w:t>is</w:t>
      </w:r>
      <w:r>
        <w:rPr>
          <w:spacing w:val="-2"/>
        </w:rPr>
        <w:t> </w:t>
      </w:r>
      <w:r>
        <w:rPr/>
        <w:t>not</w:t>
      </w:r>
      <w:r>
        <w:rPr>
          <w:spacing w:val="-1"/>
        </w:rPr>
        <w:t> </w:t>
      </w:r>
      <w:r>
        <w:rPr/>
        <w:t>possible to go beyond the data and attribute specific causal impacts of these changes.</w:t>
      </w:r>
    </w:p>
    <w:p>
      <w:pPr>
        <w:pStyle w:val="BodyText"/>
        <w:ind w:left="1336" w:right="1472"/>
      </w:pPr>
      <w:r>
        <w:rPr/>
        <w:t>Key</w:t>
      </w:r>
      <w:r>
        <w:rPr>
          <w:spacing w:val="-2"/>
        </w:rPr>
        <w:t> </w:t>
      </w:r>
      <w:r>
        <w:rPr/>
        <w:t>trends</w:t>
      </w:r>
      <w:r>
        <w:rPr>
          <w:spacing w:val="-3"/>
        </w:rPr>
        <w:t> </w:t>
      </w:r>
      <w:r>
        <w:rPr/>
        <w:t>between</w:t>
      </w:r>
      <w:r>
        <w:rPr>
          <w:spacing w:val="-2"/>
        </w:rPr>
        <w:t> </w:t>
      </w:r>
      <w:r>
        <w:rPr/>
        <w:t>2015</w:t>
      </w:r>
      <w:r>
        <w:rPr>
          <w:spacing w:val="-2"/>
        </w:rPr>
        <w:t> </w:t>
      </w:r>
      <w:r>
        <w:rPr/>
        <w:t>and</w:t>
      </w:r>
      <w:r>
        <w:rPr>
          <w:spacing w:val="-3"/>
        </w:rPr>
        <w:t> </w:t>
      </w:r>
      <w:r>
        <w:rPr/>
        <w:t>2019</w:t>
      </w:r>
      <w:r>
        <w:rPr>
          <w:spacing w:val="-2"/>
        </w:rPr>
        <w:t> </w:t>
      </w:r>
      <w:r>
        <w:rPr/>
        <w:t>are</w:t>
      </w:r>
      <w:r>
        <w:rPr>
          <w:spacing w:val="-3"/>
        </w:rPr>
        <w:t> </w:t>
      </w:r>
      <w:r>
        <w:rPr/>
        <w:t>given</w:t>
      </w:r>
      <w:r>
        <w:rPr>
          <w:spacing w:val="-3"/>
        </w:rPr>
        <w:t> </w:t>
      </w:r>
      <w:r>
        <w:rPr/>
        <w:t>throughout</w:t>
      </w:r>
      <w:r>
        <w:rPr>
          <w:spacing w:val="-3"/>
        </w:rPr>
        <w:t> </w:t>
      </w:r>
      <w:r>
        <w:rPr/>
        <w:t>this</w:t>
      </w:r>
      <w:r>
        <w:rPr>
          <w:spacing w:val="-2"/>
        </w:rPr>
        <w:t> </w:t>
      </w:r>
      <w:r>
        <w:rPr/>
        <w:t>part</w:t>
      </w:r>
      <w:r>
        <w:rPr>
          <w:spacing w:val="-2"/>
        </w:rPr>
        <w:t> </w:t>
      </w:r>
      <w:r>
        <w:rPr/>
        <w:t>of</w:t>
      </w:r>
      <w:r>
        <w:rPr>
          <w:spacing w:val="-3"/>
        </w:rPr>
        <w:t> </w:t>
      </w:r>
      <w:r>
        <w:rPr/>
        <w:t>the</w:t>
      </w:r>
      <w:r>
        <w:rPr>
          <w:spacing w:val="-3"/>
        </w:rPr>
        <w:t> </w:t>
      </w:r>
      <w:r>
        <w:rPr/>
        <w:t>report, but these should not be taken as a signal of a </w:t>
      </w:r>
      <w:r>
        <w:rPr>
          <w:i/>
        </w:rPr>
        <w:t>direct </w:t>
      </w:r>
      <w:r>
        <w:rPr/>
        <w:t>comparison insofar as the context that EC operates in has shifted.</w:t>
      </w:r>
    </w:p>
    <w:p>
      <w:pPr>
        <w:pStyle w:val="BodyText"/>
        <w:spacing w:before="7"/>
        <w:rPr>
          <w:sz w:val="26"/>
        </w:rPr>
      </w:pPr>
    </w:p>
    <w:p>
      <w:pPr>
        <w:pStyle w:val="BodyText"/>
        <w:spacing w:before="1"/>
        <w:ind w:left="1336" w:right="1474"/>
        <w:jc w:val="both"/>
      </w:pPr>
      <w:r>
        <w:rPr/>
        <w:t>Finally,</w:t>
      </w:r>
      <w:r>
        <w:rPr>
          <w:spacing w:val="-2"/>
        </w:rPr>
        <w:t> </w:t>
      </w:r>
      <w:r>
        <w:rPr/>
        <w:t>it</w:t>
      </w:r>
      <w:r>
        <w:rPr>
          <w:spacing w:val="-3"/>
        </w:rPr>
        <w:t> </w:t>
      </w:r>
      <w:r>
        <w:rPr/>
        <w:t>should</w:t>
      </w:r>
      <w:r>
        <w:rPr>
          <w:spacing w:val="-3"/>
        </w:rPr>
        <w:t> </w:t>
      </w:r>
      <w:r>
        <w:rPr/>
        <w:t>be</w:t>
      </w:r>
      <w:r>
        <w:rPr>
          <w:spacing w:val="-5"/>
        </w:rPr>
        <w:t> </w:t>
      </w:r>
      <w:r>
        <w:rPr/>
        <w:t>noted</w:t>
      </w:r>
      <w:r>
        <w:rPr>
          <w:spacing w:val="-3"/>
        </w:rPr>
        <w:t> </w:t>
      </w:r>
      <w:r>
        <w:rPr/>
        <w:t>that</w:t>
      </w:r>
      <w:r>
        <w:rPr>
          <w:spacing w:val="-4"/>
        </w:rPr>
        <w:t> </w:t>
      </w:r>
      <w:r>
        <w:rPr/>
        <w:t>since</w:t>
      </w:r>
      <w:r>
        <w:rPr>
          <w:spacing w:val="-4"/>
        </w:rPr>
        <w:t> </w:t>
      </w:r>
      <w:r>
        <w:rPr/>
        <w:t>this</w:t>
      </w:r>
      <w:r>
        <w:rPr>
          <w:spacing w:val="-4"/>
        </w:rPr>
        <w:t> </w:t>
      </w:r>
      <w:r>
        <w:rPr/>
        <w:t>evaluation</w:t>
      </w:r>
      <w:r>
        <w:rPr>
          <w:spacing w:val="-3"/>
        </w:rPr>
        <w:t> </w:t>
      </w:r>
      <w:r>
        <w:rPr/>
        <w:t>was</w:t>
      </w:r>
      <w:r>
        <w:rPr>
          <w:spacing w:val="-5"/>
        </w:rPr>
        <w:t> </w:t>
      </w:r>
      <w:r>
        <w:rPr/>
        <w:t>undertaken</w:t>
      </w:r>
      <w:r>
        <w:rPr>
          <w:spacing w:val="-4"/>
        </w:rPr>
        <w:t> </w:t>
      </w:r>
      <w:r>
        <w:rPr/>
        <w:t>in</w:t>
      </w:r>
      <w:r>
        <w:rPr>
          <w:spacing w:val="-3"/>
        </w:rPr>
        <w:t> </w:t>
      </w:r>
      <w:r>
        <w:rPr/>
        <w:t>2019,</w:t>
      </w:r>
      <w:r>
        <w:rPr>
          <w:spacing w:val="-4"/>
        </w:rPr>
        <w:t> </w:t>
      </w:r>
      <w:r>
        <w:rPr/>
        <w:t>Acas has made other developments in service provision: a new online notification form for claimants; a new case management system for conciliators, and; pilots of alternative team-based models of conciliation delivery. None of these subsequent features</w:t>
      </w:r>
      <w:r>
        <w:rPr>
          <w:spacing w:val="-3"/>
        </w:rPr>
        <w:t> </w:t>
      </w:r>
      <w:r>
        <w:rPr/>
        <w:t>were</w:t>
      </w:r>
      <w:r>
        <w:rPr>
          <w:spacing w:val="-4"/>
        </w:rPr>
        <w:t> </w:t>
      </w:r>
      <w:r>
        <w:rPr/>
        <w:t>captured</w:t>
      </w:r>
      <w:r>
        <w:rPr>
          <w:spacing w:val="-4"/>
        </w:rPr>
        <w:t> </w:t>
      </w:r>
      <w:r>
        <w:rPr/>
        <w:t>in</w:t>
      </w:r>
      <w:r>
        <w:rPr>
          <w:spacing w:val="-3"/>
        </w:rPr>
        <w:t> </w:t>
      </w:r>
      <w:r>
        <w:rPr/>
        <w:t>the</w:t>
      </w:r>
      <w:r>
        <w:rPr>
          <w:spacing w:val="-4"/>
        </w:rPr>
        <w:t> </w:t>
      </w:r>
      <w:r>
        <w:rPr/>
        <w:t>2019</w:t>
      </w:r>
      <w:r>
        <w:rPr>
          <w:spacing w:val="-5"/>
        </w:rPr>
        <w:t> </w:t>
      </w:r>
      <w:r>
        <w:rPr/>
        <w:t>survey,</w:t>
      </w:r>
      <w:r>
        <w:rPr>
          <w:spacing w:val="-4"/>
        </w:rPr>
        <w:t> </w:t>
      </w:r>
      <w:r>
        <w:rPr/>
        <w:t>which</w:t>
      </w:r>
      <w:r>
        <w:rPr>
          <w:spacing w:val="-3"/>
        </w:rPr>
        <w:t> </w:t>
      </w:r>
      <w:r>
        <w:rPr/>
        <w:t>provides</w:t>
      </w:r>
      <w:r>
        <w:rPr>
          <w:spacing w:val="-4"/>
        </w:rPr>
        <w:t> </w:t>
      </w:r>
      <w:r>
        <w:rPr/>
        <w:t>as</w:t>
      </w:r>
      <w:r>
        <w:rPr>
          <w:spacing w:val="-3"/>
        </w:rPr>
        <w:t> </w:t>
      </w:r>
      <w:r>
        <w:rPr/>
        <w:t>an</w:t>
      </w:r>
      <w:r>
        <w:rPr>
          <w:spacing w:val="-3"/>
        </w:rPr>
        <w:t> </w:t>
      </w:r>
      <w:r>
        <w:rPr/>
        <w:t>evaluation</w:t>
      </w:r>
      <w:r>
        <w:rPr>
          <w:spacing w:val="-3"/>
        </w:rPr>
        <w:t> </w:t>
      </w:r>
      <w:r>
        <w:rPr/>
        <w:t>of</w:t>
      </w:r>
      <w:r>
        <w:rPr>
          <w:spacing w:val="-3"/>
        </w:rPr>
        <w:t> </w:t>
      </w:r>
      <w:r>
        <w:rPr/>
        <w:t>the service as it stood in March – April 2019.</w:t>
      </w:r>
    </w:p>
    <w:p>
      <w:pPr>
        <w:spacing w:after="0"/>
        <w:jc w:val="both"/>
        <w:sectPr>
          <w:pgSz w:w="11910" w:h="16840"/>
          <w:pgMar w:header="0" w:footer="996" w:top="1340" w:bottom="1180" w:left="460" w:right="320"/>
        </w:sectPr>
      </w:pPr>
    </w:p>
    <w:p>
      <w:pPr>
        <w:pStyle w:val="Heading2"/>
        <w:numPr>
          <w:ilvl w:val="0"/>
          <w:numId w:val="2"/>
        </w:numPr>
        <w:tabs>
          <w:tab w:pos="1696" w:val="left" w:leader="none"/>
        </w:tabs>
        <w:spacing w:line="240" w:lineRule="auto" w:before="80" w:after="0"/>
        <w:ind w:left="1695" w:right="0" w:hanging="359"/>
        <w:jc w:val="left"/>
      </w:pPr>
      <w:bookmarkStart w:name="_bookmark6" w:id="13"/>
      <w:bookmarkEnd w:id="13"/>
      <w:r>
        <w:rPr/>
        <w:t>PROFILE</w:t>
      </w:r>
      <w:r>
        <w:rPr>
          <w:spacing w:val="-9"/>
        </w:rPr>
        <w:t> </w:t>
      </w:r>
      <w:r>
        <w:rPr/>
        <w:t>OF</w:t>
      </w:r>
      <w:r>
        <w:rPr>
          <w:spacing w:val="-8"/>
        </w:rPr>
        <w:t> </w:t>
      </w:r>
      <w:r>
        <w:rPr/>
        <w:t>PARTIES</w:t>
      </w:r>
      <w:r>
        <w:rPr>
          <w:spacing w:val="-8"/>
        </w:rPr>
        <w:t> </w:t>
      </w:r>
      <w:r>
        <w:rPr/>
        <w:t>AT</w:t>
      </w:r>
      <w:r>
        <w:rPr>
          <w:spacing w:val="-8"/>
        </w:rPr>
        <w:t> </w:t>
      </w:r>
      <w:r>
        <w:rPr/>
        <w:t>EC</w:t>
      </w:r>
      <w:r>
        <w:rPr>
          <w:spacing w:val="-8"/>
        </w:rPr>
        <w:t> </w:t>
      </w:r>
      <w:r>
        <w:rPr/>
        <w:t>AND</w:t>
      </w:r>
      <w:r>
        <w:rPr>
          <w:spacing w:val="-8"/>
        </w:rPr>
        <w:t> </w:t>
      </w:r>
      <w:r>
        <w:rPr/>
        <w:t>THEIR</w:t>
      </w:r>
      <w:r>
        <w:rPr>
          <w:spacing w:val="-8"/>
        </w:rPr>
        <w:t> </w:t>
      </w:r>
      <w:r>
        <w:rPr>
          <w:spacing w:val="-2"/>
        </w:rPr>
        <w:t>DISPUTES</w:t>
      </w:r>
    </w:p>
    <w:p>
      <w:pPr>
        <w:pStyle w:val="BodyText"/>
        <w:rPr>
          <w:b/>
          <w:sz w:val="34"/>
        </w:rPr>
      </w:pPr>
    </w:p>
    <w:p>
      <w:pPr>
        <w:pStyle w:val="Heading3"/>
        <w:spacing w:line="243" w:lineRule="exact" w:before="210"/>
        <w:jc w:val="left"/>
      </w:pPr>
      <w:r>
        <w:rPr>
          <w:spacing w:val="-2"/>
        </w:rPr>
        <w:t>Synopsis:</w:t>
      </w:r>
    </w:p>
    <w:p>
      <w:pPr>
        <w:pStyle w:val="BodyText"/>
        <w:ind w:left="1337" w:right="1217"/>
      </w:pPr>
      <w:r>
        <w:rPr/>
        <w:t>This chapter outlines the profiles of the four types of participants who took part in the survey:</w:t>
      </w:r>
    </w:p>
    <w:p>
      <w:pPr>
        <w:pStyle w:val="ListParagraph"/>
        <w:numPr>
          <w:ilvl w:val="0"/>
          <w:numId w:val="8"/>
        </w:numPr>
        <w:tabs>
          <w:tab w:pos="2057" w:val="left" w:leader="none"/>
          <w:tab w:pos="2058" w:val="left" w:leader="none"/>
        </w:tabs>
        <w:spacing w:line="244" w:lineRule="exact" w:before="0" w:after="0"/>
        <w:ind w:left="2057" w:right="0" w:hanging="361"/>
        <w:jc w:val="left"/>
        <w:rPr>
          <w:rFonts w:ascii="Symbol" w:hAnsi="Symbol"/>
          <w:sz w:val="20"/>
        </w:rPr>
      </w:pPr>
      <w:r>
        <w:rPr>
          <w:spacing w:val="-2"/>
          <w:sz w:val="20"/>
        </w:rPr>
        <w:t>Claimants</w:t>
      </w:r>
    </w:p>
    <w:p>
      <w:pPr>
        <w:pStyle w:val="ListParagraph"/>
        <w:numPr>
          <w:ilvl w:val="0"/>
          <w:numId w:val="8"/>
        </w:numPr>
        <w:tabs>
          <w:tab w:pos="2057" w:val="left" w:leader="none"/>
          <w:tab w:pos="2058" w:val="left" w:leader="none"/>
        </w:tabs>
        <w:spacing w:line="243" w:lineRule="exact" w:before="0" w:after="0"/>
        <w:ind w:left="2057" w:right="0" w:hanging="361"/>
        <w:jc w:val="left"/>
        <w:rPr>
          <w:rFonts w:ascii="Symbol" w:hAnsi="Symbol"/>
          <w:sz w:val="20"/>
        </w:rPr>
      </w:pPr>
      <w:r>
        <w:rPr>
          <w:spacing w:val="-2"/>
          <w:sz w:val="20"/>
        </w:rPr>
        <w:t>Employers</w:t>
      </w:r>
    </w:p>
    <w:p>
      <w:pPr>
        <w:pStyle w:val="ListParagraph"/>
        <w:numPr>
          <w:ilvl w:val="0"/>
          <w:numId w:val="8"/>
        </w:numPr>
        <w:tabs>
          <w:tab w:pos="2057" w:val="left" w:leader="none"/>
          <w:tab w:pos="2058" w:val="left" w:leader="none"/>
        </w:tabs>
        <w:spacing w:line="243" w:lineRule="exact" w:before="0" w:after="0"/>
        <w:ind w:left="2057" w:right="0" w:hanging="361"/>
        <w:jc w:val="left"/>
        <w:rPr>
          <w:rFonts w:ascii="Symbol" w:hAnsi="Symbol"/>
          <w:sz w:val="20"/>
        </w:rPr>
      </w:pPr>
      <w:r>
        <w:rPr>
          <w:sz w:val="20"/>
        </w:rPr>
        <w:t>Claimant</w:t>
      </w:r>
      <w:r>
        <w:rPr>
          <w:spacing w:val="-6"/>
          <w:sz w:val="20"/>
        </w:rPr>
        <w:t> </w:t>
      </w:r>
      <w:r>
        <w:rPr>
          <w:spacing w:val="-2"/>
          <w:sz w:val="20"/>
        </w:rPr>
        <w:t>representatives</w:t>
      </w:r>
    </w:p>
    <w:p>
      <w:pPr>
        <w:pStyle w:val="ListParagraph"/>
        <w:numPr>
          <w:ilvl w:val="0"/>
          <w:numId w:val="8"/>
        </w:numPr>
        <w:tabs>
          <w:tab w:pos="2057" w:val="left" w:leader="none"/>
          <w:tab w:pos="2058" w:val="left" w:leader="none"/>
        </w:tabs>
        <w:spacing w:line="244" w:lineRule="exact" w:before="0" w:after="0"/>
        <w:ind w:left="2057" w:right="0" w:hanging="361"/>
        <w:jc w:val="left"/>
        <w:rPr>
          <w:rFonts w:ascii="Symbol" w:hAnsi="Symbol"/>
          <w:sz w:val="20"/>
        </w:rPr>
      </w:pPr>
      <w:r>
        <w:rPr>
          <w:sz w:val="20"/>
        </w:rPr>
        <w:t>Employer</w:t>
      </w:r>
      <w:r>
        <w:rPr>
          <w:spacing w:val="-6"/>
          <w:sz w:val="20"/>
        </w:rPr>
        <w:t> </w:t>
      </w:r>
      <w:r>
        <w:rPr>
          <w:spacing w:val="-2"/>
          <w:sz w:val="20"/>
        </w:rPr>
        <w:t>representatives</w:t>
      </w:r>
    </w:p>
    <w:p>
      <w:pPr>
        <w:pStyle w:val="BodyText"/>
        <w:spacing w:before="10"/>
        <w:rPr>
          <w:sz w:val="19"/>
        </w:rPr>
      </w:pPr>
    </w:p>
    <w:p>
      <w:pPr>
        <w:pStyle w:val="BodyText"/>
        <w:ind w:left="1337" w:right="1472"/>
        <w:jc w:val="both"/>
      </w:pPr>
      <w:r>
        <w:rPr/>
        <w:t>The</w:t>
      </w:r>
      <w:r>
        <w:rPr>
          <w:spacing w:val="-3"/>
        </w:rPr>
        <w:t> </w:t>
      </w:r>
      <w:r>
        <w:rPr/>
        <w:t>chapter</w:t>
      </w:r>
      <w:r>
        <w:rPr>
          <w:spacing w:val="-3"/>
        </w:rPr>
        <w:t> </w:t>
      </w:r>
      <w:r>
        <w:rPr/>
        <w:t>also</w:t>
      </w:r>
      <w:r>
        <w:rPr>
          <w:spacing w:val="-3"/>
        </w:rPr>
        <w:t> </w:t>
      </w:r>
      <w:r>
        <w:rPr/>
        <w:t>presents</w:t>
      </w:r>
      <w:r>
        <w:rPr>
          <w:spacing w:val="-3"/>
        </w:rPr>
        <w:t> </w:t>
      </w:r>
      <w:r>
        <w:rPr/>
        <w:t>findings</w:t>
      </w:r>
      <w:r>
        <w:rPr>
          <w:spacing w:val="-4"/>
        </w:rPr>
        <w:t> </w:t>
      </w:r>
      <w:r>
        <w:rPr/>
        <w:t>about</w:t>
      </w:r>
      <w:r>
        <w:rPr>
          <w:spacing w:val="-3"/>
        </w:rPr>
        <w:t> </w:t>
      </w:r>
      <w:r>
        <w:rPr/>
        <w:t>the</w:t>
      </w:r>
      <w:r>
        <w:rPr>
          <w:spacing w:val="-4"/>
        </w:rPr>
        <w:t> </w:t>
      </w:r>
      <w:r>
        <w:rPr/>
        <w:t>workplace</w:t>
      </w:r>
      <w:r>
        <w:rPr>
          <w:spacing w:val="-3"/>
        </w:rPr>
        <w:t> </w:t>
      </w:r>
      <w:r>
        <w:rPr/>
        <w:t>dispute</w:t>
      </w:r>
      <w:r>
        <w:rPr>
          <w:spacing w:val="-3"/>
        </w:rPr>
        <w:t> </w:t>
      </w:r>
      <w:r>
        <w:rPr/>
        <w:t>as</w:t>
      </w:r>
      <w:r>
        <w:rPr>
          <w:spacing w:val="-3"/>
        </w:rPr>
        <w:t> </w:t>
      </w:r>
      <w:r>
        <w:rPr/>
        <w:t>reported</w:t>
      </w:r>
      <w:r>
        <w:rPr>
          <w:spacing w:val="-3"/>
        </w:rPr>
        <w:t> </w:t>
      </w:r>
      <w:r>
        <w:rPr/>
        <w:t>by</w:t>
      </w:r>
      <w:r>
        <w:rPr>
          <w:spacing w:val="-4"/>
        </w:rPr>
        <w:t> </w:t>
      </w:r>
      <w:r>
        <w:rPr/>
        <w:t>the claimant (or their representative). It includes details of the nature of the dispute, reasons for leaving employment and the use of written policies and procedures at the workplace.</w:t>
      </w:r>
    </w:p>
    <w:p>
      <w:pPr>
        <w:pStyle w:val="BodyText"/>
      </w:pPr>
    </w:p>
    <w:p>
      <w:pPr>
        <w:pStyle w:val="BodyText"/>
        <w:spacing w:before="1"/>
        <w:ind w:left="1337" w:right="1472"/>
        <w:jc w:val="both"/>
      </w:pPr>
      <w:r>
        <w:rPr/>
        <w:t>As detailed in Chapter 5, the survey of claimants consisted of all claimant-side participants who submitted an EC notification. The survey of employer-side participants consisted of all employers who had been contacted about an ET notification which had been received about them, and who were offered EC.</w:t>
      </w:r>
    </w:p>
    <w:p>
      <w:pPr>
        <w:pStyle w:val="BodyText"/>
        <w:rPr>
          <w:sz w:val="18"/>
        </w:rPr>
      </w:pPr>
      <w:r>
        <w:rPr/>
        <w:pict>
          <v:shape style="position:absolute;margin-left:83.82pt;margin-top:12.887988pt;width:443.35pt;height:293.2pt;mso-position-horizontal-relative:page;mso-position-vertical-relative:paragraph;z-index:-15725056;mso-wrap-distance-left:0;mso-wrap-distance-right:0" type="#_x0000_t202" id="docshape5" filled="true" fillcolor="#f1f1f1" stroked="true" strokeweight="1.44pt" strokecolor="#000000">
            <v:textbox inset="0,0,0,0">
              <w:txbxContent>
                <w:p>
                  <w:pPr>
                    <w:pStyle w:val="BodyText"/>
                    <w:spacing w:before="11"/>
                    <w:rPr>
                      <w:color w:val="000000"/>
                      <w:sz w:val="19"/>
                    </w:rPr>
                  </w:pPr>
                </w:p>
                <w:p>
                  <w:pPr>
                    <w:spacing w:before="0"/>
                    <w:ind w:left="183" w:right="0" w:firstLine="0"/>
                    <w:jc w:val="left"/>
                    <w:rPr>
                      <w:b/>
                      <w:color w:val="000000"/>
                      <w:sz w:val="20"/>
                    </w:rPr>
                  </w:pPr>
                  <w:r>
                    <w:rPr>
                      <w:b/>
                      <w:color w:val="000000"/>
                      <w:sz w:val="20"/>
                    </w:rPr>
                    <w:t>Key</w:t>
                  </w:r>
                  <w:r>
                    <w:rPr>
                      <w:b/>
                      <w:color w:val="000000"/>
                      <w:spacing w:val="-5"/>
                      <w:sz w:val="20"/>
                    </w:rPr>
                    <w:t> </w:t>
                  </w:r>
                  <w:r>
                    <w:rPr>
                      <w:b/>
                      <w:color w:val="000000"/>
                      <w:sz w:val="20"/>
                    </w:rPr>
                    <w:t>trends</w:t>
                  </w:r>
                  <w:r>
                    <w:rPr>
                      <w:b/>
                      <w:color w:val="000000"/>
                      <w:spacing w:val="-5"/>
                      <w:sz w:val="20"/>
                    </w:rPr>
                    <w:t> </w:t>
                  </w:r>
                  <w:r>
                    <w:rPr>
                      <w:b/>
                      <w:color w:val="000000"/>
                      <w:sz w:val="20"/>
                    </w:rPr>
                    <w:t>at-a-</w:t>
                  </w:r>
                  <w:r>
                    <w:rPr>
                      <w:b/>
                      <w:color w:val="000000"/>
                      <w:spacing w:val="-2"/>
                      <w:sz w:val="20"/>
                    </w:rPr>
                    <w:t>glance</w:t>
                  </w:r>
                </w:p>
                <w:p>
                  <w:pPr>
                    <w:pStyle w:val="BodyText"/>
                    <w:rPr>
                      <w:b/>
                      <w:color w:val="000000"/>
                    </w:rPr>
                  </w:pPr>
                </w:p>
                <w:p>
                  <w:pPr>
                    <w:pStyle w:val="BodyText"/>
                    <w:numPr>
                      <w:ilvl w:val="0"/>
                      <w:numId w:val="9"/>
                    </w:numPr>
                    <w:tabs>
                      <w:tab w:pos="903" w:val="left" w:leader="none"/>
                      <w:tab w:pos="904" w:val="left" w:leader="none"/>
                    </w:tabs>
                    <w:spacing w:line="240" w:lineRule="auto" w:before="0" w:after="0"/>
                    <w:ind w:left="903" w:right="127" w:hanging="360"/>
                    <w:jc w:val="left"/>
                    <w:rPr>
                      <w:color w:val="000000"/>
                    </w:rPr>
                  </w:pPr>
                  <w:r>
                    <w:rPr>
                      <w:color w:val="000000"/>
                    </w:rPr>
                    <w:t>The</w:t>
                  </w:r>
                  <w:r>
                    <w:rPr>
                      <w:color w:val="000000"/>
                      <w:spacing w:val="-18"/>
                    </w:rPr>
                    <w:t> </w:t>
                  </w:r>
                  <w:r>
                    <w:rPr>
                      <w:color w:val="000000"/>
                    </w:rPr>
                    <w:t>profile</w:t>
                  </w:r>
                  <w:r>
                    <w:rPr>
                      <w:color w:val="000000"/>
                      <w:spacing w:val="-18"/>
                    </w:rPr>
                    <w:t> </w:t>
                  </w:r>
                  <w:r>
                    <w:rPr>
                      <w:color w:val="000000"/>
                    </w:rPr>
                    <w:t>of</w:t>
                  </w:r>
                  <w:r>
                    <w:rPr>
                      <w:color w:val="000000"/>
                      <w:spacing w:val="-17"/>
                    </w:rPr>
                    <w:t> </w:t>
                  </w:r>
                  <w:r>
                    <w:rPr>
                      <w:color w:val="000000"/>
                    </w:rPr>
                    <w:t>participants</w:t>
                  </w:r>
                  <w:r>
                    <w:rPr>
                      <w:color w:val="000000"/>
                      <w:spacing w:val="-18"/>
                    </w:rPr>
                    <w:t> </w:t>
                  </w:r>
                  <w:r>
                    <w:rPr>
                      <w:color w:val="000000"/>
                    </w:rPr>
                    <w:t>in</w:t>
                  </w:r>
                  <w:r>
                    <w:rPr>
                      <w:color w:val="000000"/>
                      <w:spacing w:val="-17"/>
                    </w:rPr>
                    <w:t> </w:t>
                  </w:r>
                  <w:r>
                    <w:rPr>
                      <w:color w:val="000000"/>
                    </w:rPr>
                    <w:t>2019</w:t>
                  </w:r>
                  <w:r>
                    <w:rPr>
                      <w:color w:val="000000"/>
                      <w:spacing w:val="-18"/>
                    </w:rPr>
                    <w:t> </w:t>
                  </w:r>
                  <w:r>
                    <w:rPr>
                      <w:color w:val="000000"/>
                    </w:rPr>
                    <w:t>was</w:t>
                  </w:r>
                  <w:r>
                    <w:rPr>
                      <w:color w:val="000000"/>
                      <w:spacing w:val="-18"/>
                    </w:rPr>
                    <w:t> </w:t>
                  </w:r>
                  <w:r>
                    <w:rPr>
                      <w:color w:val="000000"/>
                    </w:rPr>
                    <w:t>very</w:t>
                  </w:r>
                  <w:r>
                    <w:rPr>
                      <w:color w:val="000000"/>
                      <w:spacing w:val="-17"/>
                    </w:rPr>
                    <w:t> </w:t>
                  </w:r>
                  <w:r>
                    <w:rPr>
                      <w:color w:val="000000"/>
                    </w:rPr>
                    <w:t>similar</w:t>
                  </w:r>
                  <w:r>
                    <w:rPr>
                      <w:color w:val="000000"/>
                      <w:spacing w:val="-17"/>
                    </w:rPr>
                    <w:t> </w:t>
                  </w:r>
                  <w:r>
                    <w:rPr>
                      <w:color w:val="000000"/>
                    </w:rPr>
                    <w:t>to</w:t>
                  </w:r>
                  <w:r>
                    <w:rPr>
                      <w:color w:val="000000"/>
                      <w:spacing w:val="-17"/>
                    </w:rPr>
                    <w:t> </w:t>
                  </w:r>
                  <w:r>
                    <w:rPr>
                      <w:color w:val="000000"/>
                    </w:rPr>
                    <w:t>the</w:t>
                  </w:r>
                  <w:r>
                    <w:rPr>
                      <w:color w:val="000000"/>
                      <w:spacing w:val="-18"/>
                    </w:rPr>
                    <w:t> </w:t>
                  </w:r>
                  <w:r>
                    <w:rPr>
                      <w:color w:val="000000"/>
                    </w:rPr>
                    <w:t>profile</w:t>
                  </w:r>
                  <w:r>
                    <w:rPr>
                      <w:color w:val="000000"/>
                      <w:spacing w:val="-17"/>
                    </w:rPr>
                    <w:t> </w:t>
                  </w:r>
                  <w:r>
                    <w:rPr>
                      <w:color w:val="000000"/>
                    </w:rPr>
                    <w:t>of</w:t>
                  </w:r>
                  <w:r>
                    <w:rPr>
                      <w:color w:val="000000"/>
                      <w:spacing w:val="-17"/>
                    </w:rPr>
                    <w:t> </w:t>
                  </w:r>
                  <w:r>
                    <w:rPr>
                      <w:color w:val="000000"/>
                    </w:rPr>
                    <w:t>participants in 2015.</w:t>
                  </w:r>
                </w:p>
                <w:p>
                  <w:pPr>
                    <w:pStyle w:val="BodyText"/>
                    <w:numPr>
                      <w:ilvl w:val="0"/>
                      <w:numId w:val="9"/>
                    </w:numPr>
                    <w:tabs>
                      <w:tab w:pos="903" w:val="left" w:leader="none"/>
                      <w:tab w:pos="904" w:val="left" w:leader="none"/>
                    </w:tabs>
                    <w:spacing w:line="242" w:lineRule="exact" w:before="0" w:after="0"/>
                    <w:ind w:left="903" w:right="0" w:hanging="361"/>
                    <w:jc w:val="left"/>
                    <w:rPr>
                      <w:color w:val="000000"/>
                    </w:rPr>
                  </w:pPr>
                  <w:r>
                    <w:rPr>
                      <w:color w:val="000000"/>
                    </w:rPr>
                    <w:t>Overall</w:t>
                  </w:r>
                  <w:r>
                    <w:rPr>
                      <w:color w:val="000000"/>
                      <w:spacing w:val="-6"/>
                    </w:rPr>
                    <w:t> </w:t>
                  </w:r>
                  <w:r>
                    <w:rPr>
                      <w:color w:val="000000"/>
                    </w:rPr>
                    <w:t>representation</w:t>
                  </w:r>
                  <w:r>
                    <w:rPr>
                      <w:color w:val="000000"/>
                      <w:spacing w:val="-7"/>
                    </w:rPr>
                    <w:t> </w:t>
                  </w:r>
                  <w:r>
                    <w:rPr>
                      <w:color w:val="000000"/>
                    </w:rPr>
                    <w:t>of</w:t>
                  </w:r>
                  <w:r>
                    <w:rPr>
                      <w:color w:val="000000"/>
                      <w:spacing w:val="-5"/>
                    </w:rPr>
                    <w:t> </w:t>
                  </w:r>
                  <w:r>
                    <w:rPr>
                      <w:color w:val="000000"/>
                    </w:rPr>
                    <w:t>claimants</w:t>
                  </w:r>
                  <w:r>
                    <w:rPr>
                      <w:color w:val="000000"/>
                      <w:spacing w:val="-6"/>
                    </w:rPr>
                    <w:t> </w:t>
                  </w:r>
                  <w:r>
                    <w:rPr>
                      <w:color w:val="000000"/>
                    </w:rPr>
                    <w:t>and</w:t>
                  </w:r>
                  <w:r>
                    <w:rPr>
                      <w:color w:val="000000"/>
                      <w:spacing w:val="-6"/>
                    </w:rPr>
                    <w:t> </w:t>
                  </w:r>
                  <w:r>
                    <w:rPr>
                      <w:color w:val="000000"/>
                    </w:rPr>
                    <w:t>employers</w:t>
                  </w:r>
                  <w:r>
                    <w:rPr>
                      <w:color w:val="000000"/>
                      <w:spacing w:val="-5"/>
                    </w:rPr>
                    <w:t> </w:t>
                  </w:r>
                  <w:r>
                    <w:rPr>
                      <w:color w:val="000000"/>
                    </w:rPr>
                    <w:t>has</w:t>
                  </w:r>
                  <w:r>
                    <w:rPr>
                      <w:color w:val="000000"/>
                      <w:spacing w:val="-6"/>
                    </w:rPr>
                    <w:t> </w:t>
                  </w:r>
                  <w:r>
                    <w:rPr>
                      <w:color w:val="000000"/>
                    </w:rPr>
                    <w:t>increased</w:t>
                  </w:r>
                  <w:r>
                    <w:rPr>
                      <w:color w:val="000000"/>
                      <w:spacing w:val="-6"/>
                    </w:rPr>
                    <w:t> </w:t>
                  </w:r>
                  <w:r>
                    <w:rPr>
                      <w:color w:val="000000"/>
                    </w:rPr>
                    <w:t>since</w:t>
                  </w:r>
                  <w:r>
                    <w:rPr>
                      <w:color w:val="000000"/>
                      <w:spacing w:val="-5"/>
                    </w:rPr>
                    <w:t> </w:t>
                  </w:r>
                  <w:r>
                    <w:rPr>
                      <w:color w:val="000000"/>
                      <w:spacing w:val="-2"/>
                    </w:rPr>
                    <w:t>2015.</w:t>
                  </w:r>
                </w:p>
                <w:p>
                  <w:pPr>
                    <w:pStyle w:val="BodyText"/>
                    <w:numPr>
                      <w:ilvl w:val="0"/>
                      <w:numId w:val="9"/>
                    </w:numPr>
                    <w:tabs>
                      <w:tab w:pos="903" w:val="left" w:leader="none"/>
                      <w:tab w:pos="904" w:val="left" w:leader="none"/>
                    </w:tabs>
                    <w:spacing w:line="243" w:lineRule="exact" w:before="0" w:after="0"/>
                    <w:ind w:left="903" w:right="0" w:hanging="361"/>
                    <w:jc w:val="left"/>
                    <w:rPr>
                      <w:color w:val="000000"/>
                    </w:rPr>
                  </w:pPr>
                  <w:r>
                    <w:rPr>
                      <w:color w:val="000000"/>
                    </w:rPr>
                    <w:t>Most</w:t>
                  </w:r>
                  <w:r>
                    <w:rPr>
                      <w:color w:val="000000"/>
                      <w:spacing w:val="-6"/>
                    </w:rPr>
                    <w:t> </w:t>
                  </w:r>
                  <w:r>
                    <w:rPr>
                      <w:color w:val="000000"/>
                    </w:rPr>
                    <w:t>claimants</w:t>
                  </w:r>
                  <w:r>
                    <w:rPr>
                      <w:color w:val="000000"/>
                      <w:spacing w:val="-4"/>
                    </w:rPr>
                    <w:t> </w:t>
                  </w:r>
                  <w:r>
                    <w:rPr>
                      <w:color w:val="000000"/>
                    </w:rPr>
                    <w:t>worked</w:t>
                  </w:r>
                  <w:r>
                    <w:rPr>
                      <w:color w:val="000000"/>
                      <w:spacing w:val="-5"/>
                    </w:rPr>
                    <w:t> </w:t>
                  </w:r>
                  <w:r>
                    <w:rPr>
                      <w:color w:val="000000"/>
                    </w:rPr>
                    <w:t>full-time</w:t>
                  </w:r>
                  <w:r>
                    <w:rPr>
                      <w:color w:val="000000"/>
                      <w:spacing w:val="-4"/>
                    </w:rPr>
                    <w:t> </w:t>
                  </w:r>
                  <w:r>
                    <w:rPr>
                      <w:color w:val="000000"/>
                    </w:rPr>
                    <w:t>and</w:t>
                  </w:r>
                  <w:r>
                    <w:rPr>
                      <w:color w:val="000000"/>
                      <w:spacing w:val="-3"/>
                    </w:rPr>
                    <w:t> </w:t>
                  </w:r>
                  <w:r>
                    <w:rPr>
                      <w:color w:val="000000"/>
                    </w:rPr>
                    <w:t>within</w:t>
                  </w:r>
                  <w:r>
                    <w:rPr>
                      <w:color w:val="000000"/>
                      <w:spacing w:val="-5"/>
                    </w:rPr>
                    <w:t> </w:t>
                  </w:r>
                  <w:r>
                    <w:rPr>
                      <w:color w:val="000000"/>
                    </w:rPr>
                    <w:t>the</w:t>
                  </w:r>
                  <w:r>
                    <w:rPr>
                      <w:color w:val="000000"/>
                      <w:spacing w:val="-5"/>
                    </w:rPr>
                    <w:t> </w:t>
                  </w:r>
                  <w:r>
                    <w:rPr>
                      <w:color w:val="000000"/>
                    </w:rPr>
                    <w:t>private</w:t>
                  </w:r>
                  <w:r>
                    <w:rPr>
                      <w:color w:val="000000"/>
                      <w:spacing w:val="-3"/>
                    </w:rPr>
                    <w:t> </w:t>
                  </w:r>
                  <w:r>
                    <w:rPr>
                      <w:color w:val="000000"/>
                      <w:spacing w:val="-2"/>
                    </w:rPr>
                    <w:t>sector.</w:t>
                  </w:r>
                </w:p>
                <w:p>
                  <w:pPr>
                    <w:pStyle w:val="BodyText"/>
                    <w:numPr>
                      <w:ilvl w:val="0"/>
                      <w:numId w:val="9"/>
                    </w:numPr>
                    <w:tabs>
                      <w:tab w:pos="904" w:val="left" w:leader="none"/>
                    </w:tabs>
                    <w:spacing w:line="240" w:lineRule="auto" w:before="0" w:after="0"/>
                    <w:ind w:left="903" w:right="125" w:hanging="360"/>
                    <w:jc w:val="both"/>
                    <w:rPr>
                      <w:color w:val="000000"/>
                    </w:rPr>
                  </w:pPr>
                  <w:r>
                    <w:rPr>
                      <w:color w:val="000000"/>
                    </w:rPr>
                    <w:t>The majority of employers worked</w:t>
                  </w:r>
                  <w:r>
                    <w:rPr>
                      <w:color w:val="000000"/>
                      <w:spacing w:val="-1"/>
                    </w:rPr>
                    <w:t> </w:t>
                  </w:r>
                  <w:r>
                    <w:rPr>
                      <w:color w:val="000000"/>
                    </w:rPr>
                    <w:t>in the</w:t>
                  </w:r>
                  <w:r>
                    <w:rPr>
                      <w:color w:val="000000"/>
                      <w:spacing w:val="-1"/>
                    </w:rPr>
                    <w:t> </w:t>
                  </w:r>
                  <w:r>
                    <w:rPr>
                      <w:color w:val="000000"/>
                    </w:rPr>
                    <w:t>private sector and were responsible for dealing with employment disputes in their organisations.</w:t>
                  </w:r>
                </w:p>
                <w:p>
                  <w:pPr>
                    <w:pStyle w:val="BodyText"/>
                    <w:numPr>
                      <w:ilvl w:val="0"/>
                      <w:numId w:val="9"/>
                    </w:numPr>
                    <w:tabs>
                      <w:tab w:pos="904" w:val="left" w:leader="none"/>
                    </w:tabs>
                    <w:spacing w:line="240" w:lineRule="auto" w:before="0" w:after="0"/>
                    <w:ind w:left="903" w:right="124" w:hanging="360"/>
                    <w:jc w:val="both"/>
                    <w:rPr>
                      <w:color w:val="000000"/>
                    </w:rPr>
                  </w:pPr>
                  <w:r>
                    <w:rPr>
                      <w:color w:val="000000"/>
                    </w:rPr>
                    <w:t>Representatives</w:t>
                  </w:r>
                  <w:r>
                    <w:rPr>
                      <w:color w:val="000000"/>
                      <w:spacing w:val="-9"/>
                    </w:rPr>
                    <w:t> </w:t>
                  </w:r>
                  <w:r>
                    <w:rPr>
                      <w:color w:val="000000"/>
                    </w:rPr>
                    <w:t>were</w:t>
                  </w:r>
                  <w:r>
                    <w:rPr>
                      <w:color w:val="000000"/>
                      <w:spacing w:val="-9"/>
                    </w:rPr>
                    <w:t> </w:t>
                  </w:r>
                  <w:r>
                    <w:rPr>
                      <w:color w:val="000000"/>
                    </w:rPr>
                    <w:t>most</w:t>
                  </w:r>
                  <w:r>
                    <w:rPr>
                      <w:color w:val="000000"/>
                      <w:spacing w:val="-9"/>
                    </w:rPr>
                    <w:t> </w:t>
                  </w:r>
                  <w:r>
                    <w:rPr>
                      <w:color w:val="000000"/>
                    </w:rPr>
                    <w:t>likely</w:t>
                  </w:r>
                  <w:r>
                    <w:rPr>
                      <w:color w:val="000000"/>
                      <w:spacing w:val="-9"/>
                    </w:rPr>
                    <w:t> </w:t>
                  </w:r>
                  <w:r>
                    <w:rPr>
                      <w:color w:val="000000"/>
                    </w:rPr>
                    <w:t>to</w:t>
                  </w:r>
                  <w:r>
                    <w:rPr>
                      <w:color w:val="000000"/>
                      <w:spacing w:val="-9"/>
                    </w:rPr>
                    <w:t> </w:t>
                  </w:r>
                  <w:r>
                    <w:rPr>
                      <w:color w:val="000000"/>
                    </w:rPr>
                    <w:t>be</w:t>
                  </w:r>
                  <w:r>
                    <w:rPr>
                      <w:color w:val="000000"/>
                      <w:spacing w:val="-9"/>
                    </w:rPr>
                    <w:t> </w:t>
                  </w:r>
                  <w:r>
                    <w:rPr>
                      <w:color w:val="000000"/>
                    </w:rPr>
                    <w:t>solicitors,</w:t>
                  </w:r>
                  <w:r>
                    <w:rPr>
                      <w:color w:val="000000"/>
                      <w:spacing w:val="-9"/>
                    </w:rPr>
                    <w:t> </w:t>
                  </w:r>
                  <w:r>
                    <w:rPr>
                      <w:color w:val="000000"/>
                    </w:rPr>
                    <w:t>barristers</w:t>
                  </w:r>
                  <w:r>
                    <w:rPr>
                      <w:color w:val="000000"/>
                      <w:spacing w:val="-10"/>
                    </w:rPr>
                    <w:t> </w:t>
                  </w:r>
                  <w:r>
                    <w:rPr>
                      <w:color w:val="000000"/>
                    </w:rPr>
                    <w:t>or</w:t>
                  </w:r>
                  <w:r>
                    <w:rPr>
                      <w:color w:val="000000"/>
                      <w:spacing w:val="-9"/>
                    </w:rPr>
                    <w:t> </w:t>
                  </w:r>
                  <w:r>
                    <w:rPr>
                      <w:color w:val="000000"/>
                    </w:rPr>
                    <w:t>another</w:t>
                  </w:r>
                  <w:r>
                    <w:rPr>
                      <w:color w:val="000000"/>
                      <w:spacing w:val="-10"/>
                    </w:rPr>
                    <w:t> </w:t>
                  </w:r>
                  <w:r>
                    <w:rPr>
                      <w:color w:val="000000"/>
                    </w:rPr>
                    <w:t>type</w:t>
                  </w:r>
                  <w:r>
                    <w:rPr>
                      <w:color w:val="000000"/>
                      <w:spacing w:val="-9"/>
                    </w:rPr>
                    <w:t> </w:t>
                  </w:r>
                  <w:r>
                    <w:rPr>
                      <w:color w:val="000000"/>
                    </w:rPr>
                    <w:t>of lawyer.</w:t>
                  </w:r>
                  <w:r>
                    <w:rPr>
                      <w:color w:val="000000"/>
                      <w:spacing w:val="-2"/>
                    </w:rPr>
                    <w:t> </w:t>
                  </w:r>
                  <w:r>
                    <w:rPr>
                      <w:color w:val="000000"/>
                    </w:rPr>
                    <w:t>Beyond</w:t>
                  </w:r>
                  <w:r>
                    <w:rPr>
                      <w:color w:val="000000"/>
                      <w:spacing w:val="-3"/>
                    </w:rPr>
                    <w:t> </w:t>
                  </w:r>
                  <w:r>
                    <w:rPr>
                      <w:color w:val="000000"/>
                    </w:rPr>
                    <w:t>this,</w:t>
                  </w:r>
                  <w:r>
                    <w:rPr>
                      <w:color w:val="000000"/>
                      <w:spacing w:val="-2"/>
                    </w:rPr>
                    <w:t> </w:t>
                  </w:r>
                  <w:r>
                    <w:rPr>
                      <w:color w:val="000000"/>
                    </w:rPr>
                    <w:t>there</w:t>
                  </w:r>
                  <w:r>
                    <w:rPr>
                      <w:color w:val="000000"/>
                      <w:spacing w:val="-2"/>
                    </w:rPr>
                    <w:t> </w:t>
                  </w:r>
                  <w:r>
                    <w:rPr>
                      <w:color w:val="000000"/>
                    </w:rPr>
                    <w:t>are</w:t>
                  </w:r>
                  <w:r>
                    <w:rPr>
                      <w:color w:val="000000"/>
                      <w:spacing w:val="-2"/>
                    </w:rPr>
                    <w:t> </w:t>
                  </w:r>
                  <w:r>
                    <w:rPr>
                      <w:color w:val="000000"/>
                    </w:rPr>
                    <w:t>differences</w:t>
                  </w:r>
                  <w:r>
                    <w:rPr>
                      <w:color w:val="000000"/>
                      <w:spacing w:val="-2"/>
                    </w:rPr>
                    <w:t> </w:t>
                  </w:r>
                  <w:r>
                    <w:rPr>
                      <w:color w:val="000000"/>
                    </w:rPr>
                    <w:t>in</w:t>
                  </w:r>
                  <w:r>
                    <w:rPr>
                      <w:color w:val="000000"/>
                      <w:spacing w:val="-2"/>
                    </w:rPr>
                    <w:t> </w:t>
                  </w:r>
                  <w:r>
                    <w:rPr>
                      <w:color w:val="000000"/>
                    </w:rPr>
                    <w:t>representatives</w:t>
                  </w:r>
                  <w:r>
                    <w:rPr>
                      <w:color w:val="000000"/>
                      <w:spacing w:val="-2"/>
                    </w:rPr>
                    <w:t> </w:t>
                  </w:r>
                  <w:r>
                    <w:rPr>
                      <w:color w:val="000000"/>
                    </w:rPr>
                    <w:t>profile</w:t>
                  </w:r>
                  <w:r>
                    <w:rPr>
                      <w:color w:val="000000"/>
                      <w:spacing w:val="-3"/>
                    </w:rPr>
                    <w:t> </w:t>
                  </w:r>
                  <w:r>
                    <w:rPr>
                      <w:color w:val="000000"/>
                    </w:rPr>
                    <w:t>observed between claimants and employers, with representatives of the latter being more experienced in dealing with cases.</w:t>
                  </w:r>
                </w:p>
                <w:p>
                  <w:pPr>
                    <w:pStyle w:val="BodyText"/>
                    <w:numPr>
                      <w:ilvl w:val="0"/>
                      <w:numId w:val="9"/>
                    </w:numPr>
                    <w:tabs>
                      <w:tab w:pos="904" w:val="left" w:leader="none"/>
                    </w:tabs>
                    <w:spacing w:line="237" w:lineRule="auto" w:before="0" w:after="0"/>
                    <w:ind w:left="903" w:right="125" w:hanging="360"/>
                    <w:jc w:val="both"/>
                    <w:rPr>
                      <w:color w:val="000000"/>
                    </w:rPr>
                  </w:pPr>
                  <w:r>
                    <w:rPr>
                      <w:color w:val="000000"/>
                    </w:rPr>
                    <w:t>The</w:t>
                  </w:r>
                  <w:r>
                    <w:rPr>
                      <w:color w:val="000000"/>
                      <w:spacing w:val="-3"/>
                    </w:rPr>
                    <w:t> </w:t>
                  </w:r>
                  <w:r>
                    <w:rPr>
                      <w:color w:val="000000"/>
                    </w:rPr>
                    <w:t>key</w:t>
                  </w:r>
                  <w:r>
                    <w:rPr>
                      <w:color w:val="000000"/>
                      <w:spacing w:val="-3"/>
                    </w:rPr>
                    <w:t> </w:t>
                  </w:r>
                  <w:r>
                    <w:rPr>
                      <w:color w:val="000000"/>
                    </w:rPr>
                    <w:t>trends</w:t>
                  </w:r>
                  <w:r>
                    <w:rPr>
                      <w:color w:val="000000"/>
                      <w:spacing w:val="-3"/>
                    </w:rPr>
                    <w:t> </w:t>
                  </w:r>
                  <w:r>
                    <w:rPr>
                      <w:color w:val="000000"/>
                    </w:rPr>
                    <w:t>relating</w:t>
                  </w:r>
                  <w:r>
                    <w:rPr>
                      <w:color w:val="000000"/>
                      <w:spacing w:val="-3"/>
                    </w:rPr>
                    <w:t> </w:t>
                  </w:r>
                  <w:r>
                    <w:rPr>
                      <w:color w:val="000000"/>
                    </w:rPr>
                    <w:t>to</w:t>
                  </w:r>
                  <w:r>
                    <w:rPr>
                      <w:color w:val="000000"/>
                      <w:spacing w:val="-4"/>
                    </w:rPr>
                    <w:t> </w:t>
                  </w:r>
                  <w:r>
                    <w:rPr>
                      <w:color w:val="000000"/>
                    </w:rPr>
                    <w:t>the</w:t>
                  </w:r>
                  <w:r>
                    <w:rPr>
                      <w:color w:val="000000"/>
                      <w:spacing w:val="-3"/>
                    </w:rPr>
                    <w:t> </w:t>
                  </w:r>
                  <w:r>
                    <w:rPr>
                      <w:color w:val="000000"/>
                    </w:rPr>
                    <w:t>workplace</w:t>
                  </w:r>
                  <w:r>
                    <w:rPr>
                      <w:color w:val="000000"/>
                      <w:spacing w:val="-3"/>
                    </w:rPr>
                    <w:t> </w:t>
                  </w:r>
                  <w:r>
                    <w:rPr>
                      <w:color w:val="000000"/>
                    </w:rPr>
                    <w:t>dispute</w:t>
                  </w:r>
                  <w:r>
                    <w:rPr>
                      <w:color w:val="000000"/>
                      <w:spacing w:val="-3"/>
                    </w:rPr>
                    <w:t> </w:t>
                  </w:r>
                  <w:r>
                    <w:rPr>
                      <w:color w:val="000000"/>
                    </w:rPr>
                    <w:t>in</w:t>
                  </w:r>
                  <w:r>
                    <w:rPr>
                      <w:color w:val="000000"/>
                      <w:spacing w:val="-3"/>
                    </w:rPr>
                    <w:t> </w:t>
                  </w:r>
                  <w:r>
                    <w:rPr>
                      <w:color w:val="000000"/>
                    </w:rPr>
                    <w:t>2019</w:t>
                  </w:r>
                  <w:r>
                    <w:rPr>
                      <w:color w:val="000000"/>
                      <w:spacing w:val="-3"/>
                    </w:rPr>
                    <w:t> </w:t>
                  </w:r>
                  <w:r>
                    <w:rPr>
                      <w:color w:val="000000"/>
                    </w:rPr>
                    <w:t>were</w:t>
                  </w:r>
                  <w:r>
                    <w:rPr>
                      <w:color w:val="000000"/>
                      <w:spacing w:val="-3"/>
                    </w:rPr>
                    <w:t> </w:t>
                  </w:r>
                  <w:r>
                    <w:rPr>
                      <w:color w:val="000000"/>
                    </w:rPr>
                    <w:t>very</w:t>
                  </w:r>
                  <w:r>
                    <w:rPr>
                      <w:color w:val="000000"/>
                      <w:spacing w:val="-3"/>
                    </w:rPr>
                    <w:t> </w:t>
                  </w:r>
                  <w:r>
                    <w:rPr>
                      <w:color w:val="000000"/>
                    </w:rPr>
                    <w:t>similar</w:t>
                  </w:r>
                  <w:r>
                    <w:rPr>
                      <w:color w:val="000000"/>
                      <w:spacing w:val="-3"/>
                    </w:rPr>
                    <w:t> </w:t>
                  </w:r>
                  <w:r>
                    <w:rPr>
                      <w:color w:val="000000"/>
                    </w:rPr>
                    <w:t>to those in 2015.</w:t>
                  </w:r>
                </w:p>
                <w:p>
                  <w:pPr>
                    <w:pStyle w:val="BodyText"/>
                    <w:numPr>
                      <w:ilvl w:val="0"/>
                      <w:numId w:val="9"/>
                    </w:numPr>
                    <w:tabs>
                      <w:tab w:pos="904" w:val="left" w:leader="none"/>
                    </w:tabs>
                    <w:spacing w:line="240" w:lineRule="auto" w:before="0" w:after="0"/>
                    <w:ind w:left="903" w:right="127" w:hanging="360"/>
                    <w:jc w:val="both"/>
                    <w:rPr>
                      <w:color w:val="000000"/>
                    </w:rPr>
                  </w:pPr>
                  <w:r>
                    <w:rPr>
                      <w:color w:val="000000"/>
                    </w:rPr>
                    <w:t>In</w:t>
                  </w:r>
                  <w:r>
                    <w:rPr>
                      <w:color w:val="000000"/>
                      <w:spacing w:val="-5"/>
                    </w:rPr>
                    <w:t> </w:t>
                  </w:r>
                  <w:r>
                    <w:rPr>
                      <w:color w:val="000000"/>
                    </w:rPr>
                    <w:t>nearly</w:t>
                  </w:r>
                  <w:r>
                    <w:rPr>
                      <w:color w:val="000000"/>
                      <w:spacing w:val="-5"/>
                    </w:rPr>
                    <w:t> </w:t>
                  </w:r>
                  <w:r>
                    <w:rPr>
                      <w:color w:val="000000"/>
                    </w:rPr>
                    <w:t>all</w:t>
                  </w:r>
                  <w:r>
                    <w:rPr>
                      <w:color w:val="000000"/>
                      <w:spacing w:val="-5"/>
                    </w:rPr>
                    <w:t> </w:t>
                  </w:r>
                  <w:r>
                    <w:rPr>
                      <w:color w:val="000000"/>
                    </w:rPr>
                    <w:t>cases</w:t>
                  </w:r>
                  <w:r>
                    <w:rPr>
                      <w:color w:val="000000"/>
                      <w:spacing w:val="-5"/>
                    </w:rPr>
                    <w:t> </w:t>
                  </w:r>
                  <w:r>
                    <w:rPr>
                      <w:color w:val="000000"/>
                    </w:rPr>
                    <w:t>the</w:t>
                  </w:r>
                  <w:r>
                    <w:rPr>
                      <w:color w:val="000000"/>
                      <w:spacing w:val="-5"/>
                    </w:rPr>
                    <w:t> </w:t>
                  </w:r>
                  <w:r>
                    <w:rPr>
                      <w:color w:val="000000"/>
                    </w:rPr>
                    <w:t>claimant</w:t>
                  </w:r>
                  <w:r>
                    <w:rPr>
                      <w:color w:val="000000"/>
                      <w:spacing w:val="-5"/>
                    </w:rPr>
                    <w:t> </w:t>
                  </w:r>
                  <w:r>
                    <w:rPr>
                      <w:color w:val="000000"/>
                    </w:rPr>
                    <w:t>had</w:t>
                  </w:r>
                  <w:r>
                    <w:rPr>
                      <w:color w:val="000000"/>
                      <w:spacing w:val="-5"/>
                    </w:rPr>
                    <w:t> </w:t>
                  </w:r>
                  <w:r>
                    <w:rPr>
                      <w:color w:val="000000"/>
                    </w:rPr>
                    <w:t>been</w:t>
                  </w:r>
                  <w:r>
                    <w:rPr>
                      <w:color w:val="000000"/>
                      <w:spacing w:val="-5"/>
                    </w:rPr>
                    <w:t> </w:t>
                  </w:r>
                  <w:r>
                    <w:rPr>
                      <w:color w:val="000000"/>
                    </w:rPr>
                    <w:t>employed</w:t>
                  </w:r>
                  <w:r>
                    <w:rPr>
                      <w:color w:val="000000"/>
                      <w:spacing w:val="-5"/>
                    </w:rPr>
                    <w:t> </w:t>
                  </w:r>
                  <w:r>
                    <w:rPr>
                      <w:color w:val="000000"/>
                    </w:rPr>
                    <w:t>by</w:t>
                  </w:r>
                  <w:r>
                    <w:rPr>
                      <w:color w:val="000000"/>
                      <w:spacing w:val="-5"/>
                    </w:rPr>
                    <w:t> </w:t>
                  </w:r>
                  <w:r>
                    <w:rPr>
                      <w:color w:val="000000"/>
                    </w:rPr>
                    <w:t>the</w:t>
                  </w:r>
                  <w:r>
                    <w:rPr>
                      <w:color w:val="000000"/>
                      <w:spacing w:val="-6"/>
                    </w:rPr>
                    <w:t> </w:t>
                  </w:r>
                  <w:r>
                    <w:rPr>
                      <w:color w:val="000000"/>
                    </w:rPr>
                    <w:t>same</w:t>
                  </w:r>
                  <w:r>
                    <w:rPr>
                      <w:color w:val="000000"/>
                      <w:spacing w:val="-5"/>
                    </w:rPr>
                    <w:t> </w:t>
                  </w:r>
                  <w:r>
                    <w:rPr>
                      <w:color w:val="000000"/>
                    </w:rPr>
                    <w:t>organisation that</w:t>
                  </w:r>
                  <w:r>
                    <w:rPr>
                      <w:color w:val="000000"/>
                      <w:spacing w:val="-2"/>
                    </w:rPr>
                    <w:t> </w:t>
                  </w:r>
                  <w:r>
                    <w:rPr>
                      <w:color w:val="000000"/>
                    </w:rPr>
                    <w:t>they</w:t>
                  </w:r>
                  <w:r>
                    <w:rPr>
                      <w:color w:val="000000"/>
                      <w:spacing w:val="-3"/>
                    </w:rPr>
                    <w:t> </w:t>
                  </w:r>
                  <w:r>
                    <w:rPr>
                      <w:color w:val="000000"/>
                    </w:rPr>
                    <w:t>were</w:t>
                  </w:r>
                  <w:r>
                    <w:rPr>
                      <w:color w:val="000000"/>
                      <w:spacing w:val="-2"/>
                    </w:rPr>
                    <w:t> </w:t>
                  </w:r>
                  <w:r>
                    <w:rPr>
                      <w:color w:val="000000"/>
                    </w:rPr>
                    <w:t>in</w:t>
                  </w:r>
                  <w:r>
                    <w:rPr>
                      <w:color w:val="000000"/>
                      <w:spacing w:val="-1"/>
                    </w:rPr>
                    <w:t> </w:t>
                  </w:r>
                  <w:r>
                    <w:rPr>
                      <w:color w:val="000000"/>
                    </w:rPr>
                    <w:t>dispute</w:t>
                  </w:r>
                  <w:r>
                    <w:rPr>
                      <w:color w:val="000000"/>
                      <w:spacing w:val="-2"/>
                    </w:rPr>
                    <w:t> </w:t>
                  </w:r>
                  <w:r>
                    <w:rPr>
                      <w:color w:val="000000"/>
                    </w:rPr>
                    <w:t>with,</w:t>
                  </w:r>
                  <w:r>
                    <w:rPr>
                      <w:color w:val="000000"/>
                      <w:spacing w:val="-2"/>
                    </w:rPr>
                    <w:t> </w:t>
                  </w:r>
                  <w:r>
                    <w:rPr>
                      <w:color w:val="000000"/>
                    </w:rPr>
                    <w:t>but</w:t>
                  </w:r>
                  <w:r>
                    <w:rPr>
                      <w:color w:val="000000"/>
                      <w:spacing w:val="-3"/>
                    </w:rPr>
                    <w:t> </w:t>
                  </w:r>
                  <w:r>
                    <w:rPr>
                      <w:color w:val="000000"/>
                    </w:rPr>
                    <w:t>their</w:t>
                  </w:r>
                  <w:r>
                    <w:rPr>
                      <w:color w:val="000000"/>
                      <w:spacing w:val="-2"/>
                    </w:rPr>
                    <w:t> </w:t>
                  </w:r>
                  <w:r>
                    <w:rPr>
                      <w:color w:val="000000"/>
                    </w:rPr>
                    <w:t>employment</w:t>
                  </w:r>
                  <w:r>
                    <w:rPr>
                      <w:color w:val="000000"/>
                      <w:spacing w:val="-2"/>
                    </w:rPr>
                    <w:t> </w:t>
                  </w:r>
                  <w:r>
                    <w:rPr>
                      <w:color w:val="000000"/>
                    </w:rPr>
                    <w:t>had</w:t>
                  </w:r>
                  <w:r>
                    <w:rPr>
                      <w:color w:val="000000"/>
                      <w:spacing w:val="-3"/>
                    </w:rPr>
                    <w:t> </w:t>
                  </w:r>
                  <w:r>
                    <w:rPr>
                      <w:color w:val="000000"/>
                    </w:rPr>
                    <w:t>ceased</w:t>
                  </w:r>
                  <w:r>
                    <w:rPr>
                      <w:color w:val="000000"/>
                      <w:spacing w:val="-2"/>
                    </w:rPr>
                    <w:t> </w:t>
                  </w:r>
                  <w:r>
                    <w:rPr>
                      <w:color w:val="000000"/>
                    </w:rPr>
                    <w:t>by</w:t>
                  </w:r>
                  <w:r>
                    <w:rPr>
                      <w:color w:val="000000"/>
                      <w:spacing w:val="-2"/>
                    </w:rPr>
                    <w:t> </w:t>
                  </w:r>
                  <w:r>
                    <w:rPr>
                      <w:color w:val="000000"/>
                    </w:rPr>
                    <w:t>the</w:t>
                  </w:r>
                  <w:r>
                    <w:rPr>
                      <w:color w:val="000000"/>
                      <w:spacing w:val="-2"/>
                    </w:rPr>
                    <w:t> </w:t>
                  </w:r>
                  <w:r>
                    <w:rPr>
                      <w:color w:val="000000"/>
                    </w:rPr>
                    <w:t>time the survey took place.</w:t>
                  </w:r>
                </w:p>
                <w:p>
                  <w:pPr>
                    <w:pStyle w:val="BodyText"/>
                    <w:numPr>
                      <w:ilvl w:val="0"/>
                      <w:numId w:val="9"/>
                    </w:numPr>
                    <w:tabs>
                      <w:tab w:pos="904" w:val="left" w:leader="none"/>
                    </w:tabs>
                    <w:spacing w:line="237" w:lineRule="auto" w:before="0" w:after="0"/>
                    <w:ind w:left="903" w:right="125" w:hanging="360"/>
                    <w:jc w:val="both"/>
                    <w:rPr>
                      <w:color w:val="000000"/>
                    </w:rPr>
                  </w:pPr>
                  <w:r>
                    <w:rPr>
                      <w:color w:val="000000"/>
                    </w:rPr>
                    <w:t>The majority of claimants indicated that their employment ended due to the dispute, with dismissal and resignation the most common reasons given.</w:t>
                  </w:r>
                </w:p>
                <w:p>
                  <w:pPr>
                    <w:pStyle w:val="BodyText"/>
                    <w:numPr>
                      <w:ilvl w:val="0"/>
                      <w:numId w:val="9"/>
                    </w:numPr>
                    <w:tabs>
                      <w:tab w:pos="904" w:val="left" w:leader="none"/>
                    </w:tabs>
                    <w:spacing w:line="240" w:lineRule="auto" w:before="1" w:after="0"/>
                    <w:ind w:left="903" w:right="122" w:hanging="360"/>
                    <w:jc w:val="both"/>
                    <w:rPr>
                      <w:color w:val="000000"/>
                    </w:rPr>
                  </w:pPr>
                  <w:r>
                    <w:rPr>
                      <w:color w:val="000000"/>
                    </w:rPr>
                    <w:t>There is a perception gap between claimants and employers about whether employers have written policies and procedures for cases and if they were used in the case in question.</w:t>
                  </w:r>
                </w:p>
              </w:txbxContent>
            </v:textbox>
            <v:fill type="solid"/>
            <v:stroke linestyle="thinThin" dashstyle="solid"/>
            <w10:wrap type="topAndBottom"/>
          </v:shape>
        </w:pict>
      </w:r>
    </w:p>
    <w:p>
      <w:pPr>
        <w:spacing w:after="0"/>
        <w:rPr>
          <w:sz w:val="18"/>
        </w:rPr>
        <w:sectPr>
          <w:pgSz w:w="11910" w:h="16840"/>
          <w:pgMar w:header="0" w:footer="996" w:top="1360" w:bottom="1180" w:left="460" w:right="318"/>
        </w:sectPr>
      </w:pPr>
    </w:p>
    <w:p>
      <w:pPr>
        <w:pStyle w:val="Heading3"/>
        <w:numPr>
          <w:ilvl w:val="1"/>
          <w:numId w:val="2"/>
        </w:numPr>
        <w:tabs>
          <w:tab w:pos="1973" w:val="left" w:leader="none"/>
          <w:tab w:pos="1974" w:val="left" w:leader="none"/>
        </w:tabs>
        <w:spacing w:line="240" w:lineRule="auto" w:before="82" w:after="0"/>
        <w:ind w:left="1973" w:right="0" w:hanging="637"/>
        <w:jc w:val="left"/>
      </w:pPr>
      <w:bookmarkStart w:name="1." w:id="14"/>
      <w:bookmarkEnd w:id="14"/>
      <w:r>
        <w:rPr>
          <w:b w:val="0"/>
        </w:rPr>
      </w:r>
      <w:bookmarkStart w:name="2." w:id="15"/>
      <w:bookmarkEnd w:id="15"/>
      <w:r>
        <w:rPr>
          <w:b w:val="0"/>
        </w:rPr>
      </w:r>
      <w:bookmarkStart w:name="3." w:id="16"/>
      <w:bookmarkEnd w:id="16"/>
      <w:r>
        <w:rPr>
          <w:b w:val="0"/>
        </w:rPr>
      </w:r>
      <w:bookmarkStart w:name="4." w:id="17"/>
      <w:bookmarkEnd w:id="17"/>
      <w:r>
        <w:rPr>
          <w:b w:val="0"/>
        </w:rPr>
      </w:r>
      <w:bookmarkStart w:name="5." w:id="18"/>
      <w:bookmarkEnd w:id="18"/>
      <w:r>
        <w:rPr>
          <w:b w:val="0"/>
        </w:rPr>
      </w:r>
      <w:bookmarkStart w:name="6." w:id="19"/>
      <w:bookmarkEnd w:id="19"/>
      <w:r>
        <w:rPr>
          <w:b w:val="0"/>
        </w:rPr>
      </w:r>
      <w:bookmarkStart w:name="7." w:id="20"/>
      <w:bookmarkEnd w:id="20"/>
      <w:r>
        <w:rPr>
          <w:b w:val="0"/>
        </w:rPr>
      </w:r>
      <w:bookmarkStart w:name="7.1." w:id="21"/>
      <w:bookmarkEnd w:id="21"/>
      <w:r>
        <w:rPr>
          <w:b w:val="0"/>
        </w:rPr>
      </w:r>
      <w:bookmarkStart w:name="_bookmark7" w:id="22"/>
      <w:bookmarkEnd w:id="22"/>
      <w:r>
        <w:rPr>
          <w:b w:val="0"/>
        </w:rPr>
      </w:r>
      <w:bookmarkStart w:name="7.1  Profile of claimants" w:id="23"/>
      <w:bookmarkEnd w:id="23"/>
      <w:r>
        <w:rPr/>
        <w:t>Pr</w:t>
      </w:r>
      <w:r>
        <w:rPr/>
        <w:t>ofile</w:t>
      </w:r>
      <w:r>
        <w:rPr>
          <w:spacing w:val="-4"/>
        </w:rPr>
        <w:t> </w:t>
      </w:r>
      <w:r>
        <w:rPr/>
        <w:t>of</w:t>
      </w:r>
      <w:r>
        <w:rPr>
          <w:spacing w:val="-3"/>
        </w:rPr>
        <w:t> </w:t>
      </w:r>
      <w:r>
        <w:rPr>
          <w:spacing w:val="-2"/>
        </w:rPr>
        <w:t>claimants</w:t>
      </w:r>
    </w:p>
    <w:p>
      <w:pPr>
        <w:pStyle w:val="BodyText"/>
        <w:spacing w:line="259" w:lineRule="auto" w:before="120"/>
        <w:ind w:left="1337" w:right="1472"/>
      </w:pPr>
      <w:r>
        <w:rPr/>
        <w:t>All</w:t>
      </w:r>
      <w:r>
        <w:rPr>
          <w:spacing w:val="-3"/>
        </w:rPr>
        <w:t> </w:t>
      </w:r>
      <w:r>
        <w:rPr/>
        <w:t>claimant</w:t>
      </w:r>
      <w:r>
        <w:rPr>
          <w:spacing w:val="-2"/>
        </w:rPr>
        <w:t> </w:t>
      </w:r>
      <w:r>
        <w:rPr/>
        <w:t>participants</w:t>
      </w:r>
      <w:r>
        <w:rPr>
          <w:spacing w:val="-2"/>
        </w:rPr>
        <w:t> </w:t>
      </w:r>
      <w:r>
        <w:rPr/>
        <w:t>were</w:t>
      </w:r>
      <w:r>
        <w:rPr>
          <w:spacing w:val="-3"/>
        </w:rPr>
        <w:t> </w:t>
      </w:r>
      <w:r>
        <w:rPr/>
        <w:t>asked</w:t>
      </w:r>
      <w:r>
        <w:rPr>
          <w:spacing w:val="-2"/>
        </w:rPr>
        <w:t> </w:t>
      </w:r>
      <w:r>
        <w:rPr/>
        <w:t>a</w:t>
      </w:r>
      <w:r>
        <w:rPr>
          <w:spacing w:val="-2"/>
        </w:rPr>
        <w:t> </w:t>
      </w:r>
      <w:r>
        <w:rPr/>
        <w:t>range</w:t>
      </w:r>
      <w:r>
        <w:rPr>
          <w:spacing w:val="-3"/>
        </w:rPr>
        <w:t> </w:t>
      </w:r>
      <w:r>
        <w:rPr/>
        <w:t>of</w:t>
      </w:r>
      <w:r>
        <w:rPr>
          <w:spacing w:val="-3"/>
        </w:rPr>
        <w:t> </w:t>
      </w:r>
      <w:r>
        <w:rPr/>
        <w:t>questions</w:t>
      </w:r>
      <w:r>
        <w:rPr>
          <w:spacing w:val="-2"/>
        </w:rPr>
        <w:t> </w:t>
      </w:r>
      <w:r>
        <w:rPr/>
        <w:t>about</w:t>
      </w:r>
      <w:r>
        <w:rPr>
          <w:spacing w:val="-2"/>
        </w:rPr>
        <w:t> </w:t>
      </w:r>
      <w:r>
        <w:rPr/>
        <w:t>their</w:t>
      </w:r>
      <w:r>
        <w:rPr>
          <w:spacing w:val="-2"/>
        </w:rPr>
        <w:t> </w:t>
      </w:r>
      <w:r>
        <w:rPr/>
        <w:t>personal</w:t>
      </w:r>
      <w:r>
        <w:rPr>
          <w:spacing w:val="-3"/>
        </w:rPr>
        <w:t> </w:t>
      </w:r>
      <w:r>
        <w:rPr/>
        <w:t>and employment characteristics.</w:t>
      </w:r>
    </w:p>
    <w:p>
      <w:pPr>
        <w:pStyle w:val="Heading4"/>
        <w:numPr>
          <w:ilvl w:val="2"/>
          <w:numId w:val="2"/>
        </w:numPr>
        <w:tabs>
          <w:tab w:pos="2058" w:val="left" w:leader="none"/>
        </w:tabs>
        <w:spacing w:line="240" w:lineRule="auto" w:before="159" w:after="0"/>
        <w:ind w:left="2057" w:right="0" w:hanging="721"/>
        <w:jc w:val="left"/>
        <w:rPr>
          <w:i/>
        </w:rPr>
      </w:pPr>
      <w:bookmarkStart w:name="7.1.1. Employment characteristics" w:id="24"/>
      <w:bookmarkEnd w:id="24"/>
      <w:r>
        <w:rPr>
          <w:i/>
        </w:rPr>
        <w:t>E</w:t>
      </w:r>
      <w:r>
        <w:rPr>
          <w:i/>
        </w:rPr>
        <w:t>mployment</w:t>
      </w:r>
      <w:r>
        <w:rPr>
          <w:i/>
          <w:spacing w:val="-9"/>
        </w:rPr>
        <w:t> </w:t>
      </w:r>
      <w:r>
        <w:rPr>
          <w:i/>
          <w:spacing w:val="-2"/>
        </w:rPr>
        <w:t>characteristics</w:t>
      </w:r>
    </w:p>
    <w:p>
      <w:pPr>
        <w:pStyle w:val="BodyText"/>
        <w:spacing w:before="60"/>
        <w:ind w:left="1337" w:right="1472"/>
      </w:pPr>
      <w:r>
        <w:rPr/>
        <w:t>The employment characteristics of claimant-side participants in 2019 were very</w:t>
      </w:r>
      <w:r>
        <w:rPr>
          <w:spacing w:val="40"/>
        </w:rPr>
        <w:t> </w:t>
      </w:r>
      <w:r>
        <w:rPr/>
        <w:t>similar to those in 2015.</w:t>
      </w:r>
    </w:p>
    <w:p>
      <w:pPr>
        <w:pStyle w:val="BodyText"/>
        <w:spacing w:before="9"/>
        <w:rPr>
          <w:sz w:val="11"/>
        </w:rPr>
      </w:pPr>
    </w:p>
    <w:p>
      <w:pPr>
        <w:pStyle w:val="ListParagraph"/>
        <w:numPr>
          <w:ilvl w:val="3"/>
          <w:numId w:val="2"/>
        </w:numPr>
        <w:tabs>
          <w:tab w:pos="2058" w:val="left" w:leader="none"/>
        </w:tabs>
        <w:spacing w:line="237" w:lineRule="auto" w:before="103" w:after="0"/>
        <w:ind w:left="2057" w:right="1475" w:hanging="360"/>
        <w:jc w:val="both"/>
        <w:rPr>
          <w:sz w:val="20"/>
        </w:rPr>
      </w:pPr>
      <w:r>
        <w:rPr>
          <w:sz w:val="20"/>
        </w:rPr>
        <w:t>Just</w:t>
      </w:r>
      <w:r>
        <w:rPr>
          <w:spacing w:val="-18"/>
          <w:sz w:val="20"/>
        </w:rPr>
        <w:t> </w:t>
      </w:r>
      <w:r>
        <w:rPr>
          <w:sz w:val="20"/>
        </w:rPr>
        <w:t>under</w:t>
      </w:r>
      <w:r>
        <w:rPr>
          <w:spacing w:val="-18"/>
          <w:sz w:val="20"/>
        </w:rPr>
        <w:t> </w:t>
      </w:r>
      <w:r>
        <w:rPr>
          <w:sz w:val="20"/>
        </w:rPr>
        <w:t>two</w:t>
      </w:r>
      <w:r>
        <w:rPr>
          <w:spacing w:val="-17"/>
          <w:sz w:val="20"/>
        </w:rPr>
        <w:t> </w:t>
      </w:r>
      <w:r>
        <w:rPr>
          <w:sz w:val="20"/>
        </w:rPr>
        <w:t>thirds</w:t>
      </w:r>
      <w:r>
        <w:rPr>
          <w:spacing w:val="-18"/>
          <w:sz w:val="20"/>
        </w:rPr>
        <w:t> </w:t>
      </w:r>
      <w:r>
        <w:rPr>
          <w:sz w:val="20"/>
        </w:rPr>
        <w:t>(62</w:t>
      </w:r>
      <w:r>
        <w:rPr>
          <w:spacing w:val="-17"/>
          <w:sz w:val="20"/>
        </w:rPr>
        <w:t> </w:t>
      </w:r>
      <w:r>
        <w:rPr>
          <w:sz w:val="20"/>
        </w:rPr>
        <w:t>per</w:t>
      </w:r>
      <w:r>
        <w:rPr>
          <w:spacing w:val="-18"/>
          <w:sz w:val="20"/>
        </w:rPr>
        <w:t> </w:t>
      </w:r>
      <w:r>
        <w:rPr>
          <w:sz w:val="20"/>
        </w:rPr>
        <w:t>cent)</w:t>
      </w:r>
      <w:r>
        <w:rPr>
          <w:spacing w:val="-18"/>
          <w:sz w:val="20"/>
        </w:rPr>
        <w:t> </w:t>
      </w:r>
      <w:r>
        <w:rPr>
          <w:sz w:val="20"/>
        </w:rPr>
        <w:t>did</w:t>
      </w:r>
      <w:r>
        <w:rPr>
          <w:spacing w:val="-17"/>
          <w:sz w:val="20"/>
        </w:rPr>
        <w:t> </w:t>
      </w:r>
      <w:r>
        <w:rPr>
          <w:sz w:val="20"/>
        </w:rPr>
        <w:t>not</w:t>
      </w:r>
      <w:r>
        <w:rPr>
          <w:spacing w:val="-17"/>
          <w:sz w:val="20"/>
        </w:rPr>
        <w:t> </w:t>
      </w:r>
      <w:r>
        <w:rPr>
          <w:sz w:val="20"/>
        </w:rPr>
        <w:t>have</w:t>
      </w:r>
      <w:r>
        <w:rPr>
          <w:spacing w:val="-18"/>
          <w:sz w:val="20"/>
        </w:rPr>
        <w:t> </w:t>
      </w:r>
      <w:r>
        <w:rPr>
          <w:sz w:val="20"/>
        </w:rPr>
        <w:t>management</w:t>
      </w:r>
      <w:r>
        <w:rPr>
          <w:spacing w:val="-16"/>
          <w:sz w:val="20"/>
        </w:rPr>
        <w:t> </w:t>
      </w:r>
      <w:r>
        <w:rPr>
          <w:sz w:val="20"/>
        </w:rPr>
        <w:t>or</w:t>
      </w:r>
      <w:r>
        <w:rPr>
          <w:spacing w:val="-18"/>
          <w:sz w:val="20"/>
        </w:rPr>
        <w:t> </w:t>
      </w:r>
      <w:r>
        <w:rPr>
          <w:sz w:val="20"/>
        </w:rPr>
        <w:t>supervisory </w:t>
      </w:r>
      <w:r>
        <w:rPr>
          <w:spacing w:val="-2"/>
          <w:sz w:val="20"/>
        </w:rPr>
        <w:t>responsibilities.</w:t>
      </w:r>
    </w:p>
    <w:p>
      <w:pPr>
        <w:pStyle w:val="ListParagraph"/>
        <w:numPr>
          <w:ilvl w:val="3"/>
          <w:numId w:val="2"/>
        </w:numPr>
        <w:tabs>
          <w:tab w:pos="2058" w:val="left" w:leader="none"/>
        </w:tabs>
        <w:spacing w:line="240" w:lineRule="auto" w:before="1" w:after="0"/>
        <w:ind w:left="2057" w:right="1473" w:hanging="360"/>
        <w:jc w:val="both"/>
        <w:rPr>
          <w:sz w:val="20"/>
        </w:rPr>
      </w:pPr>
      <w:r>
        <w:rPr>
          <w:sz w:val="20"/>
        </w:rPr>
        <w:t>Just over three quarters (78 per cent) worked full-time (i.e. more than 30 hours</w:t>
      </w:r>
      <w:r>
        <w:rPr>
          <w:spacing w:val="-9"/>
          <w:sz w:val="20"/>
        </w:rPr>
        <w:t> </w:t>
      </w:r>
      <w:r>
        <w:rPr>
          <w:sz w:val="20"/>
        </w:rPr>
        <w:t>a</w:t>
      </w:r>
      <w:r>
        <w:rPr>
          <w:spacing w:val="-11"/>
          <w:sz w:val="20"/>
        </w:rPr>
        <w:t> </w:t>
      </w:r>
      <w:r>
        <w:rPr>
          <w:sz w:val="20"/>
        </w:rPr>
        <w:t>week)</w:t>
      </w:r>
      <w:r>
        <w:rPr>
          <w:spacing w:val="-10"/>
          <w:sz w:val="20"/>
        </w:rPr>
        <w:t> </w:t>
      </w:r>
      <w:r>
        <w:rPr>
          <w:sz w:val="20"/>
        </w:rPr>
        <w:t>with</w:t>
      </w:r>
      <w:r>
        <w:rPr>
          <w:spacing w:val="-9"/>
          <w:sz w:val="20"/>
        </w:rPr>
        <w:t> </w:t>
      </w:r>
      <w:r>
        <w:rPr>
          <w:sz w:val="20"/>
        </w:rPr>
        <w:t>15</w:t>
      </w:r>
      <w:r>
        <w:rPr>
          <w:spacing w:val="-11"/>
          <w:sz w:val="20"/>
        </w:rPr>
        <w:t> </w:t>
      </w:r>
      <w:r>
        <w:rPr>
          <w:sz w:val="20"/>
        </w:rPr>
        <w:t>per</w:t>
      </w:r>
      <w:r>
        <w:rPr>
          <w:spacing w:val="-10"/>
          <w:sz w:val="20"/>
        </w:rPr>
        <w:t> </w:t>
      </w:r>
      <w:r>
        <w:rPr>
          <w:sz w:val="20"/>
        </w:rPr>
        <w:t>cent</w:t>
      </w:r>
      <w:r>
        <w:rPr>
          <w:spacing w:val="-10"/>
          <w:sz w:val="20"/>
        </w:rPr>
        <w:t> </w:t>
      </w:r>
      <w:r>
        <w:rPr>
          <w:sz w:val="20"/>
        </w:rPr>
        <w:t>working</w:t>
      </w:r>
      <w:r>
        <w:rPr>
          <w:spacing w:val="-9"/>
          <w:sz w:val="20"/>
        </w:rPr>
        <w:t> </w:t>
      </w:r>
      <w:r>
        <w:rPr>
          <w:sz w:val="20"/>
        </w:rPr>
        <w:t>part</w:t>
      </w:r>
      <w:r>
        <w:rPr>
          <w:spacing w:val="-10"/>
          <w:sz w:val="20"/>
        </w:rPr>
        <w:t> </w:t>
      </w:r>
      <w:r>
        <w:rPr>
          <w:sz w:val="20"/>
        </w:rPr>
        <w:t>time</w:t>
      </w:r>
      <w:r>
        <w:rPr>
          <w:spacing w:val="-10"/>
          <w:sz w:val="20"/>
        </w:rPr>
        <w:t> </w:t>
      </w:r>
      <w:r>
        <w:rPr>
          <w:sz w:val="20"/>
        </w:rPr>
        <w:t>and</w:t>
      </w:r>
      <w:r>
        <w:rPr>
          <w:spacing w:val="-9"/>
          <w:sz w:val="20"/>
        </w:rPr>
        <w:t> </w:t>
      </w:r>
      <w:r>
        <w:rPr>
          <w:sz w:val="20"/>
        </w:rPr>
        <w:t>five</w:t>
      </w:r>
      <w:r>
        <w:rPr>
          <w:spacing w:val="-11"/>
          <w:sz w:val="20"/>
        </w:rPr>
        <w:t> </w:t>
      </w:r>
      <w:r>
        <w:rPr>
          <w:sz w:val="20"/>
        </w:rPr>
        <w:t>per</w:t>
      </w:r>
      <w:r>
        <w:rPr>
          <w:spacing w:val="-10"/>
          <w:sz w:val="20"/>
        </w:rPr>
        <w:t> </w:t>
      </w:r>
      <w:r>
        <w:rPr>
          <w:sz w:val="20"/>
        </w:rPr>
        <w:t>cent</w:t>
      </w:r>
      <w:r>
        <w:rPr>
          <w:spacing w:val="-10"/>
          <w:sz w:val="20"/>
        </w:rPr>
        <w:t> </w:t>
      </w:r>
      <w:r>
        <w:rPr>
          <w:sz w:val="20"/>
        </w:rPr>
        <w:t>on</w:t>
      </w:r>
      <w:r>
        <w:rPr>
          <w:spacing w:val="-10"/>
          <w:sz w:val="20"/>
        </w:rPr>
        <w:t> </w:t>
      </w:r>
      <w:r>
        <w:rPr>
          <w:sz w:val="20"/>
        </w:rPr>
        <w:t>zero- hour contracts. In 2015, these figures were 77 per cent, 17 per cent and five per cent respectively.</w:t>
      </w:r>
    </w:p>
    <w:p>
      <w:pPr>
        <w:pStyle w:val="ListParagraph"/>
        <w:numPr>
          <w:ilvl w:val="3"/>
          <w:numId w:val="2"/>
        </w:numPr>
        <w:tabs>
          <w:tab w:pos="2058" w:val="left" w:leader="none"/>
        </w:tabs>
        <w:spacing w:line="240" w:lineRule="auto" w:before="0" w:after="0"/>
        <w:ind w:left="2057" w:right="1475" w:hanging="360"/>
        <w:jc w:val="both"/>
        <w:rPr>
          <w:sz w:val="20"/>
        </w:rPr>
      </w:pPr>
      <w:r>
        <w:rPr>
          <w:sz w:val="20"/>
        </w:rPr>
        <w:t>Length</w:t>
      </w:r>
      <w:r>
        <w:rPr>
          <w:spacing w:val="-1"/>
          <w:sz w:val="20"/>
        </w:rPr>
        <w:t> </w:t>
      </w:r>
      <w:r>
        <w:rPr>
          <w:sz w:val="20"/>
        </w:rPr>
        <w:t>of</w:t>
      </w:r>
      <w:r>
        <w:rPr>
          <w:spacing w:val="-1"/>
          <w:sz w:val="20"/>
        </w:rPr>
        <w:t> </w:t>
      </w:r>
      <w:r>
        <w:rPr>
          <w:sz w:val="20"/>
        </w:rPr>
        <w:t>employment</w:t>
      </w:r>
      <w:r>
        <w:rPr>
          <w:spacing w:val="-2"/>
          <w:sz w:val="20"/>
        </w:rPr>
        <w:t> </w:t>
      </w:r>
      <w:r>
        <w:rPr>
          <w:sz w:val="20"/>
        </w:rPr>
        <w:t>varied,</w:t>
      </w:r>
      <w:r>
        <w:rPr>
          <w:spacing w:val="-1"/>
          <w:sz w:val="20"/>
        </w:rPr>
        <w:t> </w:t>
      </w:r>
      <w:r>
        <w:rPr>
          <w:sz w:val="20"/>
        </w:rPr>
        <w:t>from</w:t>
      </w:r>
      <w:r>
        <w:rPr>
          <w:spacing w:val="-2"/>
          <w:sz w:val="20"/>
        </w:rPr>
        <w:t> </w:t>
      </w:r>
      <w:r>
        <w:rPr>
          <w:sz w:val="20"/>
        </w:rPr>
        <w:t>31</w:t>
      </w:r>
      <w:r>
        <w:rPr>
          <w:spacing w:val="-2"/>
          <w:sz w:val="20"/>
        </w:rPr>
        <w:t> </w:t>
      </w:r>
      <w:r>
        <w:rPr>
          <w:sz w:val="20"/>
        </w:rPr>
        <w:t>per</w:t>
      </w:r>
      <w:r>
        <w:rPr>
          <w:spacing w:val="-2"/>
          <w:sz w:val="20"/>
        </w:rPr>
        <w:t> </w:t>
      </w:r>
      <w:r>
        <w:rPr>
          <w:sz w:val="20"/>
        </w:rPr>
        <w:t>cent</w:t>
      </w:r>
      <w:r>
        <w:rPr>
          <w:spacing w:val="-3"/>
          <w:sz w:val="20"/>
        </w:rPr>
        <w:t> </w:t>
      </w:r>
      <w:r>
        <w:rPr>
          <w:sz w:val="20"/>
        </w:rPr>
        <w:t>who</w:t>
      </w:r>
      <w:r>
        <w:rPr>
          <w:spacing w:val="-2"/>
          <w:sz w:val="20"/>
        </w:rPr>
        <w:t> </w:t>
      </w:r>
      <w:r>
        <w:rPr>
          <w:sz w:val="20"/>
        </w:rPr>
        <w:t>had</w:t>
      </w:r>
      <w:r>
        <w:rPr>
          <w:spacing w:val="-3"/>
          <w:sz w:val="20"/>
        </w:rPr>
        <w:t> </w:t>
      </w:r>
      <w:r>
        <w:rPr>
          <w:sz w:val="20"/>
        </w:rPr>
        <w:t>employed</w:t>
      </w:r>
      <w:r>
        <w:rPr>
          <w:spacing w:val="-2"/>
          <w:sz w:val="20"/>
        </w:rPr>
        <w:t> </w:t>
      </w:r>
      <w:r>
        <w:rPr>
          <w:sz w:val="20"/>
        </w:rPr>
        <w:t>for</w:t>
      </w:r>
      <w:r>
        <w:rPr>
          <w:spacing w:val="-2"/>
          <w:sz w:val="20"/>
        </w:rPr>
        <w:t> </w:t>
      </w:r>
      <w:r>
        <w:rPr>
          <w:sz w:val="20"/>
        </w:rPr>
        <w:t>less than a year at the time of contacting Acas, to 20 per cent who had been employed for ten or more years.</w:t>
      </w:r>
    </w:p>
    <w:p>
      <w:pPr>
        <w:pStyle w:val="ListParagraph"/>
        <w:numPr>
          <w:ilvl w:val="3"/>
          <w:numId w:val="2"/>
        </w:numPr>
        <w:tabs>
          <w:tab w:pos="2058" w:val="left" w:leader="none"/>
        </w:tabs>
        <w:spacing w:line="237" w:lineRule="auto" w:before="0" w:after="0"/>
        <w:ind w:left="2057" w:right="1475" w:hanging="360"/>
        <w:jc w:val="both"/>
        <w:rPr>
          <w:sz w:val="20"/>
        </w:rPr>
      </w:pPr>
      <w:r>
        <w:rPr>
          <w:sz w:val="20"/>
        </w:rPr>
        <w:t>At</w:t>
      </w:r>
      <w:r>
        <w:rPr>
          <w:spacing w:val="-13"/>
          <w:sz w:val="20"/>
        </w:rPr>
        <w:t> </w:t>
      </w:r>
      <w:r>
        <w:rPr>
          <w:sz w:val="20"/>
        </w:rPr>
        <w:t>the</w:t>
      </w:r>
      <w:r>
        <w:rPr>
          <w:spacing w:val="-13"/>
          <w:sz w:val="20"/>
        </w:rPr>
        <w:t> </w:t>
      </w:r>
      <w:r>
        <w:rPr>
          <w:sz w:val="20"/>
        </w:rPr>
        <w:t>time</w:t>
      </w:r>
      <w:r>
        <w:rPr>
          <w:spacing w:val="-13"/>
          <w:sz w:val="20"/>
        </w:rPr>
        <w:t> </w:t>
      </w:r>
      <w:r>
        <w:rPr>
          <w:sz w:val="20"/>
        </w:rPr>
        <w:t>of</w:t>
      </w:r>
      <w:r>
        <w:rPr>
          <w:spacing w:val="-13"/>
          <w:sz w:val="20"/>
        </w:rPr>
        <w:t> </w:t>
      </w:r>
      <w:r>
        <w:rPr>
          <w:sz w:val="20"/>
        </w:rPr>
        <w:t>initiating</w:t>
      </w:r>
      <w:r>
        <w:rPr>
          <w:spacing w:val="-13"/>
          <w:sz w:val="20"/>
        </w:rPr>
        <w:t> </w:t>
      </w:r>
      <w:r>
        <w:rPr>
          <w:sz w:val="20"/>
        </w:rPr>
        <w:t>EC,</w:t>
      </w:r>
      <w:r>
        <w:rPr>
          <w:spacing w:val="-12"/>
          <w:sz w:val="20"/>
        </w:rPr>
        <w:t> </w:t>
      </w:r>
      <w:r>
        <w:rPr>
          <w:sz w:val="20"/>
        </w:rPr>
        <w:t>one</w:t>
      </w:r>
      <w:r>
        <w:rPr>
          <w:spacing w:val="-15"/>
          <w:sz w:val="20"/>
        </w:rPr>
        <w:t> </w:t>
      </w:r>
      <w:r>
        <w:rPr>
          <w:sz w:val="20"/>
        </w:rPr>
        <w:t>fifth</w:t>
      </w:r>
      <w:r>
        <w:rPr>
          <w:spacing w:val="-14"/>
          <w:sz w:val="20"/>
        </w:rPr>
        <w:t> </w:t>
      </w:r>
      <w:r>
        <w:rPr>
          <w:sz w:val="20"/>
        </w:rPr>
        <w:t>(19</w:t>
      </w:r>
      <w:r>
        <w:rPr>
          <w:spacing w:val="-13"/>
          <w:sz w:val="20"/>
        </w:rPr>
        <w:t> </w:t>
      </w:r>
      <w:r>
        <w:rPr>
          <w:sz w:val="20"/>
        </w:rPr>
        <w:t>per</w:t>
      </w:r>
      <w:r>
        <w:rPr>
          <w:spacing w:val="-13"/>
          <w:sz w:val="20"/>
        </w:rPr>
        <w:t> </w:t>
      </w:r>
      <w:r>
        <w:rPr>
          <w:sz w:val="20"/>
        </w:rPr>
        <w:t>cent)</w:t>
      </w:r>
      <w:r>
        <w:rPr>
          <w:spacing w:val="-14"/>
          <w:sz w:val="20"/>
        </w:rPr>
        <w:t> </w:t>
      </w:r>
      <w:r>
        <w:rPr>
          <w:sz w:val="20"/>
        </w:rPr>
        <w:t>were</w:t>
      </w:r>
      <w:r>
        <w:rPr>
          <w:spacing w:val="-13"/>
          <w:sz w:val="20"/>
        </w:rPr>
        <w:t> </w:t>
      </w:r>
      <w:r>
        <w:rPr>
          <w:sz w:val="20"/>
        </w:rPr>
        <w:t>a</w:t>
      </w:r>
      <w:r>
        <w:rPr>
          <w:spacing w:val="-13"/>
          <w:sz w:val="20"/>
        </w:rPr>
        <w:t> </w:t>
      </w:r>
      <w:r>
        <w:rPr>
          <w:sz w:val="20"/>
        </w:rPr>
        <w:t>member</w:t>
      </w:r>
      <w:r>
        <w:rPr>
          <w:spacing w:val="-13"/>
          <w:sz w:val="20"/>
        </w:rPr>
        <w:t> </w:t>
      </w:r>
      <w:r>
        <w:rPr>
          <w:sz w:val="20"/>
        </w:rPr>
        <w:t>of</w:t>
      </w:r>
      <w:r>
        <w:rPr>
          <w:spacing w:val="-13"/>
          <w:sz w:val="20"/>
        </w:rPr>
        <w:t> </w:t>
      </w:r>
      <w:r>
        <w:rPr>
          <w:sz w:val="20"/>
        </w:rPr>
        <w:t>a</w:t>
      </w:r>
      <w:r>
        <w:rPr>
          <w:spacing w:val="-13"/>
          <w:sz w:val="20"/>
        </w:rPr>
        <w:t> </w:t>
      </w:r>
      <w:r>
        <w:rPr>
          <w:sz w:val="20"/>
        </w:rPr>
        <w:t>trade union or staff association.</w:t>
      </w:r>
    </w:p>
    <w:p>
      <w:pPr>
        <w:pStyle w:val="ListParagraph"/>
        <w:numPr>
          <w:ilvl w:val="3"/>
          <w:numId w:val="2"/>
        </w:numPr>
        <w:tabs>
          <w:tab w:pos="2058" w:val="left" w:leader="none"/>
        </w:tabs>
        <w:spacing w:line="240" w:lineRule="auto" w:before="0" w:after="0"/>
        <w:ind w:left="2057" w:right="1473" w:hanging="360"/>
        <w:jc w:val="both"/>
        <w:rPr>
          <w:sz w:val="20"/>
        </w:rPr>
      </w:pPr>
      <w:r>
        <w:rPr>
          <w:sz w:val="20"/>
        </w:rPr>
        <w:t>Seven</w:t>
      </w:r>
      <w:r>
        <w:rPr>
          <w:spacing w:val="-3"/>
          <w:sz w:val="20"/>
        </w:rPr>
        <w:t> </w:t>
      </w:r>
      <w:r>
        <w:rPr>
          <w:sz w:val="20"/>
        </w:rPr>
        <w:t>in</w:t>
      </w:r>
      <w:r>
        <w:rPr>
          <w:spacing w:val="-4"/>
          <w:sz w:val="20"/>
        </w:rPr>
        <w:t> </w:t>
      </w:r>
      <w:r>
        <w:rPr>
          <w:sz w:val="20"/>
        </w:rPr>
        <w:t>ten</w:t>
      </w:r>
      <w:r>
        <w:rPr>
          <w:spacing w:val="-4"/>
          <w:sz w:val="20"/>
        </w:rPr>
        <w:t> </w:t>
      </w:r>
      <w:r>
        <w:rPr>
          <w:sz w:val="20"/>
        </w:rPr>
        <w:t>(74</w:t>
      </w:r>
      <w:r>
        <w:rPr>
          <w:spacing w:val="-5"/>
          <w:sz w:val="20"/>
        </w:rPr>
        <w:t> </w:t>
      </w:r>
      <w:r>
        <w:rPr>
          <w:sz w:val="20"/>
        </w:rPr>
        <w:t>per</w:t>
      </w:r>
      <w:r>
        <w:rPr>
          <w:spacing w:val="-4"/>
          <w:sz w:val="20"/>
        </w:rPr>
        <w:t> </w:t>
      </w:r>
      <w:r>
        <w:rPr>
          <w:sz w:val="20"/>
        </w:rPr>
        <w:t>cent)</w:t>
      </w:r>
      <w:r>
        <w:rPr>
          <w:spacing w:val="-4"/>
          <w:sz w:val="20"/>
        </w:rPr>
        <w:t> </w:t>
      </w:r>
      <w:r>
        <w:rPr>
          <w:sz w:val="20"/>
        </w:rPr>
        <w:t>worked</w:t>
      </w:r>
      <w:r>
        <w:rPr>
          <w:spacing w:val="-4"/>
          <w:sz w:val="20"/>
        </w:rPr>
        <w:t> </w:t>
      </w:r>
      <w:r>
        <w:rPr>
          <w:sz w:val="20"/>
        </w:rPr>
        <w:t>in</w:t>
      </w:r>
      <w:r>
        <w:rPr>
          <w:spacing w:val="-4"/>
          <w:sz w:val="20"/>
        </w:rPr>
        <w:t> </w:t>
      </w:r>
      <w:r>
        <w:rPr>
          <w:sz w:val="20"/>
        </w:rPr>
        <w:t>the</w:t>
      </w:r>
      <w:r>
        <w:rPr>
          <w:spacing w:val="-5"/>
          <w:sz w:val="20"/>
        </w:rPr>
        <w:t> </w:t>
      </w:r>
      <w:r>
        <w:rPr>
          <w:sz w:val="20"/>
        </w:rPr>
        <w:t>private</w:t>
      </w:r>
      <w:r>
        <w:rPr>
          <w:spacing w:val="-4"/>
          <w:sz w:val="20"/>
        </w:rPr>
        <w:t> </w:t>
      </w:r>
      <w:r>
        <w:rPr>
          <w:sz w:val="20"/>
        </w:rPr>
        <w:t>sector,</w:t>
      </w:r>
      <w:r>
        <w:rPr>
          <w:spacing w:val="-5"/>
          <w:sz w:val="20"/>
        </w:rPr>
        <w:t> </w:t>
      </w:r>
      <w:r>
        <w:rPr>
          <w:sz w:val="20"/>
        </w:rPr>
        <w:t>with</w:t>
      </w:r>
      <w:r>
        <w:rPr>
          <w:spacing w:val="-3"/>
          <w:sz w:val="20"/>
        </w:rPr>
        <w:t> </w:t>
      </w:r>
      <w:r>
        <w:rPr>
          <w:sz w:val="20"/>
        </w:rPr>
        <w:t>16</w:t>
      </w:r>
      <w:r>
        <w:rPr>
          <w:spacing w:val="-5"/>
          <w:sz w:val="20"/>
        </w:rPr>
        <w:t> </w:t>
      </w:r>
      <w:r>
        <w:rPr>
          <w:sz w:val="20"/>
        </w:rPr>
        <w:t>per</w:t>
      </w:r>
      <w:r>
        <w:rPr>
          <w:spacing w:val="-5"/>
          <w:sz w:val="20"/>
        </w:rPr>
        <w:t> </w:t>
      </w:r>
      <w:r>
        <w:rPr>
          <w:sz w:val="20"/>
        </w:rPr>
        <w:t>cent</w:t>
      </w:r>
      <w:r>
        <w:rPr>
          <w:spacing w:val="-3"/>
          <w:sz w:val="20"/>
        </w:rPr>
        <w:t> </w:t>
      </w:r>
      <w:r>
        <w:rPr>
          <w:sz w:val="20"/>
        </w:rPr>
        <w:t>in the public sector, and four per cent in the non-profit/voluntary sector. In 2015, these figures were 71 per cent, 19 per cent and five per cent </w:t>
      </w:r>
      <w:r>
        <w:rPr>
          <w:spacing w:val="-2"/>
          <w:sz w:val="20"/>
        </w:rPr>
        <w:t>respectively.</w:t>
      </w:r>
    </w:p>
    <w:p>
      <w:pPr>
        <w:pStyle w:val="ListParagraph"/>
        <w:numPr>
          <w:ilvl w:val="3"/>
          <w:numId w:val="2"/>
        </w:numPr>
        <w:tabs>
          <w:tab w:pos="2057" w:val="left" w:leader="none"/>
        </w:tabs>
        <w:spacing w:line="240" w:lineRule="auto" w:before="0" w:after="0"/>
        <w:ind w:left="2056" w:right="1475" w:hanging="360"/>
        <w:jc w:val="both"/>
        <w:rPr>
          <w:sz w:val="20"/>
        </w:rPr>
      </w:pPr>
      <w:r>
        <w:rPr>
          <w:sz w:val="20"/>
        </w:rPr>
        <w:t>At the time of the survey, over six in ten (62 per cent) of all claimant participants interviewed were in paid employment.</w:t>
      </w:r>
    </w:p>
    <w:p>
      <w:pPr>
        <w:pStyle w:val="BodyText"/>
      </w:pPr>
    </w:p>
    <w:p>
      <w:pPr>
        <w:pStyle w:val="BodyText"/>
        <w:spacing w:before="9"/>
        <w:rPr>
          <w:sz w:val="19"/>
        </w:rPr>
      </w:pPr>
    </w:p>
    <w:p>
      <w:pPr>
        <w:pStyle w:val="Heading4"/>
        <w:numPr>
          <w:ilvl w:val="2"/>
          <w:numId w:val="2"/>
        </w:numPr>
        <w:tabs>
          <w:tab w:pos="2057" w:val="left" w:leader="none"/>
        </w:tabs>
        <w:spacing w:line="240" w:lineRule="auto" w:before="0" w:after="0"/>
        <w:ind w:left="2056" w:right="0" w:hanging="721"/>
        <w:jc w:val="left"/>
        <w:rPr>
          <w:i/>
        </w:rPr>
      </w:pPr>
      <w:bookmarkStart w:name="7.1.2. Personal characteristics" w:id="25"/>
      <w:bookmarkEnd w:id="25"/>
      <w:r>
        <w:rPr>
          <w:i/>
        </w:rPr>
        <w:t>P</w:t>
      </w:r>
      <w:r>
        <w:rPr>
          <w:i/>
        </w:rPr>
        <w:t>ersonal</w:t>
      </w:r>
      <w:r>
        <w:rPr>
          <w:i/>
          <w:spacing w:val="-6"/>
        </w:rPr>
        <w:t> </w:t>
      </w:r>
      <w:r>
        <w:rPr>
          <w:i/>
          <w:spacing w:val="-2"/>
        </w:rPr>
        <w:t>characteristics</w:t>
      </w:r>
    </w:p>
    <w:p>
      <w:pPr>
        <w:pStyle w:val="BodyText"/>
        <w:spacing w:before="59"/>
        <w:ind w:left="1336" w:right="1472"/>
      </w:pPr>
      <w:r>
        <w:rPr/>
        <w:t>The personal characteristics of the claimant participants in 2019 were also very</w:t>
      </w:r>
      <w:r>
        <w:rPr>
          <w:spacing w:val="80"/>
        </w:rPr>
        <w:t> </w:t>
      </w:r>
      <w:r>
        <w:rPr/>
        <w:t>similar to those in 2015.</w:t>
      </w:r>
    </w:p>
    <w:p>
      <w:pPr>
        <w:pStyle w:val="BodyText"/>
        <w:spacing w:before="3"/>
      </w:pPr>
    </w:p>
    <w:p>
      <w:pPr>
        <w:pStyle w:val="ListParagraph"/>
        <w:numPr>
          <w:ilvl w:val="3"/>
          <w:numId w:val="2"/>
        </w:numPr>
        <w:tabs>
          <w:tab w:pos="2057" w:val="left" w:leader="none"/>
        </w:tabs>
        <w:spacing w:line="237" w:lineRule="auto" w:before="0" w:after="0"/>
        <w:ind w:left="2056" w:right="1475" w:hanging="360"/>
        <w:jc w:val="both"/>
        <w:rPr>
          <w:sz w:val="20"/>
        </w:rPr>
      </w:pPr>
      <w:r>
        <w:rPr>
          <w:sz w:val="20"/>
        </w:rPr>
        <w:t>Claimants tended to be between the ages of 25 and 55; 44 per cent were </w:t>
      </w:r>
      <w:r>
        <w:rPr>
          <w:spacing w:val="-2"/>
          <w:sz w:val="20"/>
        </w:rPr>
        <w:t>women.</w:t>
      </w:r>
    </w:p>
    <w:p>
      <w:pPr>
        <w:pStyle w:val="ListParagraph"/>
        <w:numPr>
          <w:ilvl w:val="3"/>
          <w:numId w:val="2"/>
        </w:numPr>
        <w:tabs>
          <w:tab w:pos="2057" w:val="left" w:leader="none"/>
        </w:tabs>
        <w:spacing w:line="240" w:lineRule="auto" w:before="1" w:after="0"/>
        <w:ind w:left="2056" w:right="1476" w:hanging="360"/>
        <w:jc w:val="both"/>
        <w:rPr>
          <w:sz w:val="20"/>
        </w:rPr>
      </w:pPr>
      <w:r>
        <w:rPr>
          <w:sz w:val="20"/>
        </w:rPr>
        <w:t>Three quarters (75 per cent) described their ethnic group</w:t>
      </w:r>
      <w:r>
        <w:rPr>
          <w:spacing w:val="-1"/>
          <w:sz w:val="20"/>
        </w:rPr>
        <w:t> </w:t>
      </w:r>
      <w:r>
        <w:rPr>
          <w:sz w:val="20"/>
        </w:rPr>
        <w:t>as White. One in ten</w:t>
      </w:r>
      <w:r>
        <w:rPr>
          <w:spacing w:val="-10"/>
          <w:sz w:val="20"/>
        </w:rPr>
        <w:t> </w:t>
      </w:r>
      <w:r>
        <w:rPr>
          <w:sz w:val="20"/>
        </w:rPr>
        <w:t>(eight</w:t>
      </w:r>
      <w:r>
        <w:rPr>
          <w:spacing w:val="-11"/>
          <w:sz w:val="20"/>
        </w:rPr>
        <w:t> </w:t>
      </w:r>
      <w:r>
        <w:rPr>
          <w:sz w:val="20"/>
        </w:rPr>
        <w:t>per</w:t>
      </w:r>
      <w:r>
        <w:rPr>
          <w:spacing w:val="-11"/>
          <w:sz w:val="20"/>
        </w:rPr>
        <w:t> </w:t>
      </w:r>
      <w:r>
        <w:rPr>
          <w:sz w:val="20"/>
        </w:rPr>
        <w:t>cent)</w:t>
      </w:r>
      <w:r>
        <w:rPr>
          <w:spacing w:val="-10"/>
          <w:sz w:val="20"/>
        </w:rPr>
        <w:t> </w:t>
      </w:r>
      <w:r>
        <w:rPr>
          <w:sz w:val="20"/>
        </w:rPr>
        <w:t>indicated</w:t>
      </w:r>
      <w:r>
        <w:rPr>
          <w:spacing w:val="-10"/>
          <w:sz w:val="20"/>
        </w:rPr>
        <w:t> </w:t>
      </w:r>
      <w:r>
        <w:rPr>
          <w:sz w:val="20"/>
        </w:rPr>
        <w:t>they</w:t>
      </w:r>
      <w:r>
        <w:rPr>
          <w:spacing w:val="-11"/>
          <w:sz w:val="20"/>
        </w:rPr>
        <w:t> </w:t>
      </w:r>
      <w:r>
        <w:rPr>
          <w:sz w:val="20"/>
        </w:rPr>
        <w:t>were</w:t>
      </w:r>
      <w:r>
        <w:rPr>
          <w:spacing w:val="-11"/>
          <w:sz w:val="20"/>
        </w:rPr>
        <w:t> </w:t>
      </w:r>
      <w:r>
        <w:rPr>
          <w:sz w:val="20"/>
        </w:rPr>
        <w:t>Asian,</w:t>
      </w:r>
      <w:r>
        <w:rPr>
          <w:spacing w:val="-11"/>
          <w:sz w:val="20"/>
        </w:rPr>
        <w:t> </w:t>
      </w:r>
      <w:r>
        <w:rPr>
          <w:sz w:val="20"/>
        </w:rPr>
        <w:t>while</w:t>
      </w:r>
      <w:r>
        <w:rPr>
          <w:spacing w:val="-11"/>
          <w:sz w:val="20"/>
        </w:rPr>
        <w:t> </w:t>
      </w:r>
      <w:r>
        <w:rPr>
          <w:sz w:val="20"/>
        </w:rPr>
        <w:t>nine</w:t>
      </w:r>
      <w:r>
        <w:rPr>
          <w:spacing w:val="-11"/>
          <w:sz w:val="20"/>
        </w:rPr>
        <w:t> </w:t>
      </w:r>
      <w:r>
        <w:rPr>
          <w:sz w:val="20"/>
        </w:rPr>
        <w:t>per</w:t>
      </w:r>
      <w:r>
        <w:rPr>
          <w:spacing w:val="-11"/>
          <w:sz w:val="20"/>
        </w:rPr>
        <w:t> </w:t>
      </w:r>
      <w:r>
        <w:rPr>
          <w:sz w:val="20"/>
        </w:rPr>
        <w:t>cent</w:t>
      </w:r>
      <w:r>
        <w:rPr>
          <w:spacing w:val="-10"/>
          <w:sz w:val="20"/>
        </w:rPr>
        <w:t> </w:t>
      </w:r>
      <w:r>
        <w:rPr>
          <w:sz w:val="20"/>
        </w:rPr>
        <w:t>indicated they</w:t>
      </w:r>
      <w:r>
        <w:rPr>
          <w:spacing w:val="-7"/>
          <w:sz w:val="20"/>
        </w:rPr>
        <w:t> </w:t>
      </w:r>
      <w:r>
        <w:rPr>
          <w:sz w:val="20"/>
        </w:rPr>
        <w:t>were</w:t>
      </w:r>
      <w:r>
        <w:rPr>
          <w:spacing w:val="-6"/>
          <w:sz w:val="20"/>
        </w:rPr>
        <w:t> </w:t>
      </w:r>
      <w:r>
        <w:rPr>
          <w:sz w:val="20"/>
        </w:rPr>
        <w:t>Black,</w:t>
      </w:r>
      <w:r>
        <w:rPr>
          <w:spacing w:val="-5"/>
          <w:sz w:val="20"/>
        </w:rPr>
        <w:t> </w:t>
      </w:r>
      <w:r>
        <w:rPr>
          <w:sz w:val="20"/>
        </w:rPr>
        <w:t>four</w:t>
      </w:r>
      <w:r>
        <w:rPr>
          <w:spacing w:val="-7"/>
          <w:sz w:val="20"/>
        </w:rPr>
        <w:t> </w:t>
      </w:r>
      <w:r>
        <w:rPr>
          <w:sz w:val="20"/>
        </w:rPr>
        <w:t>per</w:t>
      </w:r>
      <w:r>
        <w:rPr>
          <w:spacing w:val="-6"/>
          <w:sz w:val="20"/>
        </w:rPr>
        <w:t> </w:t>
      </w:r>
      <w:r>
        <w:rPr>
          <w:sz w:val="20"/>
        </w:rPr>
        <w:t>cent</w:t>
      </w:r>
      <w:r>
        <w:rPr>
          <w:spacing w:val="-7"/>
          <w:sz w:val="20"/>
        </w:rPr>
        <w:t> </w:t>
      </w:r>
      <w:r>
        <w:rPr>
          <w:sz w:val="20"/>
        </w:rPr>
        <w:t>from</w:t>
      </w:r>
      <w:r>
        <w:rPr>
          <w:spacing w:val="-6"/>
          <w:sz w:val="20"/>
        </w:rPr>
        <w:t> </w:t>
      </w:r>
      <w:r>
        <w:rPr>
          <w:sz w:val="20"/>
        </w:rPr>
        <w:t>a</w:t>
      </w:r>
      <w:r>
        <w:rPr>
          <w:spacing w:val="-6"/>
          <w:sz w:val="20"/>
        </w:rPr>
        <w:t> </w:t>
      </w:r>
      <w:r>
        <w:rPr>
          <w:sz w:val="20"/>
        </w:rPr>
        <w:t>mixed</w:t>
      </w:r>
      <w:r>
        <w:rPr>
          <w:spacing w:val="-7"/>
          <w:sz w:val="20"/>
        </w:rPr>
        <w:t> </w:t>
      </w:r>
      <w:r>
        <w:rPr>
          <w:sz w:val="20"/>
        </w:rPr>
        <w:t>ethnic</w:t>
      </w:r>
      <w:r>
        <w:rPr>
          <w:spacing w:val="-6"/>
          <w:sz w:val="20"/>
        </w:rPr>
        <w:t> </w:t>
      </w:r>
      <w:r>
        <w:rPr>
          <w:sz w:val="20"/>
        </w:rPr>
        <w:t>group,</w:t>
      </w:r>
      <w:r>
        <w:rPr>
          <w:spacing w:val="-5"/>
          <w:sz w:val="20"/>
        </w:rPr>
        <w:t> </w:t>
      </w:r>
      <w:r>
        <w:rPr>
          <w:sz w:val="20"/>
        </w:rPr>
        <w:t>and</w:t>
      </w:r>
      <w:r>
        <w:rPr>
          <w:spacing w:val="-7"/>
          <w:sz w:val="20"/>
        </w:rPr>
        <w:t> </w:t>
      </w:r>
      <w:r>
        <w:rPr>
          <w:sz w:val="20"/>
        </w:rPr>
        <w:t>two</w:t>
      </w:r>
      <w:r>
        <w:rPr>
          <w:spacing w:val="-9"/>
          <w:sz w:val="20"/>
        </w:rPr>
        <w:t> </w:t>
      </w:r>
      <w:r>
        <w:rPr>
          <w:sz w:val="20"/>
        </w:rPr>
        <w:t>per</w:t>
      </w:r>
      <w:r>
        <w:rPr>
          <w:spacing w:val="-6"/>
          <w:sz w:val="20"/>
        </w:rPr>
        <w:t> </w:t>
      </w:r>
      <w:r>
        <w:rPr>
          <w:sz w:val="20"/>
        </w:rPr>
        <w:t>cent from other ethnic groups.</w:t>
      </w:r>
    </w:p>
    <w:p>
      <w:pPr>
        <w:pStyle w:val="ListParagraph"/>
        <w:numPr>
          <w:ilvl w:val="3"/>
          <w:numId w:val="2"/>
        </w:numPr>
        <w:tabs>
          <w:tab w:pos="2057" w:val="left" w:leader="none"/>
        </w:tabs>
        <w:spacing w:line="240" w:lineRule="auto" w:before="0" w:after="0"/>
        <w:ind w:left="2056" w:right="1473" w:hanging="360"/>
        <w:jc w:val="both"/>
        <w:rPr>
          <w:sz w:val="20"/>
        </w:rPr>
      </w:pPr>
      <w:r>
        <w:rPr>
          <w:sz w:val="20"/>
        </w:rPr>
        <w:t>Over</w:t>
      </w:r>
      <w:r>
        <w:rPr>
          <w:spacing w:val="-15"/>
          <w:sz w:val="20"/>
        </w:rPr>
        <w:t> </w:t>
      </w:r>
      <w:r>
        <w:rPr>
          <w:sz w:val="20"/>
        </w:rPr>
        <w:t>two-fifths</w:t>
      </w:r>
      <w:r>
        <w:rPr>
          <w:spacing w:val="-16"/>
          <w:sz w:val="20"/>
        </w:rPr>
        <w:t> </w:t>
      </w:r>
      <w:r>
        <w:rPr>
          <w:sz w:val="20"/>
        </w:rPr>
        <w:t>(44</w:t>
      </w:r>
      <w:r>
        <w:rPr>
          <w:spacing w:val="-16"/>
          <w:sz w:val="20"/>
        </w:rPr>
        <w:t> </w:t>
      </w:r>
      <w:r>
        <w:rPr>
          <w:sz w:val="20"/>
        </w:rPr>
        <w:t>per</w:t>
      </w:r>
      <w:r>
        <w:rPr>
          <w:spacing w:val="-16"/>
          <w:sz w:val="20"/>
        </w:rPr>
        <w:t> </w:t>
      </w:r>
      <w:r>
        <w:rPr>
          <w:sz w:val="20"/>
        </w:rPr>
        <w:t>cent)</w:t>
      </w:r>
      <w:r>
        <w:rPr>
          <w:spacing w:val="-16"/>
          <w:sz w:val="20"/>
        </w:rPr>
        <w:t> </w:t>
      </w:r>
      <w:r>
        <w:rPr>
          <w:sz w:val="20"/>
        </w:rPr>
        <w:t>described</w:t>
      </w:r>
      <w:r>
        <w:rPr>
          <w:spacing w:val="-15"/>
          <w:sz w:val="20"/>
        </w:rPr>
        <w:t> </w:t>
      </w:r>
      <w:r>
        <w:rPr>
          <w:sz w:val="20"/>
        </w:rPr>
        <w:t>their</w:t>
      </w:r>
      <w:r>
        <w:rPr>
          <w:spacing w:val="-15"/>
          <w:sz w:val="20"/>
        </w:rPr>
        <w:t> </w:t>
      </w:r>
      <w:r>
        <w:rPr>
          <w:sz w:val="20"/>
        </w:rPr>
        <w:t>religion</w:t>
      </w:r>
      <w:r>
        <w:rPr>
          <w:spacing w:val="-14"/>
          <w:sz w:val="20"/>
        </w:rPr>
        <w:t> </w:t>
      </w:r>
      <w:r>
        <w:rPr>
          <w:sz w:val="20"/>
        </w:rPr>
        <w:t>as</w:t>
      </w:r>
      <w:r>
        <w:rPr>
          <w:spacing w:val="-15"/>
          <w:sz w:val="20"/>
        </w:rPr>
        <w:t> </w:t>
      </w:r>
      <w:r>
        <w:rPr>
          <w:sz w:val="20"/>
        </w:rPr>
        <w:t>Christian</w:t>
      </w:r>
      <w:r>
        <w:rPr>
          <w:spacing w:val="-14"/>
          <w:sz w:val="20"/>
        </w:rPr>
        <w:t> </w:t>
      </w:r>
      <w:r>
        <w:rPr>
          <w:sz w:val="20"/>
        </w:rPr>
        <w:t>(compared with 54 per cent in 2015) and a similar proportion (41 per cent) indicated that they were of no religion. Six per cent were Muslim and three per cent from another religious background.</w:t>
      </w:r>
    </w:p>
    <w:p>
      <w:pPr>
        <w:pStyle w:val="ListParagraph"/>
        <w:numPr>
          <w:ilvl w:val="3"/>
          <w:numId w:val="2"/>
        </w:numPr>
        <w:tabs>
          <w:tab w:pos="2057" w:val="left" w:leader="none"/>
        </w:tabs>
        <w:spacing w:line="242" w:lineRule="exact" w:before="0" w:after="0"/>
        <w:ind w:left="2056" w:right="0" w:hanging="361"/>
        <w:jc w:val="both"/>
        <w:rPr>
          <w:sz w:val="20"/>
        </w:rPr>
      </w:pPr>
      <w:r>
        <w:rPr>
          <w:sz w:val="20"/>
        </w:rPr>
        <w:t>Eight</w:t>
      </w:r>
      <w:r>
        <w:rPr>
          <w:spacing w:val="-4"/>
          <w:sz w:val="20"/>
        </w:rPr>
        <w:t> </w:t>
      </w:r>
      <w:r>
        <w:rPr>
          <w:sz w:val="20"/>
        </w:rPr>
        <w:t>in</w:t>
      </w:r>
      <w:r>
        <w:rPr>
          <w:spacing w:val="-3"/>
          <w:sz w:val="20"/>
        </w:rPr>
        <w:t> </w:t>
      </w:r>
      <w:r>
        <w:rPr>
          <w:sz w:val="20"/>
        </w:rPr>
        <w:t>ten</w:t>
      </w:r>
      <w:r>
        <w:rPr>
          <w:spacing w:val="-4"/>
          <w:sz w:val="20"/>
        </w:rPr>
        <w:t> </w:t>
      </w:r>
      <w:r>
        <w:rPr>
          <w:sz w:val="20"/>
        </w:rPr>
        <w:t>(85</w:t>
      </w:r>
      <w:r>
        <w:rPr>
          <w:spacing w:val="-2"/>
          <w:sz w:val="20"/>
        </w:rPr>
        <w:t> </w:t>
      </w:r>
      <w:r>
        <w:rPr>
          <w:sz w:val="20"/>
        </w:rPr>
        <w:t>per</w:t>
      </w:r>
      <w:r>
        <w:rPr>
          <w:spacing w:val="-2"/>
          <w:sz w:val="20"/>
        </w:rPr>
        <w:t> </w:t>
      </w:r>
      <w:r>
        <w:rPr>
          <w:sz w:val="20"/>
        </w:rPr>
        <w:t>cent)</w:t>
      </w:r>
      <w:r>
        <w:rPr>
          <w:spacing w:val="-2"/>
          <w:sz w:val="20"/>
        </w:rPr>
        <w:t> </w:t>
      </w:r>
      <w:r>
        <w:rPr>
          <w:sz w:val="20"/>
        </w:rPr>
        <w:t>confirmed</w:t>
      </w:r>
      <w:r>
        <w:rPr>
          <w:spacing w:val="-2"/>
          <w:sz w:val="20"/>
        </w:rPr>
        <w:t> </w:t>
      </w:r>
      <w:r>
        <w:rPr>
          <w:sz w:val="20"/>
        </w:rPr>
        <w:t>English</w:t>
      </w:r>
      <w:r>
        <w:rPr>
          <w:spacing w:val="-2"/>
          <w:sz w:val="20"/>
        </w:rPr>
        <w:t> </w:t>
      </w:r>
      <w:r>
        <w:rPr>
          <w:sz w:val="20"/>
        </w:rPr>
        <w:t>as</w:t>
      </w:r>
      <w:r>
        <w:rPr>
          <w:spacing w:val="-3"/>
          <w:sz w:val="20"/>
        </w:rPr>
        <w:t> </w:t>
      </w:r>
      <w:r>
        <w:rPr>
          <w:sz w:val="20"/>
        </w:rPr>
        <w:t>their</w:t>
      </w:r>
      <w:r>
        <w:rPr>
          <w:spacing w:val="-2"/>
          <w:sz w:val="20"/>
        </w:rPr>
        <w:t> </w:t>
      </w:r>
      <w:r>
        <w:rPr>
          <w:sz w:val="20"/>
        </w:rPr>
        <w:t>first</w:t>
      </w:r>
      <w:r>
        <w:rPr>
          <w:spacing w:val="-1"/>
          <w:sz w:val="20"/>
        </w:rPr>
        <w:t> </w:t>
      </w:r>
      <w:r>
        <w:rPr>
          <w:spacing w:val="-2"/>
          <w:sz w:val="20"/>
        </w:rPr>
        <w:t>language.</w:t>
      </w:r>
    </w:p>
    <w:p>
      <w:pPr>
        <w:pStyle w:val="ListParagraph"/>
        <w:numPr>
          <w:ilvl w:val="3"/>
          <w:numId w:val="2"/>
        </w:numPr>
        <w:tabs>
          <w:tab w:pos="2057" w:val="left" w:leader="none"/>
        </w:tabs>
        <w:spacing w:line="237" w:lineRule="auto" w:before="0" w:after="0"/>
        <w:ind w:left="2056" w:right="1475" w:hanging="360"/>
        <w:jc w:val="both"/>
        <w:rPr>
          <w:sz w:val="20"/>
        </w:rPr>
      </w:pPr>
      <w:r>
        <w:rPr>
          <w:sz w:val="20"/>
        </w:rPr>
        <w:t>Just over one quarter (31 per cent) indicated that they had a long-term illness, health problem or disability.</w:t>
      </w:r>
    </w:p>
    <w:p>
      <w:pPr>
        <w:pStyle w:val="ListParagraph"/>
        <w:numPr>
          <w:ilvl w:val="3"/>
          <w:numId w:val="2"/>
        </w:numPr>
        <w:tabs>
          <w:tab w:pos="2057" w:val="left" w:leader="none"/>
        </w:tabs>
        <w:spacing w:line="237" w:lineRule="auto" w:before="2" w:after="0"/>
        <w:ind w:left="2056" w:right="1477" w:hanging="360"/>
        <w:jc w:val="both"/>
        <w:rPr>
          <w:sz w:val="20"/>
        </w:rPr>
      </w:pPr>
      <w:r>
        <w:rPr>
          <w:sz w:val="20"/>
        </w:rPr>
        <w:t>The majority (91 per cent) described themselves as heterosexual or </w:t>
      </w:r>
      <w:r>
        <w:rPr>
          <w:spacing w:val="-2"/>
          <w:sz w:val="20"/>
        </w:rPr>
        <w:t>straight.</w:t>
      </w:r>
    </w:p>
    <w:p>
      <w:pPr>
        <w:pStyle w:val="ListParagraph"/>
        <w:numPr>
          <w:ilvl w:val="3"/>
          <w:numId w:val="2"/>
        </w:numPr>
        <w:tabs>
          <w:tab w:pos="2057" w:val="left" w:leader="none"/>
        </w:tabs>
        <w:spacing w:line="240" w:lineRule="auto" w:before="1" w:after="0"/>
        <w:ind w:left="2056" w:right="1475" w:hanging="360"/>
        <w:jc w:val="both"/>
        <w:rPr>
          <w:sz w:val="20"/>
        </w:rPr>
      </w:pPr>
      <w:r>
        <w:rPr>
          <w:sz w:val="20"/>
        </w:rPr>
        <w:t>Four in ten (44 per cent) had an income greater than £30,000 per year, a significant rise from just over a third (36 per cent) in 2015.</w:t>
      </w:r>
    </w:p>
    <w:p>
      <w:pPr>
        <w:pStyle w:val="ListParagraph"/>
        <w:numPr>
          <w:ilvl w:val="3"/>
          <w:numId w:val="2"/>
        </w:numPr>
        <w:tabs>
          <w:tab w:pos="2056" w:val="left" w:leader="none"/>
        </w:tabs>
        <w:spacing w:line="240" w:lineRule="auto" w:before="0" w:after="0"/>
        <w:ind w:left="2055" w:right="1475" w:hanging="360"/>
        <w:jc w:val="both"/>
        <w:rPr>
          <w:sz w:val="20"/>
        </w:rPr>
      </w:pPr>
      <w:r>
        <w:rPr>
          <w:sz w:val="20"/>
        </w:rPr>
        <w:t>Few had previous experience of making Employment Tribunal claims; just seven per cent had raised one before at any workplace, while 92 per cent had not.</w:t>
      </w:r>
    </w:p>
    <w:p>
      <w:pPr>
        <w:spacing w:after="0" w:line="240" w:lineRule="auto"/>
        <w:jc w:val="both"/>
        <w:rPr>
          <w:sz w:val="20"/>
        </w:rPr>
        <w:sectPr>
          <w:pgSz w:w="11910" w:h="16840"/>
          <w:pgMar w:header="0" w:footer="996" w:top="1340" w:bottom="1180" w:left="460" w:right="320"/>
        </w:sectPr>
      </w:pPr>
    </w:p>
    <w:p>
      <w:pPr>
        <w:pStyle w:val="Heading4"/>
        <w:numPr>
          <w:ilvl w:val="2"/>
          <w:numId w:val="2"/>
        </w:numPr>
        <w:tabs>
          <w:tab w:pos="2058" w:val="left" w:leader="none"/>
        </w:tabs>
        <w:spacing w:line="240" w:lineRule="auto" w:before="82" w:after="0"/>
        <w:ind w:left="2057" w:right="0" w:hanging="721"/>
        <w:jc w:val="both"/>
        <w:rPr>
          <w:i/>
        </w:rPr>
      </w:pPr>
      <w:bookmarkStart w:name="7.1.3. Overall level of claimant represe" w:id="26"/>
      <w:bookmarkEnd w:id="26"/>
      <w:r>
        <w:rPr>
          <w:i/>
        </w:rPr>
        <w:t>Ov</w:t>
      </w:r>
      <w:r>
        <w:rPr>
          <w:i/>
        </w:rPr>
        <w:t>erall</w:t>
      </w:r>
      <w:r>
        <w:rPr>
          <w:i/>
          <w:spacing w:val="-5"/>
        </w:rPr>
        <w:t> </w:t>
      </w:r>
      <w:r>
        <w:rPr>
          <w:i/>
        </w:rPr>
        <w:t>level</w:t>
      </w:r>
      <w:r>
        <w:rPr>
          <w:i/>
          <w:spacing w:val="-4"/>
        </w:rPr>
        <w:t> </w:t>
      </w:r>
      <w:r>
        <w:rPr>
          <w:i/>
        </w:rPr>
        <w:t>of</w:t>
      </w:r>
      <w:r>
        <w:rPr>
          <w:i/>
          <w:spacing w:val="-4"/>
        </w:rPr>
        <w:t> </w:t>
      </w:r>
      <w:r>
        <w:rPr>
          <w:i/>
        </w:rPr>
        <w:t>claimant</w:t>
      </w:r>
      <w:r>
        <w:rPr>
          <w:i/>
          <w:spacing w:val="-4"/>
        </w:rPr>
        <w:t> </w:t>
      </w:r>
      <w:r>
        <w:rPr>
          <w:i/>
          <w:spacing w:val="-2"/>
        </w:rPr>
        <w:t>representation</w:t>
      </w:r>
    </w:p>
    <w:p>
      <w:pPr>
        <w:pStyle w:val="BodyText"/>
        <w:spacing w:before="59"/>
        <w:ind w:left="1337" w:right="1473"/>
        <w:jc w:val="both"/>
        <w:rPr>
          <w:sz w:val="13"/>
        </w:rPr>
      </w:pPr>
      <w:r>
        <w:rPr/>
        <w:t>Where Acas’ records listed representative details, then the representative (rather than the claimant) was approached for interview. Although most cases of representation</w:t>
      </w:r>
      <w:r>
        <w:rPr>
          <w:spacing w:val="-18"/>
        </w:rPr>
        <w:t> </w:t>
      </w:r>
      <w:r>
        <w:rPr/>
        <w:t>were</w:t>
      </w:r>
      <w:r>
        <w:rPr>
          <w:spacing w:val="-18"/>
        </w:rPr>
        <w:t> </w:t>
      </w:r>
      <w:r>
        <w:rPr/>
        <w:t>recorded</w:t>
      </w:r>
      <w:r>
        <w:rPr>
          <w:spacing w:val="-17"/>
        </w:rPr>
        <w:t> </w:t>
      </w:r>
      <w:r>
        <w:rPr/>
        <w:t>in</w:t>
      </w:r>
      <w:r>
        <w:rPr>
          <w:spacing w:val="-18"/>
        </w:rPr>
        <w:t> </w:t>
      </w:r>
      <w:r>
        <w:rPr/>
        <w:t>Acas’</w:t>
      </w:r>
      <w:r>
        <w:rPr>
          <w:spacing w:val="-17"/>
        </w:rPr>
        <w:t> </w:t>
      </w:r>
      <w:r>
        <w:rPr/>
        <w:t>management</w:t>
      </w:r>
      <w:r>
        <w:rPr>
          <w:spacing w:val="-18"/>
        </w:rPr>
        <w:t> </w:t>
      </w:r>
      <w:r>
        <w:rPr/>
        <w:t>information,</w:t>
      </w:r>
      <w:r>
        <w:rPr>
          <w:spacing w:val="-18"/>
        </w:rPr>
        <w:t> </w:t>
      </w:r>
      <w:r>
        <w:rPr/>
        <w:t>this</w:t>
      </w:r>
      <w:r>
        <w:rPr>
          <w:spacing w:val="-17"/>
        </w:rPr>
        <w:t> </w:t>
      </w:r>
      <w:r>
        <w:rPr/>
        <w:t>is</w:t>
      </w:r>
      <w:r>
        <w:rPr>
          <w:spacing w:val="-18"/>
        </w:rPr>
        <w:t> </w:t>
      </w:r>
      <w:r>
        <w:rPr/>
        <w:t>not</w:t>
      </w:r>
      <w:r>
        <w:rPr>
          <w:spacing w:val="-17"/>
        </w:rPr>
        <w:t> </w:t>
      </w:r>
      <w:r>
        <w:rPr/>
        <w:t>the</w:t>
      </w:r>
      <w:r>
        <w:rPr>
          <w:spacing w:val="-18"/>
        </w:rPr>
        <w:t> </w:t>
      </w:r>
      <w:r>
        <w:rPr/>
        <w:t>case for all participants.</w:t>
      </w:r>
      <w:hyperlink w:history="true" w:anchor="_bookmark70">
        <w:r>
          <w:rPr>
            <w:position w:val="7"/>
            <w:sz w:val="13"/>
          </w:rPr>
          <w:t>3</w:t>
        </w:r>
      </w:hyperlink>
    </w:p>
    <w:p>
      <w:pPr>
        <w:pStyle w:val="BodyText"/>
      </w:pPr>
    </w:p>
    <w:p>
      <w:pPr>
        <w:pStyle w:val="BodyText"/>
        <w:spacing w:before="1"/>
        <w:ind w:left="1337" w:right="1472"/>
        <w:jc w:val="both"/>
      </w:pPr>
      <w:r>
        <w:rPr/>
        <w:t>To understand the full extent of claimant representation, a check question was asked of claimant participants to see if they involved a representative later on in their case. Combining this with the sample information, it can be determined that a representative was used by 38 per cent of claimant participants. This is significantly higher than the overall level of representation in 2015, when 24 per cent of claimant participants were represented.</w:t>
      </w:r>
    </w:p>
    <w:p>
      <w:pPr>
        <w:pStyle w:val="BodyText"/>
        <w:rPr>
          <w:sz w:val="24"/>
        </w:rPr>
      </w:pPr>
    </w:p>
    <w:p>
      <w:pPr>
        <w:pStyle w:val="Heading3"/>
        <w:numPr>
          <w:ilvl w:val="1"/>
          <w:numId w:val="2"/>
        </w:numPr>
        <w:tabs>
          <w:tab w:pos="1974" w:val="left" w:leader="none"/>
        </w:tabs>
        <w:spacing w:line="240" w:lineRule="auto" w:before="195" w:after="0"/>
        <w:ind w:left="1973" w:right="0" w:hanging="637"/>
        <w:jc w:val="both"/>
      </w:pPr>
      <w:bookmarkStart w:name="7.2  Profile of employers" w:id="27"/>
      <w:bookmarkEnd w:id="27"/>
      <w:r>
        <w:rPr>
          <w:b w:val="0"/>
        </w:rPr>
      </w:r>
      <w:bookmarkStart w:name="_bookmark8" w:id="28"/>
      <w:bookmarkEnd w:id="28"/>
      <w:r>
        <w:rPr/>
        <w:t>P</w:t>
      </w:r>
      <w:r>
        <w:rPr/>
        <w:t>rofile</w:t>
      </w:r>
      <w:r>
        <w:rPr>
          <w:spacing w:val="-4"/>
        </w:rPr>
        <w:t> </w:t>
      </w:r>
      <w:r>
        <w:rPr/>
        <w:t>of</w:t>
      </w:r>
      <w:r>
        <w:rPr>
          <w:spacing w:val="-3"/>
        </w:rPr>
        <w:t> </w:t>
      </w:r>
      <w:r>
        <w:rPr>
          <w:spacing w:val="-2"/>
        </w:rPr>
        <w:t>employers</w:t>
      </w:r>
    </w:p>
    <w:p>
      <w:pPr>
        <w:pStyle w:val="BodyText"/>
        <w:spacing w:before="120"/>
        <w:ind w:left="1337" w:right="1475"/>
        <w:jc w:val="both"/>
      </w:pPr>
      <w:r>
        <w:rPr/>
        <w:t>The</w:t>
      </w:r>
      <w:r>
        <w:rPr>
          <w:spacing w:val="-18"/>
        </w:rPr>
        <w:t> </w:t>
      </w:r>
      <w:r>
        <w:rPr/>
        <w:t>characteristics</w:t>
      </w:r>
      <w:r>
        <w:rPr>
          <w:spacing w:val="-18"/>
        </w:rPr>
        <w:t> </w:t>
      </w:r>
      <w:r>
        <w:rPr/>
        <w:t>of</w:t>
      </w:r>
      <w:r>
        <w:rPr>
          <w:spacing w:val="-17"/>
        </w:rPr>
        <w:t> </w:t>
      </w:r>
      <w:r>
        <w:rPr/>
        <w:t>unrepresented</w:t>
      </w:r>
      <w:r>
        <w:rPr>
          <w:spacing w:val="-18"/>
        </w:rPr>
        <w:t> </w:t>
      </w:r>
      <w:r>
        <w:rPr/>
        <w:t>employer</w:t>
      </w:r>
      <w:r>
        <w:rPr>
          <w:spacing w:val="-17"/>
        </w:rPr>
        <w:t> </w:t>
      </w:r>
      <w:r>
        <w:rPr/>
        <w:t>participants</w:t>
      </w:r>
      <w:r>
        <w:rPr>
          <w:spacing w:val="-18"/>
        </w:rPr>
        <w:t> </w:t>
      </w:r>
      <w:r>
        <w:rPr/>
        <w:t>in</w:t>
      </w:r>
      <w:r>
        <w:rPr>
          <w:spacing w:val="-18"/>
        </w:rPr>
        <w:t> </w:t>
      </w:r>
      <w:r>
        <w:rPr/>
        <w:t>the</w:t>
      </w:r>
      <w:r>
        <w:rPr>
          <w:spacing w:val="-17"/>
        </w:rPr>
        <w:t> </w:t>
      </w:r>
      <w:r>
        <w:rPr/>
        <w:t>2019</w:t>
      </w:r>
      <w:r>
        <w:rPr>
          <w:spacing w:val="-18"/>
        </w:rPr>
        <w:t> </w:t>
      </w:r>
      <w:r>
        <w:rPr/>
        <w:t>survey</w:t>
      </w:r>
      <w:r>
        <w:rPr>
          <w:spacing w:val="-17"/>
        </w:rPr>
        <w:t> </w:t>
      </w:r>
      <w:r>
        <w:rPr/>
        <w:t>were very similar to those in 2015.</w:t>
      </w:r>
    </w:p>
    <w:p>
      <w:pPr>
        <w:pStyle w:val="BodyText"/>
      </w:pPr>
    </w:p>
    <w:p>
      <w:pPr>
        <w:pStyle w:val="ListParagraph"/>
        <w:numPr>
          <w:ilvl w:val="0"/>
          <w:numId w:val="10"/>
        </w:numPr>
        <w:tabs>
          <w:tab w:pos="2058" w:val="left" w:leader="none"/>
        </w:tabs>
        <w:spacing w:line="240" w:lineRule="auto" w:before="0" w:after="0"/>
        <w:ind w:left="2057" w:right="1474" w:hanging="360"/>
        <w:jc w:val="both"/>
        <w:rPr>
          <w:sz w:val="20"/>
        </w:rPr>
      </w:pPr>
      <w:r>
        <w:rPr>
          <w:sz w:val="20"/>
        </w:rPr>
        <w:t>Three quarters (77 per cent) were based in the private sector (compared with 74 per cent in 2015) with 15 per cent in the public sector and seven per cent in the non-profit/voluntary sector.</w:t>
      </w:r>
    </w:p>
    <w:p>
      <w:pPr>
        <w:pStyle w:val="ListParagraph"/>
        <w:numPr>
          <w:ilvl w:val="0"/>
          <w:numId w:val="10"/>
        </w:numPr>
        <w:tabs>
          <w:tab w:pos="2058" w:val="left" w:leader="none"/>
        </w:tabs>
        <w:spacing w:line="237" w:lineRule="auto" w:before="0" w:after="0"/>
        <w:ind w:left="2057" w:right="1473" w:hanging="360"/>
        <w:jc w:val="both"/>
        <w:rPr>
          <w:sz w:val="20"/>
        </w:rPr>
      </w:pPr>
      <w:r>
        <w:rPr>
          <w:sz w:val="20"/>
        </w:rPr>
        <w:t>The</w:t>
      </w:r>
      <w:r>
        <w:rPr>
          <w:spacing w:val="-15"/>
          <w:sz w:val="20"/>
        </w:rPr>
        <w:t> </w:t>
      </w:r>
      <w:r>
        <w:rPr>
          <w:sz w:val="20"/>
        </w:rPr>
        <w:t>majority</w:t>
      </w:r>
      <w:r>
        <w:rPr>
          <w:spacing w:val="-15"/>
          <w:sz w:val="20"/>
        </w:rPr>
        <w:t> </w:t>
      </w:r>
      <w:r>
        <w:rPr>
          <w:sz w:val="20"/>
        </w:rPr>
        <w:t>(57</w:t>
      </w:r>
      <w:r>
        <w:rPr>
          <w:spacing w:val="-15"/>
          <w:sz w:val="20"/>
        </w:rPr>
        <w:t> </w:t>
      </w:r>
      <w:r>
        <w:rPr>
          <w:sz w:val="20"/>
        </w:rPr>
        <w:t>per</w:t>
      </w:r>
      <w:r>
        <w:rPr>
          <w:spacing w:val="-14"/>
          <w:sz w:val="20"/>
        </w:rPr>
        <w:t> </w:t>
      </w:r>
      <w:r>
        <w:rPr>
          <w:sz w:val="20"/>
        </w:rPr>
        <w:t>cent)</w:t>
      </w:r>
      <w:r>
        <w:rPr>
          <w:spacing w:val="-16"/>
          <w:sz w:val="20"/>
        </w:rPr>
        <w:t> </w:t>
      </w:r>
      <w:r>
        <w:rPr>
          <w:sz w:val="20"/>
        </w:rPr>
        <w:t>had</w:t>
      </w:r>
      <w:r>
        <w:rPr>
          <w:spacing w:val="-15"/>
          <w:sz w:val="20"/>
        </w:rPr>
        <w:t> </w:t>
      </w:r>
      <w:r>
        <w:rPr>
          <w:sz w:val="20"/>
        </w:rPr>
        <w:t>more</w:t>
      </w:r>
      <w:r>
        <w:rPr>
          <w:spacing w:val="-15"/>
          <w:sz w:val="20"/>
        </w:rPr>
        <w:t> </w:t>
      </w:r>
      <w:r>
        <w:rPr>
          <w:sz w:val="20"/>
        </w:rPr>
        <w:t>than</w:t>
      </w:r>
      <w:r>
        <w:rPr>
          <w:spacing w:val="-15"/>
          <w:sz w:val="20"/>
        </w:rPr>
        <w:t> </w:t>
      </w:r>
      <w:r>
        <w:rPr>
          <w:sz w:val="20"/>
        </w:rPr>
        <w:t>one</w:t>
      </w:r>
      <w:r>
        <w:rPr>
          <w:spacing w:val="-17"/>
          <w:sz w:val="20"/>
        </w:rPr>
        <w:t> </w:t>
      </w:r>
      <w:r>
        <w:rPr>
          <w:sz w:val="20"/>
        </w:rPr>
        <w:t>workplace</w:t>
      </w:r>
      <w:r>
        <w:rPr>
          <w:spacing w:val="-15"/>
          <w:sz w:val="20"/>
        </w:rPr>
        <w:t> </w:t>
      </w:r>
      <w:r>
        <w:rPr>
          <w:sz w:val="20"/>
        </w:rPr>
        <w:t>in</w:t>
      </w:r>
      <w:r>
        <w:rPr>
          <w:spacing w:val="-15"/>
          <w:sz w:val="20"/>
        </w:rPr>
        <w:t> </w:t>
      </w:r>
      <w:r>
        <w:rPr>
          <w:sz w:val="20"/>
        </w:rPr>
        <w:t>the</w:t>
      </w:r>
      <w:r>
        <w:rPr>
          <w:spacing w:val="-16"/>
          <w:sz w:val="20"/>
        </w:rPr>
        <w:t> </w:t>
      </w:r>
      <w:r>
        <w:rPr>
          <w:sz w:val="20"/>
        </w:rPr>
        <w:t>UK.</w:t>
      </w:r>
      <w:r>
        <w:rPr>
          <w:spacing w:val="-15"/>
          <w:sz w:val="20"/>
        </w:rPr>
        <w:t> </w:t>
      </w:r>
      <w:r>
        <w:rPr>
          <w:sz w:val="20"/>
        </w:rPr>
        <w:t>In</w:t>
      </w:r>
      <w:r>
        <w:rPr>
          <w:spacing w:val="-15"/>
          <w:sz w:val="20"/>
        </w:rPr>
        <w:t> </w:t>
      </w:r>
      <w:r>
        <w:rPr>
          <w:sz w:val="20"/>
        </w:rPr>
        <w:t>2015, this figure was 60 per cent.</w:t>
      </w:r>
    </w:p>
    <w:p>
      <w:pPr>
        <w:pStyle w:val="ListParagraph"/>
        <w:numPr>
          <w:ilvl w:val="0"/>
          <w:numId w:val="10"/>
        </w:numPr>
        <w:tabs>
          <w:tab w:pos="2058" w:val="left" w:leader="none"/>
        </w:tabs>
        <w:spacing w:line="240" w:lineRule="auto" w:before="1" w:after="0"/>
        <w:ind w:left="2057" w:right="1471" w:hanging="360"/>
        <w:jc w:val="both"/>
        <w:rPr>
          <w:sz w:val="20"/>
        </w:rPr>
      </w:pPr>
      <w:r>
        <w:rPr>
          <w:sz w:val="20"/>
        </w:rPr>
        <w:t>Participants were split between smaller and larger organisations: one third (36 per cent) worked in a small organisation with between one and 49 employees and close to a fifth (18 per cent) were from medium-sized organisations with 50-249 employees. Two-fifths (44 per cent) were in a large organisation with 250 or more employees, slightly lower than the 49 per cent recorded in 2015.</w:t>
      </w:r>
    </w:p>
    <w:p>
      <w:pPr>
        <w:pStyle w:val="ListParagraph"/>
        <w:numPr>
          <w:ilvl w:val="0"/>
          <w:numId w:val="10"/>
        </w:numPr>
        <w:tabs>
          <w:tab w:pos="2058" w:val="left" w:leader="none"/>
        </w:tabs>
        <w:spacing w:line="240" w:lineRule="auto" w:before="0" w:after="0"/>
        <w:ind w:left="2057" w:right="1473" w:hanging="360"/>
        <w:jc w:val="both"/>
        <w:rPr>
          <w:sz w:val="20"/>
        </w:rPr>
      </w:pPr>
      <w:r>
        <w:rPr>
          <w:sz w:val="20"/>
        </w:rPr>
        <w:t>Most employers were based in smaller workplaces however, with six in ten (57 per cent) located in a small workplace with between one and 49 employees,</w:t>
      </w:r>
      <w:r>
        <w:rPr>
          <w:spacing w:val="-18"/>
          <w:sz w:val="20"/>
        </w:rPr>
        <w:t> </w:t>
      </w:r>
      <w:r>
        <w:rPr>
          <w:sz w:val="20"/>
        </w:rPr>
        <w:t>while</w:t>
      </w:r>
      <w:r>
        <w:rPr>
          <w:spacing w:val="-18"/>
          <w:sz w:val="20"/>
        </w:rPr>
        <w:t> </w:t>
      </w:r>
      <w:r>
        <w:rPr>
          <w:sz w:val="20"/>
        </w:rPr>
        <w:t>one</w:t>
      </w:r>
      <w:r>
        <w:rPr>
          <w:spacing w:val="-17"/>
          <w:sz w:val="20"/>
        </w:rPr>
        <w:t> </w:t>
      </w:r>
      <w:r>
        <w:rPr>
          <w:sz w:val="20"/>
        </w:rPr>
        <w:t>in</w:t>
      </w:r>
      <w:r>
        <w:rPr>
          <w:spacing w:val="-17"/>
          <w:sz w:val="20"/>
        </w:rPr>
        <w:t> </w:t>
      </w:r>
      <w:r>
        <w:rPr>
          <w:sz w:val="20"/>
        </w:rPr>
        <w:t>five</w:t>
      </w:r>
      <w:r>
        <w:rPr>
          <w:spacing w:val="-18"/>
          <w:sz w:val="20"/>
        </w:rPr>
        <w:t> </w:t>
      </w:r>
      <w:r>
        <w:rPr>
          <w:sz w:val="20"/>
        </w:rPr>
        <w:t>(18</w:t>
      </w:r>
      <w:r>
        <w:rPr>
          <w:spacing w:val="-18"/>
          <w:sz w:val="20"/>
        </w:rPr>
        <w:t> </w:t>
      </w:r>
      <w:r>
        <w:rPr>
          <w:sz w:val="20"/>
        </w:rPr>
        <w:t>per</w:t>
      </w:r>
      <w:r>
        <w:rPr>
          <w:spacing w:val="-17"/>
          <w:sz w:val="20"/>
        </w:rPr>
        <w:t> </w:t>
      </w:r>
      <w:r>
        <w:rPr>
          <w:sz w:val="20"/>
        </w:rPr>
        <w:t>cent)</w:t>
      </w:r>
      <w:r>
        <w:rPr>
          <w:spacing w:val="-17"/>
          <w:sz w:val="20"/>
        </w:rPr>
        <w:t> </w:t>
      </w:r>
      <w:r>
        <w:rPr>
          <w:sz w:val="20"/>
        </w:rPr>
        <w:t>in</w:t>
      </w:r>
      <w:r>
        <w:rPr>
          <w:spacing w:val="-16"/>
          <w:sz w:val="20"/>
        </w:rPr>
        <w:t> </w:t>
      </w:r>
      <w:r>
        <w:rPr>
          <w:sz w:val="20"/>
        </w:rPr>
        <w:t>a</w:t>
      </w:r>
      <w:r>
        <w:rPr>
          <w:spacing w:val="-18"/>
          <w:sz w:val="20"/>
        </w:rPr>
        <w:t> </w:t>
      </w:r>
      <w:r>
        <w:rPr>
          <w:sz w:val="20"/>
        </w:rPr>
        <w:t>medium-sized</w:t>
      </w:r>
      <w:r>
        <w:rPr>
          <w:spacing w:val="-16"/>
          <w:sz w:val="20"/>
        </w:rPr>
        <w:t> </w:t>
      </w:r>
      <w:r>
        <w:rPr>
          <w:sz w:val="20"/>
        </w:rPr>
        <w:t>workplace</w:t>
      </w:r>
      <w:r>
        <w:rPr>
          <w:spacing w:val="-18"/>
          <w:sz w:val="20"/>
        </w:rPr>
        <w:t> </w:t>
      </w:r>
      <w:r>
        <w:rPr>
          <w:sz w:val="20"/>
        </w:rPr>
        <w:t>with between 50 and 249 employees. Just under one in five (16 per cent) reported working at larger workplaces with 250 or more employees, close to the 2015 figure of 15 per cent.</w:t>
      </w:r>
    </w:p>
    <w:p>
      <w:pPr>
        <w:pStyle w:val="ListParagraph"/>
        <w:numPr>
          <w:ilvl w:val="0"/>
          <w:numId w:val="10"/>
        </w:numPr>
        <w:tabs>
          <w:tab w:pos="2058" w:val="left" w:leader="none"/>
        </w:tabs>
        <w:spacing w:line="240" w:lineRule="auto" w:before="0" w:after="0"/>
        <w:ind w:left="2057" w:right="1473" w:hanging="360"/>
        <w:jc w:val="both"/>
        <w:rPr>
          <w:sz w:val="20"/>
        </w:rPr>
      </w:pPr>
      <w:r>
        <w:rPr>
          <w:sz w:val="20"/>
        </w:rPr>
        <w:t>Seven in ten employer participants (71 per cent) reported working for an organisation that had an internal Human Resources (HR) or Personnel Department that dealt with personnel issues. Additionally, one quarter (23 per cent) had an internal legal department that dealt with personnel or employment issues.</w:t>
      </w:r>
    </w:p>
    <w:p>
      <w:pPr>
        <w:pStyle w:val="ListParagraph"/>
        <w:numPr>
          <w:ilvl w:val="0"/>
          <w:numId w:val="10"/>
        </w:numPr>
        <w:tabs>
          <w:tab w:pos="2058" w:val="left" w:leader="none"/>
        </w:tabs>
        <w:spacing w:line="240" w:lineRule="auto" w:before="0" w:after="0"/>
        <w:ind w:left="2057" w:right="1473" w:hanging="360"/>
        <w:jc w:val="both"/>
        <w:rPr>
          <w:sz w:val="20"/>
        </w:rPr>
      </w:pPr>
      <w:r>
        <w:rPr>
          <w:sz w:val="20"/>
        </w:rPr>
        <w:t>For a third of employer participants (31 per cent) there were trade unions or</w:t>
      </w:r>
      <w:r>
        <w:rPr>
          <w:spacing w:val="-1"/>
          <w:sz w:val="20"/>
        </w:rPr>
        <w:t> </w:t>
      </w:r>
      <w:r>
        <w:rPr>
          <w:sz w:val="20"/>
        </w:rPr>
        <w:t>staff</w:t>
      </w:r>
      <w:r>
        <w:rPr>
          <w:spacing w:val="-2"/>
          <w:sz w:val="20"/>
        </w:rPr>
        <w:t> </w:t>
      </w:r>
      <w:r>
        <w:rPr>
          <w:sz w:val="20"/>
        </w:rPr>
        <w:t>associations</w:t>
      </w:r>
      <w:r>
        <w:rPr>
          <w:spacing w:val="-1"/>
          <w:sz w:val="20"/>
        </w:rPr>
        <w:t> </w:t>
      </w:r>
      <w:r>
        <w:rPr>
          <w:sz w:val="20"/>
        </w:rPr>
        <w:t>active</w:t>
      </w:r>
      <w:r>
        <w:rPr>
          <w:spacing w:val="-1"/>
          <w:sz w:val="20"/>
        </w:rPr>
        <w:t> </w:t>
      </w:r>
      <w:r>
        <w:rPr>
          <w:sz w:val="20"/>
        </w:rPr>
        <w:t>at</w:t>
      </w:r>
      <w:r>
        <w:rPr>
          <w:spacing w:val="-2"/>
          <w:sz w:val="20"/>
        </w:rPr>
        <w:t> </w:t>
      </w:r>
      <w:r>
        <w:rPr>
          <w:sz w:val="20"/>
        </w:rPr>
        <w:t>the</w:t>
      </w:r>
      <w:r>
        <w:rPr>
          <w:spacing w:val="-4"/>
          <w:sz w:val="20"/>
        </w:rPr>
        <w:t> </w:t>
      </w:r>
      <w:r>
        <w:rPr>
          <w:sz w:val="20"/>
        </w:rPr>
        <w:t>workplace,</w:t>
      </w:r>
      <w:r>
        <w:rPr>
          <w:spacing w:val="-2"/>
          <w:sz w:val="20"/>
        </w:rPr>
        <w:t> </w:t>
      </w:r>
      <w:r>
        <w:rPr>
          <w:sz w:val="20"/>
        </w:rPr>
        <w:t>and</w:t>
      </w:r>
      <w:r>
        <w:rPr>
          <w:spacing w:val="-2"/>
          <w:sz w:val="20"/>
        </w:rPr>
        <w:t> </w:t>
      </w:r>
      <w:r>
        <w:rPr>
          <w:sz w:val="20"/>
        </w:rPr>
        <w:t>three</w:t>
      </w:r>
      <w:r>
        <w:rPr>
          <w:spacing w:val="-1"/>
          <w:sz w:val="20"/>
        </w:rPr>
        <w:t> </w:t>
      </w:r>
      <w:r>
        <w:rPr>
          <w:sz w:val="20"/>
        </w:rPr>
        <w:t>in</w:t>
      </w:r>
      <w:r>
        <w:rPr>
          <w:spacing w:val="-2"/>
          <w:sz w:val="20"/>
        </w:rPr>
        <w:t> </w:t>
      </w:r>
      <w:r>
        <w:rPr>
          <w:sz w:val="20"/>
        </w:rPr>
        <w:t>ten</w:t>
      </w:r>
      <w:r>
        <w:rPr>
          <w:spacing w:val="-3"/>
          <w:sz w:val="20"/>
        </w:rPr>
        <w:t> </w:t>
      </w:r>
      <w:r>
        <w:rPr>
          <w:sz w:val="20"/>
        </w:rPr>
        <w:t>(33</w:t>
      </w:r>
      <w:r>
        <w:rPr>
          <w:spacing w:val="-2"/>
          <w:sz w:val="20"/>
        </w:rPr>
        <w:t> </w:t>
      </w:r>
      <w:r>
        <w:rPr>
          <w:sz w:val="20"/>
        </w:rPr>
        <w:t>per</w:t>
      </w:r>
      <w:r>
        <w:rPr>
          <w:spacing w:val="-1"/>
          <w:sz w:val="20"/>
        </w:rPr>
        <w:t> </w:t>
      </w:r>
      <w:r>
        <w:rPr>
          <w:sz w:val="20"/>
        </w:rPr>
        <w:t>cent) were members of an employer’s or trade association.</w:t>
      </w:r>
    </w:p>
    <w:p>
      <w:pPr>
        <w:pStyle w:val="ListParagraph"/>
        <w:numPr>
          <w:ilvl w:val="0"/>
          <w:numId w:val="10"/>
        </w:numPr>
        <w:tabs>
          <w:tab w:pos="2057" w:val="left" w:leader="none"/>
        </w:tabs>
        <w:spacing w:line="237" w:lineRule="auto" w:before="0" w:after="0"/>
        <w:ind w:left="2056" w:right="1472" w:hanging="360"/>
        <w:jc w:val="both"/>
        <w:rPr>
          <w:sz w:val="20"/>
        </w:rPr>
      </w:pPr>
      <w:r>
        <w:rPr>
          <w:sz w:val="20"/>
        </w:rPr>
        <w:t>The vast majority (92 per cent) reported that they were the person who dealt with employment disputes in their own organisation.</w:t>
      </w:r>
    </w:p>
    <w:p>
      <w:pPr>
        <w:pStyle w:val="ListParagraph"/>
        <w:numPr>
          <w:ilvl w:val="0"/>
          <w:numId w:val="10"/>
        </w:numPr>
        <w:tabs>
          <w:tab w:pos="2057" w:val="left" w:leader="none"/>
        </w:tabs>
        <w:spacing w:line="240" w:lineRule="auto" w:before="0" w:after="0"/>
        <w:ind w:left="2056" w:right="1474" w:hanging="360"/>
        <w:jc w:val="both"/>
        <w:rPr>
          <w:sz w:val="20"/>
        </w:rPr>
      </w:pPr>
      <w:r>
        <w:rPr>
          <w:sz w:val="20"/>
        </w:rPr>
        <w:t>Sixty-seven per cent had previous experience of using Acas services in the past year, compared with 65 per cent in 2015. For this group, the most commonly-used Acas services were the website (70 per cent) and conciliation in a different employment dispute (60 per cent).</w:t>
      </w:r>
    </w:p>
    <w:p>
      <w:pPr>
        <w:pStyle w:val="ListParagraph"/>
        <w:numPr>
          <w:ilvl w:val="0"/>
          <w:numId w:val="10"/>
        </w:numPr>
        <w:tabs>
          <w:tab w:pos="2057" w:val="left" w:leader="none"/>
        </w:tabs>
        <w:spacing w:line="237" w:lineRule="auto" w:before="0" w:after="0"/>
        <w:ind w:left="2056" w:right="1473" w:hanging="360"/>
        <w:jc w:val="both"/>
        <w:rPr>
          <w:sz w:val="20"/>
        </w:rPr>
      </w:pPr>
      <w:r>
        <w:rPr>
          <w:sz w:val="20"/>
        </w:rPr>
        <w:t>Half</w:t>
      </w:r>
      <w:r>
        <w:rPr>
          <w:spacing w:val="-3"/>
          <w:sz w:val="20"/>
        </w:rPr>
        <w:t> </w:t>
      </w:r>
      <w:r>
        <w:rPr>
          <w:sz w:val="20"/>
        </w:rPr>
        <w:t>said</w:t>
      </w:r>
      <w:r>
        <w:rPr>
          <w:spacing w:val="-4"/>
          <w:sz w:val="20"/>
        </w:rPr>
        <w:t> </w:t>
      </w:r>
      <w:r>
        <w:rPr>
          <w:sz w:val="20"/>
        </w:rPr>
        <w:t>that</w:t>
      </w:r>
      <w:r>
        <w:rPr>
          <w:spacing w:val="-3"/>
          <w:sz w:val="20"/>
        </w:rPr>
        <w:t> </w:t>
      </w:r>
      <w:r>
        <w:rPr>
          <w:sz w:val="20"/>
        </w:rPr>
        <w:t>they</w:t>
      </w:r>
      <w:r>
        <w:rPr>
          <w:spacing w:val="-4"/>
          <w:sz w:val="20"/>
        </w:rPr>
        <w:t> </w:t>
      </w:r>
      <w:r>
        <w:rPr>
          <w:sz w:val="20"/>
        </w:rPr>
        <w:t>had</w:t>
      </w:r>
      <w:r>
        <w:rPr>
          <w:spacing w:val="-5"/>
          <w:sz w:val="20"/>
        </w:rPr>
        <w:t> </w:t>
      </w:r>
      <w:r>
        <w:rPr>
          <w:sz w:val="20"/>
        </w:rPr>
        <w:t>previously</w:t>
      </w:r>
      <w:r>
        <w:rPr>
          <w:spacing w:val="-3"/>
          <w:sz w:val="20"/>
        </w:rPr>
        <w:t> </w:t>
      </w:r>
      <w:r>
        <w:rPr>
          <w:sz w:val="20"/>
        </w:rPr>
        <w:t>had</w:t>
      </w:r>
      <w:r>
        <w:rPr>
          <w:spacing w:val="-3"/>
          <w:sz w:val="20"/>
        </w:rPr>
        <w:t> </w:t>
      </w:r>
      <w:r>
        <w:rPr>
          <w:sz w:val="20"/>
        </w:rPr>
        <w:t>an</w:t>
      </w:r>
      <w:r>
        <w:rPr>
          <w:spacing w:val="-4"/>
          <w:sz w:val="20"/>
        </w:rPr>
        <w:t> </w:t>
      </w:r>
      <w:r>
        <w:rPr>
          <w:sz w:val="20"/>
        </w:rPr>
        <w:t>employment</w:t>
      </w:r>
      <w:r>
        <w:rPr>
          <w:spacing w:val="-4"/>
          <w:sz w:val="20"/>
        </w:rPr>
        <w:t> </w:t>
      </w:r>
      <w:r>
        <w:rPr>
          <w:sz w:val="20"/>
        </w:rPr>
        <w:t>tribunal</w:t>
      </w:r>
      <w:r>
        <w:rPr>
          <w:spacing w:val="-4"/>
          <w:sz w:val="20"/>
        </w:rPr>
        <w:t> </w:t>
      </w:r>
      <w:r>
        <w:rPr>
          <w:sz w:val="20"/>
        </w:rPr>
        <w:t>claim</w:t>
      </w:r>
      <w:r>
        <w:rPr>
          <w:spacing w:val="-4"/>
          <w:sz w:val="20"/>
        </w:rPr>
        <w:t> </w:t>
      </w:r>
      <w:r>
        <w:rPr>
          <w:sz w:val="20"/>
        </w:rPr>
        <w:t>raised against them prior to this specific dispute (51 per cent).</w:t>
      </w:r>
    </w:p>
    <w:p>
      <w:pPr>
        <w:spacing w:after="0" w:line="237" w:lineRule="auto"/>
        <w:jc w:val="both"/>
        <w:rPr>
          <w:sz w:val="20"/>
        </w:rPr>
        <w:sectPr>
          <w:pgSz w:w="11910" w:h="16840"/>
          <w:pgMar w:header="0" w:footer="996" w:top="1340" w:bottom="1180" w:left="460" w:right="320"/>
        </w:sectPr>
      </w:pPr>
    </w:p>
    <w:p>
      <w:pPr>
        <w:pStyle w:val="Heading4"/>
        <w:spacing w:before="82"/>
        <w:rPr>
          <w:i/>
        </w:rPr>
      </w:pPr>
      <w:bookmarkStart w:name="7.2.1 Overall level of employer represen" w:id="29"/>
      <w:bookmarkEnd w:id="29"/>
      <w:r>
        <w:rPr>
          <w:b w:val="0"/>
          <w:i w:val="0"/>
        </w:rPr>
      </w:r>
      <w:r>
        <w:rPr>
          <w:i/>
        </w:rPr>
        <w:t>7.2.1</w:t>
      </w:r>
      <w:r>
        <w:rPr>
          <w:i/>
          <w:spacing w:val="-4"/>
        </w:rPr>
        <w:t> </w:t>
      </w:r>
      <w:r>
        <w:rPr>
          <w:i/>
        </w:rPr>
        <w:t>Overall</w:t>
      </w:r>
      <w:r>
        <w:rPr>
          <w:i/>
          <w:spacing w:val="-4"/>
        </w:rPr>
        <w:t> </w:t>
      </w:r>
      <w:r>
        <w:rPr>
          <w:i/>
        </w:rPr>
        <w:t>level</w:t>
      </w:r>
      <w:r>
        <w:rPr>
          <w:i/>
          <w:spacing w:val="-4"/>
        </w:rPr>
        <w:t> </w:t>
      </w:r>
      <w:r>
        <w:rPr>
          <w:i/>
        </w:rPr>
        <w:t>of</w:t>
      </w:r>
      <w:r>
        <w:rPr>
          <w:i/>
          <w:spacing w:val="-4"/>
        </w:rPr>
        <w:t> </w:t>
      </w:r>
      <w:r>
        <w:rPr>
          <w:i/>
        </w:rPr>
        <w:t>employer</w:t>
      </w:r>
      <w:r>
        <w:rPr>
          <w:i/>
          <w:spacing w:val="-4"/>
        </w:rPr>
        <w:t> </w:t>
      </w:r>
      <w:r>
        <w:rPr>
          <w:i/>
          <w:spacing w:val="-2"/>
        </w:rPr>
        <w:t>representation</w:t>
      </w:r>
    </w:p>
    <w:p>
      <w:pPr>
        <w:pStyle w:val="BodyText"/>
        <w:spacing w:before="59"/>
        <w:ind w:left="1337" w:right="1473"/>
        <w:jc w:val="both"/>
      </w:pPr>
      <w:r>
        <w:rPr/>
        <w:t>Although most cases of representation were recorded in Acas’ management information, a check question was included in the survey to capture any cases where this information was missing.</w:t>
      </w:r>
    </w:p>
    <w:p>
      <w:pPr>
        <w:pStyle w:val="BodyText"/>
      </w:pPr>
    </w:p>
    <w:p>
      <w:pPr>
        <w:pStyle w:val="BodyText"/>
        <w:ind w:left="1337" w:right="1474"/>
        <w:jc w:val="both"/>
      </w:pPr>
      <w:r>
        <w:rPr/>
        <w:t>Combining both data sources (Acas MI records and the results of the check question) it can be determined that a representative was used by 33 per cent of employers. Unlike claimant representation, this is not significantly different to 2015, when 29 per cent of employers were represented.</w:t>
      </w:r>
    </w:p>
    <w:p>
      <w:pPr>
        <w:pStyle w:val="BodyText"/>
        <w:rPr>
          <w:sz w:val="24"/>
        </w:rPr>
      </w:pPr>
    </w:p>
    <w:p>
      <w:pPr>
        <w:pStyle w:val="Heading3"/>
        <w:numPr>
          <w:ilvl w:val="1"/>
          <w:numId w:val="2"/>
        </w:numPr>
        <w:tabs>
          <w:tab w:pos="1974" w:val="left" w:leader="none"/>
        </w:tabs>
        <w:spacing w:line="240" w:lineRule="auto" w:before="196" w:after="0"/>
        <w:ind w:left="1973" w:right="0" w:hanging="637"/>
        <w:jc w:val="both"/>
      </w:pPr>
      <w:bookmarkStart w:name="7.3  Profile of claimant and employer re" w:id="30"/>
      <w:bookmarkEnd w:id="30"/>
      <w:r>
        <w:rPr>
          <w:b w:val="0"/>
        </w:rPr>
      </w:r>
      <w:bookmarkStart w:name="_bookmark9" w:id="31"/>
      <w:bookmarkEnd w:id="31"/>
      <w:r>
        <w:rPr/>
        <w:t>Pr</w:t>
      </w:r>
      <w:r>
        <w:rPr/>
        <w:t>ofile</w:t>
      </w:r>
      <w:r>
        <w:rPr>
          <w:spacing w:val="-4"/>
        </w:rPr>
        <w:t> </w:t>
      </w:r>
      <w:r>
        <w:rPr/>
        <w:t>of</w:t>
      </w:r>
      <w:r>
        <w:rPr>
          <w:spacing w:val="-4"/>
        </w:rPr>
        <w:t> </w:t>
      </w:r>
      <w:r>
        <w:rPr/>
        <w:t>claimant</w:t>
      </w:r>
      <w:r>
        <w:rPr>
          <w:spacing w:val="-5"/>
        </w:rPr>
        <w:t> </w:t>
      </w:r>
      <w:r>
        <w:rPr/>
        <w:t>and</w:t>
      </w:r>
      <w:r>
        <w:rPr>
          <w:spacing w:val="-3"/>
        </w:rPr>
        <w:t> </w:t>
      </w:r>
      <w:r>
        <w:rPr/>
        <w:t>employer</w:t>
      </w:r>
      <w:r>
        <w:rPr>
          <w:spacing w:val="-3"/>
        </w:rPr>
        <w:t> </w:t>
      </w:r>
      <w:r>
        <w:rPr>
          <w:spacing w:val="-2"/>
        </w:rPr>
        <w:t>representatives</w:t>
      </w:r>
    </w:p>
    <w:p>
      <w:pPr>
        <w:pStyle w:val="BodyText"/>
        <w:spacing w:before="119"/>
        <w:ind w:left="1337" w:right="1473"/>
        <w:jc w:val="both"/>
      </w:pPr>
      <w:r>
        <w:rPr/>
        <w:t>In cases where a claimant or employer were selected to participate in the survey, but a representative was listed on Acas’ MI records as dealing with the case on their behalf, the representative was approached for an interview.</w:t>
      </w:r>
    </w:p>
    <w:p>
      <w:pPr>
        <w:pStyle w:val="BodyText"/>
      </w:pPr>
    </w:p>
    <w:p>
      <w:pPr>
        <w:pStyle w:val="BodyText"/>
        <w:ind w:left="1337" w:right="1473"/>
        <w:jc w:val="both"/>
      </w:pPr>
      <w:r>
        <w:rPr/>
        <w:t>All representatives who were interviewed were also asked a number of profiling questions. Overall, there were some significant differences between claimant representatives in 2015</w:t>
      </w:r>
      <w:r>
        <w:rPr>
          <w:spacing w:val="-1"/>
        </w:rPr>
        <w:t> </w:t>
      </w:r>
      <w:r>
        <w:rPr/>
        <w:t>and</w:t>
      </w:r>
      <w:r>
        <w:rPr>
          <w:spacing w:val="-1"/>
        </w:rPr>
        <w:t> </w:t>
      </w:r>
      <w:r>
        <w:rPr/>
        <w:t>2019</w:t>
      </w:r>
      <w:r>
        <w:rPr>
          <w:spacing w:val="-1"/>
        </w:rPr>
        <w:t> </w:t>
      </w:r>
      <w:r>
        <w:rPr/>
        <w:t>but none</w:t>
      </w:r>
      <w:r>
        <w:rPr>
          <w:spacing w:val="-1"/>
        </w:rPr>
        <w:t> </w:t>
      </w:r>
      <w:r>
        <w:rPr/>
        <w:t>for</w:t>
      </w:r>
      <w:r>
        <w:rPr>
          <w:spacing w:val="-1"/>
        </w:rPr>
        <w:t> </w:t>
      </w:r>
      <w:r>
        <w:rPr/>
        <w:t>employer representatives between the two waves.</w:t>
      </w:r>
    </w:p>
    <w:p>
      <w:pPr>
        <w:pStyle w:val="BodyText"/>
        <w:spacing w:before="1"/>
      </w:pPr>
    </w:p>
    <w:p>
      <w:pPr>
        <w:pStyle w:val="BodyText"/>
        <w:ind w:left="1337"/>
        <w:jc w:val="both"/>
      </w:pPr>
      <w:r>
        <w:rPr/>
        <w:t>Claimant</w:t>
      </w:r>
      <w:r>
        <w:rPr>
          <w:spacing w:val="-7"/>
        </w:rPr>
        <w:t> </w:t>
      </w:r>
      <w:r>
        <w:rPr/>
        <w:t>representatives</w:t>
      </w:r>
      <w:r>
        <w:rPr>
          <w:spacing w:val="-7"/>
        </w:rPr>
        <w:t> </w:t>
      </w:r>
      <w:r>
        <w:rPr>
          <w:spacing w:val="-2"/>
        </w:rPr>
        <w:t>were:</w:t>
      </w:r>
    </w:p>
    <w:p>
      <w:pPr>
        <w:pStyle w:val="BodyText"/>
      </w:pPr>
    </w:p>
    <w:p>
      <w:pPr>
        <w:pStyle w:val="ListParagraph"/>
        <w:numPr>
          <w:ilvl w:val="0"/>
          <w:numId w:val="11"/>
        </w:numPr>
        <w:tabs>
          <w:tab w:pos="2058" w:val="left" w:leader="none"/>
        </w:tabs>
        <w:spacing w:line="240" w:lineRule="auto" w:before="0" w:after="0"/>
        <w:ind w:left="2057" w:right="1472" w:hanging="360"/>
        <w:jc w:val="both"/>
        <w:rPr>
          <w:rFonts w:ascii="Symbol" w:hAnsi="Symbol"/>
          <w:sz w:val="20"/>
        </w:rPr>
      </w:pPr>
      <w:r>
        <w:rPr>
          <w:sz w:val="20"/>
        </w:rPr>
        <w:t>Most</w:t>
      </w:r>
      <w:r>
        <w:rPr>
          <w:spacing w:val="-18"/>
          <w:sz w:val="20"/>
        </w:rPr>
        <w:t> </w:t>
      </w:r>
      <w:r>
        <w:rPr>
          <w:sz w:val="20"/>
        </w:rPr>
        <w:t>likely</w:t>
      </w:r>
      <w:r>
        <w:rPr>
          <w:spacing w:val="-18"/>
          <w:sz w:val="20"/>
        </w:rPr>
        <w:t> </w:t>
      </w:r>
      <w:r>
        <w:rPr>
          <w:sz w:val="20"/>
        </w:rPr>
        <w:t>to</w:t>
      </w:r>
      <w:r>
        <w:rPr>
          <w:spacing w:val="-17"/>
          <w:sz w:val="20"/>
        </w:rPr>
        <w:t> </w:t>
      </w:r>
      <w:r>
        <w:rPr>
          <w:sz w:val="20"/>
        </w:rPr>
        <w:t>be</w:t>
      </w:r>
      <w:r>
        <w:rPr>
          <w:spacing w:val="-18"/>
          <w:sz w:val="20"/>
        </w:rPr>
        <w:t> </w:t>
      </w:r>
      <w:r>
        <w:rPr>
          <w:sz w:val="20"/>
        </w:rPr>
        <w:t>solicitors,</w:t>
      </w:r>
      <w:r>
        <w:rPr>
          <w:spacing w:val="-17"/>
          <w:sz w:val="20"/>
        </w:rPr>
        <w:t> </w:t>
      </w:r>
      <w:r>
        <w:rPr>
          <w:sz w:val="20"/>
        </w:rPr>
        <w:t>barristers</w:t>
      </w:r>
      <w:r>
        <w:rPr>
          <w:spacing w:val="-18"/>
          <w:sz w:val="20"/>
        </w:rPr>
        <w:t> </w:t>
      </w:r>
      <w:r>
        <w:rPr>
          <w:sz w:val="20"/>
        </w:rPr>
        <w:t>or</w:t>
      </w:r>
      <w:r>
        <w:rPr>
          <w:spacing w:val="-18"/>
          <w:sz w:val="20"/>
        </w:rPr>
        <w:t> </w:t>
      </w:r>
      <w:r>
        <w:rPr>
          <w:sz w:val="20"/>
        </w:rPr>
        <w:t>another</w:t>
      </w:r>
      <w:r>
        <w:rPr>
          <w:spacing w:val="-17"/>
          <w:sz w:val="20"/>
        </w:rPr>
        <w:t> </w:t>
      </w:r>
      <w:r>
        <w:rPr>
          <w:sz w:val="20"/>
        </w:rPr>
        <w:t>type</w:t>
      </w:r>
      <w:r>
        <w:rPr>
          <w:spacing w:val="-18"/>
          <w:sz w:val="20"/>
        </w:rPr>
        <w:t> </w:t>
      </w:r>
      <w:r>
        <w:rPr>
          <w:sz w:val="20"/>
        </w:rPr>
        <w:t>of</w:t>
      </w:r>
      <w:r>
        <w:rPr>
          <w:spacing w:val="-17"/>
          <w:sz w:val="20"/>
        </w:rPr>
        <w:t> </w:t>
      </w:r>
      <w:r>
        <w:rPr>
          <w:sz w:val="20"/>
        </w:rPr>
        <w:t>lawyer</w:t>
      </w:r>
      <w:r>
        <w:rPr>
          <w:spacing w:val="-18"/>
          <w:sz w:val="20"/>
        </w:rPr>
        <w:t> </w:t>
      </w:r>
      <w:r>
        <w:rPr>
          <w:sz w:val="20"/>
        </w:rPr>
        <w:t>(33</w:t>
      </w:r>
      <w:r>
        <w:rPr>
          <w:spacing w:val="-17"/>
          <w:sz w:val="20"/>
        </w:rPr>
        <w:t> </w:t>
      </w:r>
      <w:r>
        <w:rPr>
          <w:sz w:val="20"/>
        </w:rPr>
        <w:t>per</w:t>
      </w:r>
      <w:r>
        <w:rPr>
          <w:spacing w:val="-18"/>
          <w:sz w:val="20"/>
        </w:rPr>
        <w:t> </w:t>
      </w:r>
      <w:r>
        <w:rPr>
          <w:sz w:val="20"/>
        </w:rPr>
        <w:t>cent). This is significantly lower than the proportion of this type of representative in</w:t>
      </w:r>
      <w:r>
        <w:rPr>
          <w:spacing w:val="-17"/>
          <w:sz w:val="20"/>
        </w:rPr>
        <w:t> </w:t>
      </w:r>
      <w:r>
        <w:rPr>
          <w:sz w:val="20"/>
        </w:rPr>
        <w:t>2015,</w:t>
      </w:r>
      <w:r>
        <w:rPr>
          <w:spacing w:val="-17"/>
          <w:sz w:val="20"/>
        </w:rPr>
        <w:t> </w:t>
      </w:r>
      <w:r>
        <w:rPr>
          <w:sz w:val="20"/>
        </w:rPr>
        <w:t>when</w:t>
      </w:r>
      <w:r>
        <w:rPr>
          <w:spacing w:val="-17"/>
          <w:sz w:val="20"/>
        </w:rPr>
        <w:t> </w:t>
      </w:r>
      <w:r>
        <w:rPr>
          <w:sz w:val="20"/>
        </w:rPr>
        <w:t>46</w:t>
      </w:r>
      <w:r>
        <w:rPr>
          <w:spacing w:val="-18"/>
          <w:sz w:val="20"/>
        </w:rPr>
        <w:t> </w:t>
      </w:r>
      <w:r>
        <w:rPr>
          <w:sz w:val="20"/>
        </w:rPr>
        <w:t>per</w:t>
      </w:r>
      <w:r>
        <w:rPr>
          <w:spacing w:val="-17"/>
          <w:sz w:val="20"/>
        </w:rPr>
        <w:t> </w:t>
      </w:r>
      <w:r>
        <w:rPr>
          <w:sz w:val="20"/>
        </w:rPr>
        <w:t>cent</w:t>
      </w:r>
      <w:r>
        <w:rPr>
          <w:spacing w:val="-18"/>
          <w:sz w:val="20"/>
        </w:rPr>
        <w:t> </w:t>
      </w:r>
      <w:r>
        <w:rPr>
          <w:sz w:val="20"/>
        </w:rPr>
        <w:t>had</w:t>
      </w:r>
      <w:r>
        <w:rPr>
          <w:spacing w:val="-16"/>
          <w:sz w:val="20"/>
        </w:rPr>
        <w:t> </w:t>
      </w:r>
      <w:r>
        <w:rPr>
          <w:sz w:val="20"/>
        </w:rPr>
        <w:t>a</w:t>
      </w:r>
      <w:r>
        <w:rPr>
          <w:spacing w:val="-18"/>
          <w:sz w:val="20"/>
        </w:rPr>
        <w:t> </w:t>
      </w:r>
      <w:r>
        <w:rPr>
          <w:sz w:val="20"/>
        </w:rPr>
        <w:t>legal</w:t>
      </w:r>
      <w:r>
        <w:rPr>
          <w:spacing w:val="-17"/>
          <w:sz w:val="20"/>
        </w:rPr>
        <w:t> </w:t>
      </w:r>
      <w:r>
        <w:rPr>
          <w:sz w:val="20"/>
        </w:rPr>
        <w:t>background.</w:t>
      </w:r>
      <w:r>
        <w:rPr>
          <w:spacing w:val="-18"/>
          <w:sz w:val="20"/>
        </w:rPr>
        <w:t> </w:t>
      </w:r>
      <w:r>
        <w:rPr>
          <w:sz w:val="20"/>
        </w:rPr>
        <w:t>However,</w:t>
      </w:r>
      <w:r>
        <w:rPr>
          <w:spacing w:val="-16"/>
          <w:sz w:val="20"/>
        </w:rPr>
        <w:t> </w:t>
      </w:r>
      <w:r>
        <w:rPr>
          <w:sz w:val="20"/>
        </w:rPr>
        <w:t>consistent</w:t>
      </w:r>
      <w:r>
        <w:rPr>
          <w:spacing w:val="-17"/>
          <w:sz w:val="20"/>
        </w:rPr>
        <w:t> </w:t>
      </w:r>
      <w:r>
        <w:rPr>
          <w:sz w:val="20"/>
        </w:rPr>
        <w:t>with 2015, 24 per cent were a friend, neighbour, spouse or partner in 2019, 18 per</w:t>
      </w:r>
      <w:r>
        <w:rPr>
          <w:spacing w:val="-14"/>
          <w:sz w:val="20"/>
        </w:rPr>
        <w:t> </w:t>
      </w:r>
      <w:r>
        <w:rPr>
          <w:sz w:val="20"/>
        </w:rPr>
        <w:t>cent</w:t>
      </w:r>
      <w:r>
        <w:rPr>
          <w:spacing w:val="-16"/>
          <w:sz w:val="20"/>
        </w:rPr>
        <w:t> </w:t>
      </w:r>
      <w:r>
        <w:rPr>
          <w:sz w:val="20"/>
        </w:rPr>
        <w:t>were</w:t>
      </w:r>
      <w:r>
        <w:rPr>
          <w:spacing w:val="-15"/>
          <w:sz w:val="20"/>
        </w:rPr>
        <w:t> </w:t>
      </w:r>
      <w:r>
        <w:rPr>
          <w:sz w:val="20"/>
        </w:rPr>
        <w:t>from</w:t>
      </w:r>
      <w:r>
        <w:rPr>
          <w:spacing w:val="-15"/>
          <w:sz w:val="20"/>
        </w:rPr>
        <w:t> </w:t>
      </w:r>
      <w:r>
        <w:rPr>
          <w:sz w:val="20"/>
        </w:rPr>
        <w:t>a</w:t>
      </w:r>
      <w:r>
        <w:rPr>
          <w:spacing w:val="-16"/>
          <w:sz w:val="20"/>
        </w:rPr>
        <w:t> </w:t>
      </w:r>
      <w:r>
        <w:rPr>
          <w:sz w:val="20"/>
        </w:rPr>
        <w:t>trade</w:t>
      </w:r>
      <w:r>
        <w:rPr>
          <w:spacing w:val="-15"/>
          <w:sz w:val="20"/>
        </w:rPr>
        <w:t> </w:t>
      </w:r>
      <w:r>
        <w:rPr>
          <w:sz w:val="20"/>
        </w:rPr>
        <w:t>union</w:t>
      </w:r>
      <w:r>
        <w:rPr>
          <w:spacing w:val="-14"/>
          <w:sz w:val="20"/>
        </w:rPr>
        <w:t> </w:t>
      </w:r>
      <w:r>
        <w:rPr>
          <w:sz w:val="20"/>
        </w:rPr>
        <w:t>or</w:t>
      </w:r>
      <w:r>
        <w:rPr>
          <w:spacing w:val="-14"/>
          <w:sz w:val="20"/>
        </w:rPr>
        <w:t> </w:t>
      </w:r>
      <w:r>
        <w:rPr>
          <w:sz w:val="20"/>
        </w:rPr>
        <w:t>worker</w:t>
      </w:r>
      <w:r>
        <w:rPr>
          <w:spacing w:val="-16"/>
          <w:sz w:val="20"/>
        </w:rPr>
        <w:t> </w:t>
      </w:r>
      <w:r>
        <w:rPr>
          <w:sz w:val="20"/>
        </w:rPr>
        <w:t>representative,</w:t>
      </w:r>
      <w:r>
        <w:rPr>
          <w:spacing w:val="-14"/>
          <w:sz w:val="20"/>
        </w:rPr>
        <w:t> </w:t>
      </w:r>
      <w:r>
        <w:rPr>
          <w:sz w:val="20"/>
        </w:rPr>
        <w:t>and</w:t>
      </w:r>
      <w:r>
        <w:rPr>
          <w:spacing w:val="-15"/>
          <w:sz w:val="20"/>
        </w:rPr>
        <w:t> </w:t>
      </w:r>
      <w:r>
        <w:rPr>
          <w:sz w:val="20"/>
        </w:rPr>
        <w:t>five</w:t>
      </w:r>
      <w:r>
        <w:rPr>
          <w:spacing w:val="-16"/>
          <w:sz w:val="20"/>
        </w:rPr>
        <w:t> </w:t>
      </w:r>
      <w:r>
        <w:rPr>
          <w:sz w:val="20"/>
        </w:rPr>
        <w:t>per</w:t>
      </w:r>
      <w:r>
        <w:rPr>
          <w:spacing w:val="-14"/>
          <w:sz w:val="20"/>
        </w:rPr>
        <w:t> </w:t>
      </w:r>
      <w:r>
        <w:rPr>
          <w:sz w:val="20"/>
        </w:rPr>
        <w:t>cent were personnel or human resources specialist.</w:t>
      </w:r>
    </w:p>
    <w:p>
      <w:pPr>
        <w:pStyle w:val="ListParagraph"/>
        <w:numPr>
          <w:ilvl w:val="0"/>
          <w:numId w:val="11"/>
        </w:numPr>
        <w:tabs>
          <w:tab w:pos="2057" w:val="left" w:leader="none"/>
        </w:tabs>
        <w:spacing w:line="240" w:lineRule="auto" w:before="0" w:after="0"/>
        <w:ind w:left="2056" w:right="1474" w:hanging="360"/>
        <w:jc w:val="both"/>
        <w:rPr>
          <w:rFonts w:ascii="Symbol" w:hAnsi="Symbol"/>
          <w:sz w:val="20"/>
        </w:rPr>
      </w:pPr>
      <w:r>
        <w:rPr>
          <w:sz w:val="20"/>
        </w:rPr>
        <w:t>Highly varied in their level of experience: nearly half said they had dealt with ET claims for more than five years (49 per cent) but one quarter (25 per</w:t>
      </w:r>
      <w:r>
        <w:rPr>
          <w:spacing w:val="-3"/>
          <w:sz w:val="20"/>
        </w:rPr>
        <w:t> </w:t>
      </w:r>
      <w:r>
        <w:rPr>
          <w:sz w:val="20"/>
        </w:rPr>
        <w:t>cent)</w:t>
      </w:r>
      <w:r>
        <w:rPr>
          <w:spacing w:val="-5"/>
          <w:sz w:val="20"/>
        </w:rPr>
        <w:t> </w:t>
      </w:r>
      <w:r>
        <w:rPr>
          <w:sz w:val="20"/>
        </w:rPr>
        <w:t>had</w:t>
      </w:r>
      <w:r>
        <w:rPr>
          <w:spacing w:val="-3"/>
          <w:sz w:val="20"/>
        </w:rPr>
        <w:t> </w:t>
      </w:r>
      <w:r>
        <w:rPr>
          <w:sz w:val="20"/>
        </w:rPr>
        <w:t>never</w:t>
      </w:r>
      <w:r>
        <w:rPr>
          <w:spacing w:val="-5"/>
          <w:sz w:val="20"/>
        </w:rPr>
        <w:t> </w:t>
      </w:r>
      <w:r>
        <w:rPr>
          <w:sz w:val="20"/>
        </w:rPr>
        <w:t>dealt</w:t>
      </w:r>
      <w:r>
        <w:rPr>
          <w:spacing w:val="-3"/>
          <w:sz w:val="20"/>
        </w:rPr>
        <w:t> </w:t>
      </w:r>
      <w:r>
        <w:rPr>
          <w:sz w:val="20"/>
        </w:rPr>
        <w:t>with</w:t>
      </w:r>
      <w:r>
        <w:rPr>
          <w:spacing w:val="-4"/>
          <w:sz w:val="20"/>
        </w:rPr>
        <w:t> </w:t>
      </w:r>
      <w:r>
        <w:rPr>
          <w:sz w:val="20"/>
        </w:rPr>
        <w:t>them</w:t>
      </w:r>
      <w:r>
        <w:rPr>
          <w:spacing w:val="-4"/>
          <w:sz w:val="20"/>
        </w:rPr>
        <w:t> </w:t>
      </w:r>
      <w:r>
        <w:rPr>
          <w:sz w:val="20"/>
        </w:rPr>
        <w:t>before.</w:t>
      </w:r>
      <w:r>
        <w:rPr>
          <w:spacing w:val="-4"/>
          <w:sz w:val="20"/>
        </w:rPr>
        <w:t> </w:t>
      </w:r>
      <w:r>
        <w:rPr>
          <w:sz w:val="20"/>
        </w:rPr>
        <w:t>The</w:t>
      </w:r>
      <w:r>
        <w:rPr>
          <w:spacing w:val="-4"/>
          <w:sz w:val="20"/>
        </w:rPr>
        <w:t> </w:t>
      </w:r>
      <w:r>
        <w:rPr>
          <w:sz w:val="20"/>
        </w:rPr>
        <w:t>proportion</w:t>
      </w:r>
      <w:r>
        <w:rPr>
          <w:spacing w:val="-4"/>
          <w:sz w:val="20"/>
        </w:rPr>
        <w:t> </w:t>
      </w:r>
      <w:r>
        <w:rPr>
          <w:sz w:val="20"/>
        </w:rPr>
        <w:t>with</w:t>
      </w:r>
      <w:r>
        <w:rPr>
          <w:spacing w:val="-3"/>
          <w:sz w:val="20"/>
        </w:rPr>
        <w:t> </w:t>
      </w:r>
      <w:r>
        <w:rPr>
          <w:sz w:val="20"/>
        </w:rPr>
        <w:t>more</w:t>
      </w:r>
      <w:r>
        <w:rPr>
          <w:spacing w:val="-4"/>
          <w:sz w:val="20"/>
        </w:rPr>
        <w:t> </w:t>
      </w:r>
      <w:r>
        <w:rPr>
          <w:sz w:val="20"/>
        </w:rPr>
        <w:t>than five years’ experience was significantly lower</w:t>
      </w:r>
      <w:r>
        <w:rPr>
          <w:spacing w:val="-1"/>
          <w:sz w:val="20"/>
        </w:rPr>
        <w:t> </w:t>
      </w:r>
      <w:r>
        <w:rPr>
          <w:sz w:val="20"/>
        </w:rPr>
        <w:t>than in 2015, when it was 59 per cent. See Table 2.</w:t>
      </w:r>
    </w:p>
    <w:p>
      <w:pPr>
        <w:pStyle w:val="ListParagraph"/>
        <w:numPr>
          <w:ilvl w:val="0"/>
          <w:numId w:val="11"/>
        </w:numPr>
        <w:tabs>
          <w:tab w:pos="2057" w:val="left" w:leader="none"/>
        </w:tabs>
        <w:spacing w:line="240" w:lineRule="auto" w:before="0" w:after="0"/>
        <w:ind w:left="2056" w:right="1474" w:hanging="360"/>
        <w:jc w:val="both"/>
        <w:rPr>
          <w:rFonts w:ascii="Symbol" w:hAnsi="Symbol"/>
          <w:sz w:val="20"/>
        </w:rPr>
      </w:pPr>
      <w:r>
        <w:rPr>
          <w:sz w:val="20"/>
        </w:rPr>
        <w:t>Most likely to represent claimants (44 per cent) in employment disputes. This was significantly lower than in 2015, when 57 per cent of claimant representatives said they usually represented claimants. A substantial minority</w:t>
      </w:r>
      <w:r>
        <w:rPr>
          <w:spacing w:val="-13"/>
          <w:sz w:val="20"/>
        </w:rPr>
        <w:t> </w:t>
      </w:r>
      <w:r>
        <w:rPr>
          <w:sz w:val="20"/>
        </w:rPr>
        <w:t>of</w:t>
      </w:r>
      <w:r>
        <w:rPr>
          <w:spacing w:val="-13"/>
          <w:sz w:val="20"/>
        </w:rPr>
        <w:t> </w:t>
      </w:r>
      <w:r>
        <w:rPr>
          <w:sz w:val="20"/>
        </w:rPr>
        <w:t>claimant</w:t>
      </w:r>
      <w:r>
        <w:rPr>
          <w:spacing w:val="-13"/>
          <w:sz w:val="20"/>
        </w:rPr>
        <w:t> </w:t>
      </w:r>
      <w:r>
        <w:rPr>
          <w:sz w:val="20"/>
        </w:rPr>
        <w:t>representatives</w:t>
      </w:r>
      <w:r>
        <w:rPr>
          <w:spacing w:val="-14"/>
          <w:sz w:val="20"/>
        </w:rPr>
        <w:t> </w:t>
      </w:r>
      <w:r>
        <w:rPr>
          <w:sz w:val="20"/>
        </w:rPr>
        <w:t>had</w:t>
      </w:r>
      <w:r>
        <w:rPr>
          <w:spacing w:val="-14"/>
          <w:sz w:val="20"/>
        </w:rPr>
        <w:t> </w:t>
      </w:r>
      <w:r>
        <w:rPr>
          <w:sz w:val="20"/>
        </w:rPr>
        <w:t>not</w:t>
      </w:r>
      <w:r>
        <w:rPr>
          <w:spacing w:val="-13"/>
          <w:sz w:val="20"/>
        </w:rPr>
        <w:t> </w:t>
      </w:r>
      <w:r>
        <w:rPr>
          <w:sz w:val="20"/>
        </w:rPr>
        <w:t>represented</w:t>
      </w:r>
      <w:r>
        <w:rPr>
          <w:spacing w:val="-14"/>
          <w:sz w:val="20"/>
        </w:rPr>
        <w:t> </w:t>
      </w:r>
      <w:r>
        <w:rPr>
          <w:sz w:val="20"/>
        </w:rPr>
        <w:t>anyone</w:t>
      </w:r>
      <w:r>
        <w:rPr>
          <w:spacing w:val="-14"/>
          <w:sz w:val="20"/>
        </w:rPr>
        <w:t> </w:t>
      </w:r>
      <w:r>
        <w:rPr>
          <w:sz w:val="20"/>
        </w:rPr>
        <w:t>previously (28 per cent).</w:t>
      </w:r>
    </w:p>
    <w:p>
      <w:pPr>
        <w:pStyle w:val="BodyText"/>
        <w:spacing w:before="8"/>
        <w:rPr>
          <w:sz w:val="19"/>
        </w:rPr>
      </w:pPr>
    </w:p>
    <w:p>
      <w:pPr>
        <w:pStyle w:val="BodyText"/>
        <w:ind w:left="1336"/>
        <w:jc w:val="both"/>
      </w:pPr>
      <w:r>
        <w:rPr/>
        <w:t>Employer</w:t>
      </w:r>
      <w:r>
        <w:rPr>
          <w:spacing w:val="-6"/>
        </w:rPr>
        <w:t> </w:t>
      </w:r>
      <w:r>
        <w:rPr/>
        <w:t>representatives</w:t>
      </w:r>
      <w:r>
        <w:rPr>
          <w:spacing w:val="-6"/>
        </w:rPr>
        <w:t> </w:t>
      </w:r>
      <w:r>
        <w:rPr>
          <w:spacing w:val="-2"/>
        </w:rPr>
        <w:t>were:</w:t>
      </w:r>
    </w:p>
    <w:p>
      <w:pPr>
        <w:pStyle w:val="BodyText"/>
        <w:spacing w:before="2"/>
      </w:pPr>
    </w:p>
    <w:p>
      <w:pPr>
        <w:pStyle w:val="ListParagraph"/>
        <w:numPr>
          <w:ilvl w:val="0"/>
          <w:numId w:val="11"/>
        </w:numPr>
        <w:tabs>
          <w:tab w:pos="2057" w:val="left" w:leader="none"/>
        </w:tabs>
        <w:spacing w:line="237" w:lineRule="auto" w:before="1" w:after="0"/>
        <w:ind w:left="2056" w:right="1472" w:hanging="360"/>
        <w:jc w:val="both"/>
        <w:rPr>
          <w:rFonts w:ascii="Symbol" w:hAnsi="Symbol"/>
          <w:sz w:val="20"/>
        </w:rPr>
      </w:pPr>
      <w:r>
        <w:rPr>
          <w:sz w:val="20"/>
        </w:rPr>
        <w:t>Most</w:t>
      </w:r>
      <w:r>
        <w:rPr>
          <w:spacing w:val="-18"/>
          <w:sz w:val="20"/>
        </w:rPr>
        <w:t> </w:t>
      </w:r>
      <w:r>
        <w:rPr>
          <w:sz w:val="20"/>
        </w:rPr>
        <w:t>likely</w:t>
      </w:r>
      <w:r>
        <w:rPr>
          <w:spacing w:val="-18"/>
          <w:sz w:val="20"/>
        </w:rPr>
        <w:t> </w:t>
      </w:r>
      <w:r>
        <w:rPr>
          <w:sz w:val="20"/>
        </w:rPr>
        <w:t>to</w:t>
      </w:r>
      <w:r>
        <w:rPr>
          <w:spacing w:val="-17"/>
          <w:sz w:val="20"/>
        </w:rPr>
        <w:t> </w:t>
      </w:r>
      <w:r>
        <w:rPr>
          <w:sz w:val="20"/>
        </w:rPr>
        <w:t>be</w:t>
      </w:r>
      <w:r>
        <w:rPr>
          <w:spacing w:val="-18"/>
          <w:sz w:val="20"/>
        </w:rPr>
        <w:t> </w:t>
      </w:r>
      <w:r>
        <w:rPr>
          <w:sz w:val="20"/>
        </w:rPr>
        <w:t>solicitors,</w:t>
      </w:r>
      <w:r>
        <w:rPr>
          <w:spacing w:val="-17"/>
          <w:sz w:val="20"/>
        </w:rPr>
        <w:t> </w:t>
      </w:r>
      <w:r>
        <w:rPr>
          <w:sz w:val="20"/>
        </w:rPr>
        <w:t>barristers</w:t>
      </w:r>
      <w:r>
        <w:rPr>
          <w:spacing w:val="-18"/>
          <w:sz w:val="20"/>
        </w:rPr>
        <w:t> </w:t>
      </w:r>
      <w:r>
        <w:rPr>
          <w:sz w:val="20"/>
        </w:rPr>
        <w:t>or</w:t>
      </w:r>
      <w:r>
        <w:rPr>
          <w:spacing w:val="-18"/>
          <w:sz w:val="20"/>
        </w:rPr>
        <w:t> </w:t>
      </w:r>
      <w:r>
        <w:rPr>
          <w:sz w:val="20"/>
        </w:rPr>
        <w:t>another</w:t>
      </w:r>
      <w:r>
        <w:rPr>
          <w:spacing w:val="-17"/>
          <w:sz w:val="20"/>
        </w:rPr>
        <w:t> </w:t>
      </w:r>
      <w:r>
        <w:rPr>
          <w:sz w:val="20"/>
        </w:rPr>
        <w:t>type</w:t>
      </w:r>
      <w:r>
        <w:rPr>
          <w:spacing w:val="-18"/>
          <w:sz w:val="20"/>
        </w:rPr>
        <w:t> </w:t>
      </w:r>
      <w:r>
        <w:rPr>
          <w:sz w:val="20"/>
        </w:rPr>
        <w:t>of</w:t>
      </w:r>
      <w:r>
        <w:rPr>
          <w:spacing w:val="-17"/>
          <w:sz w:val="20"/>
        </w:rPr>
        <w:t> </w:t>
      </w:r>
      <w:r>
        <w:rPr>
          <w:sz w:val="20"/>
        </w:rPr>
        <w:t>lawyer</w:t>
      </w:r>
      <w:r>
        <w:rPr>
          <w:spacing w:val="-18"/>
          <w:sz w:val="20"/>
        </w:rPr>
        <w:t> </w:t>
      </w:r>
      <w:r>
        <w:rPr>
          <w:sz w:val="20"/>
        </w:rPr>
        <w:t>(48</w:t>
      </w:r>
      <w:r>
        <w:rPr>
          <w:spacing w:val="-17"/>
          <w:sz w:val="20"/>
        </w:rPr>
        <w:t> </w:t>
      </w:r>
      <w:r>
        <w:rPr>
          <w:sz w:val="20"/>
        </w:rPr>
        <w:t>per</w:t>
      </w:r>
      <w:r>
        <w:rPr>
          <w:spacing w:val="-18"/>
          <w:sz w:val="20"/>
        </w:rPr>
        <w:t> </w:t>
      </w:r>
      <w:r>
        <w:rPr>
          <w:sz w:val="20"/>
        </w:rPr>
        <w:t>cent), while 33 per cent were personnel or human resources specialist.</w:t>
      </w:r>
    </w:p>
    <w:p>
      <w:pPr>
        <w:pStyle w:val="ListParagraph"/>
        <w:numPr>
          <w:ilvl w:val="0"/>
          <w:numId w:val="11"/>
        </w:numPr>
        <w:tabs>
          <w:tab w:pos="2057" w:val="left" w:leader="none"/>
        </w:tabs>
        <w:spacing w:line="240" w:lineRule="auto" w:before="0" w:after="0"/>
        <w:ind w:left="2056" w:right="1473" w:hanging="360"/>
        <w:jc w:val="both"/>
        <w:rPr>
          <w:rFonts w:ascii="Symbol" w:hAnsi="Symbol"/>
          <w:sz w:val="20"/>
        </w:rPr>
      </w:pPr>
      <w:r>
        <w:rPr>
          <w:sz w:val="20"/>
        </w:rPr>
        <w:t>Substantially more experienced with ET claims than claimant representatives. Nearly three quarters (75 per cent) had dealt with ET claims for more than five years, significantly higher than the half (49 per cent) of claimant representatives with the same level of experience. Just five per cent reported having less than one year’s ET claim handling experience, the same number as in 2015 and significantly lower than the figure for claimant representatives. See Table 2.</w:t>
      </w:r>
    </w:p>
    <w:p>
      <w:pPr>
        <w:pStyle w:val="ListParagraph"/>
        <w:numPr>
          <w:ilvl w:val="0"/>
          <w:numId w:val="11"/>
        </w:numPr>
        <w:tabs>
          <w:tab w:pos="2058" w:val="left" w:leader="none"/>
        </w:tabs>
        <w:spacing w:line="237" w:lineRule="auto" w:before="0" w:after="0"/>
        <w:ind w:left="2057" w:right="1472" w:hanging="360"/>
        <w:jc w:val="both"/>
        <w:rPr>
          <w:rFonts w:ascii="Symbol" w:hAnsi="Symbol"/>
          <w:sz w:val="22"/>
        </w:rPr>
      </w:pPr>
      <w:r>
        <w:rPr>
          <w:sz w:val="20"/>
        </w:rPr>
        <w:t>More</w:t>
      </w:r>
      <w:r>
        <w:rPr>
          <w:spacing w:val="-14"/>
          <w:sz w:val="20"/>
        </w:rPr>
        <w:t> </w:t>
      </w:r>
      <w:r>
        <w:rPr>
          <w:sz w:val="20"/>
        </w:rPr>
        <w:t>specialised</w:t>
      </w:r>
      <w:r>
        <w:rPr>
          <w:spacing w:val="-14"/>
          <w:sz w:val="20"/>
        </w:rPr>
        <w:t> </w:t>
      </w:r>
      <w:r>
        <w:rPr>
          <w:sz w:val="20"/>
        </w:rPr>
        <w:t>than</w:t>
      </w:r>
      <w:r>
        <w:rPr>
          <w:spacing w:val="-15"/>
          <w:sz w:val="20"/>
        </w:rPr>
        <w:t> </w:t>
      </w:r>
      <w:r>
        <w:rPr>
          <w:sz w:val="20"/>
        </w:rPr>
        <w:t>claimant</w:t>
      </w:r>
      <w:r>
        <w:rPr>
          <w:spacing w:val="-14"/>
          <w:sz w:val="20"/>
        </w:rPr>
        <w:t> </w:t>
      </w:r>
      <w:r>
        <w:rPr>
          <w:sz w:val="20"/>
        </w:rPr>
        <w:t>representatives:</w:t>
      </w:r>
      <w:r>
        <w:rPr>
          <w:spacing w:val="-14"/>
          <w:sz w:val="20"/>
        </w:rPr>
        <w:t> </w:t>
      </w:r>
      <w:r>
        <w:rPr>
          <w:sz w:val="20"/>
        </w:rPr>
        <w:t>they</w:t>
      </w:r>
      <w:r>
        <w:rPr>
          <w:spacing w:val="-15"/>
          <w:sz w:val="20"/>
        </w:rPr>
        <w:t> </w:t>
      </w:r>
      <w:r>
        <w:rPr>
          <w:sz w:val="20"/>
        </w:rPr>
        <w:t>were</w:t>
      </w:r>
      <w:r>
        <w:rPr>
          <w:spacing w:val="-15"/>
          <w:sz w:val="20"/>
        </w:rPr>
        <w:t> </w:t>
      </w:r>
      <w:r>
        <w:rPr>
          <w:sz w:val="20"/>
        </w:rPr>
        <w:t>much</w:t>
      </w:r>
      <w:r>
        <w:rPr>
          <w:spacing w:val="-15"/>
          <w:sz w:val="20"/>
        </w:rPr>
        <w:t> </w:t>
      </w:r>
      <w:r>
        <w:rPr>
          <w:sz w:val="20"/>
        </w:rPr>
        <w:t>more</w:t>
      </w:r>
      <w:r>
        <w:rPr>
          <w:spacing w:val="-14"/>
          <w:sz w:val="20"/>
        </w:rPr>
        <w:t> </w:t>
      </w:r>
      <w:r>
        <w:rPr>
          <w:sz w:val="20"/>
        </w:rPr>
        <w:t>likely to</w:t>
      </w:r>
      <w:r>
        <w:rPr>
          <w:spacing w:val="-1"/>
          <w:sz w:val="20"/>
        </w:rPr>
        <w:t> </w:t>
      </w:r>
      <w:r>
        <w:rPr>
          <w:sz w:val="20"/>
        </w:rPr>
        <w:t>say</w:t>
      </w:r>
      <w:r>
        <w:rPr>
          <w:spacing w:val="-1"/>
          <w:sz w:val="20"/>
        </w:rPr>
        <w:t> </w:t>
      </w:r>
      <w:r>
        <w:rPr>
          <w:sz w:val="20"/>
        </w:rPr>
        <w:t>they</w:t>
      </w:r>
      <w:r>
        <w:rPr>
          <w:spacing w:val="-2"/>
          <w:sz w:val="20"/>
        </w:rPr>
        <w:t> </w:t>
      </w:r>
      <w:r>
        <w:rPr>
          <w:sz w:val="20"/>
        </w:rPr>
        <w:t>usually</w:t>
      </w:r>
      <w:r>
        <w:rPr>
          <w:spacing w:val="-1"/>
          <w:sz w:val="20"/>
        </w:rPr>
        <w:t> </w:t>
      </w:r>
      <w:r>
        <w:rPr>
          <w:sz w:val="20"/>
        </w:rPr>
        <w:t>represented</w:t>
      </w:r>
      <w:r>
        <w:rPr>
          <w:spacing w:val="-1"/>
          <w:sz w:val="20"/>
        </w:rPr>
        <w:t> </w:t>
      </w:r>
      <w:r>
        <w:rPr>
          <w:sz w:val="20"/>
        </w:rPr>
        <w:t>employers</w:t>
      </w:r>
      <w:r>
        <w:rPr>
          <w:spacing w:val="-1"/>
          <w:sz w:val="20"/>
        </w:rPr>
        <w:t> </w:t>
      </w:r>
      <w:r>
        <w:rPr>
          <w:sz w:val="20"/>
        </w:rPr>
        <w:t>(79</w:t>
      </w:r>
      <w:r>
        <w:rPr>
          <w:spacing w:val="-1"/>
          <w:sz w:val="20"/>
        </w:rPr>
        <w:t> </w:t>
      </w:r>
      <w:r>
        <w:rPr>
          <w:sz w:val="20"/>
        </w:rPr>
        <w:t>per</w:t>
      </w:r>
      <w:r>
        <w:rPr>
          <w:spacing w:val="-1"/>
          <w:sz w:val="20"/>
        </w:rPr>
        <w:t> </w:t>
      </w:r>
      <w:r>
        <w:rPr>
          <w:sz w:val="20"/>
        </w:rPr>
        <w:t>cent).</w:t>
      </w:r>
      <w:r>
        <w:rPr>
          <w:spacing w:val="-2"/>
          <w:sz w:val="20"/>
        </w:rPr>
        <w:t> </w:t>
      </w:r>
      <w:r>
        <w:rPr>
          <w:sz w:val="20"/>
        </w:rPr>
        <w:t>Just</w:t>
      </w:r>
      <w:r>
        <w:rPr>
          <w:spacing w:val="-1"/>
          <w:sz w:val="20"/>
        </w:rPr>
        <w:t> </w:t>
      </w:r>
      <w:r>
        <w:rPr>
          <w:sz w:val="20"/>
        </w:rPr>
        <w:t>one</w:t>
      </w:r>
      <w:r>
        <w:rPr>
          <w:spacing w:val="-1"/>
          <w:sz w:val="20"/>
        </w:rPr>
        <w:t> </w:t>
      </w:r>
      <w:r>
        <w:rPr>
          <w:sz w:val="20"/>
        </w:rPr>
        <w:t>per</w:t>
      </w:r>
      <w:r>
        <w:rPr>
          <w:spacing w:val="-1"/>
          <w:sz w:val="20"/>
        </w:rPr>
        <w:t> </w:t>
      </w:r>
      <w:r>
        <w:rPr>
          <w:sz w:val="20"/>
        </w:rPr>
        <w:t>cent reported that they usually represented the claimant, and 17 per cent reported that they usually represented either party.</w:t>
      </w:r>
    </w:p>
    <w:p>
      <w:pPr>
        <w:spacing w:after="0" w:line="237" w:lineRule="auto"/>
        <w:jc w:val="both"/>
        <w:rPr>
          <w:rFonts w:ascii="Symbol" w:hAnsi="Symbol"/>
          <w:sz w:val="22"/>
        </w:rPr>
        <w:sectPr>
          <w:pgSz w:w="11910" w:h="16840"/>
          <w:pgMar w:header="0" w:footer="996" w:top="1340" w:bottom="1180" w:left="460" w:right="320"/>
        </w:sectPr>
      </w:pPr>
    </w:p>
    <w:p>
      <w:pPr>
        <w:pStyle w:val="Heading3"/>
        <w:spacing w:before="82"/>
        <w:ind w:right="1475"/>
      </w:pPr>
      <w:bookmarkStart w:name="3." w:id="32"/>
      <w:bookmarkEnd w:id="32"/>
      <w:r>
        <w:rPr>
          <w:b w:val="0"/>
        </w:rPr>
      </w:r>
      <w:bookmarkStart w:name="4." w:id="33"/>
      <w:bookmarkEnd w:id="33"/>
      <w:r>
        <w:rPr>
          <w:b w:val="0"/>
        </w:rPr>
      </w:r>
      <w:bookmarkStart w:name="5." w:id="34"/>
      <w:bookmarkEnd w:id="34"/>
      <w:r>
        <w:rPr>
          <w:b w:val="0"/>
        </w:rPr>
      </w:r>
      <w:bookmarkStart w:name="6." w:id="35"/>
      <w:bookmarkEnd w:id="35"/>
      <w:r>
        <w:rPr>
          <w:b w:val="0"/>
        </w:rPr>
      </w:r>
      <w:bookmarkStart w:name="7." w:id="36"/>
      <w:bookmarkEnd w:id="36"/>
      <w:r>
        <w:rPr>
          <w:b w:val="0"/>
        </w:rPr>
      </w:r>
      <w:bookmarkStart w:name="7.4" w:id="37"/>
      <w:bookmarkEnd w:id="37"/>
      <w:r>
        <w:rPr>
          <w:b w:val="0"/>
        </w:rPr>
      </w:r>
      <w:bookmarkStart w:name="7.1" w:id="38"/>
      <w:bookmarkEnd w:id="38"/>
      <w:r>
        <w:rPr>
          <w:b w:val="0"/>
        </w:rPr>
      </w:r>
      <w:bookmarkStart w:name="7.2" w:id="39"/>
      <w:bookmarkEnd w:id="39"/>
      <w:r>
        <w:rPr>
          <w:b w:val="0"/>
        </w:rPr>
      </w:r>
      <w:bookmarkStart w:name="7.3" w:id="40"/>
      <w:bookmarkEnd w:id="40"/>
      <w:r>
        <w:rPr>
          <w:b w:val="0"/>
        </w:rPr>
      </w:r>
      <w:r>
        <w:rPr/>
        <w:t>Table 2. Length of time dealing with ET claims as reported by all </w:t>
      </w:r>
      <w:r>
        <w:rPr>
          <w:spacing w:val="-2"/>
        </w:rPr>
        <w:t>representatives</w:t>
      </w:r>
    </w:p>
    <w:p>
      <w:pPr>
        <w:pStyle w:val="BodyText"/>
        <w:spacing w:before="5"/>
        <w:rPr>
          <w:b/>
          <w:sz w:val="7"/>
        </w:rPr>
      </w:pPr>
      <w:r>
        <w:rPr/>
        <w:drawing>
          <wp:anchor distT="0" distB="0" distL="0" distR="0" allowOverlap="1" layoutInCell="1" locked="0" behindDoc="0" simplePos="0" relativeHeight="8">
            <wp:simplePos x="0" y="0"/>
            <wp:positionH relativeFrom="page">
              <wp:posOffset>1219873</wp:posOffset>
            </wp:positionH>
            <wp:positionV relativeFrom="paragraph">
              <wp:posOffset>72892</wp:posOffset>
            </wp:positionV>
            <wp:extent cx="5086107" cy="2056828"/>
            <wp:effectExtent l="0" t="0" r="0" b="0"/>
            <wp:wrapTopAndBottom/>
            <wp:docPr id="11" name="image6.png" descr="Table showing length of time dealing with ET claims as reported by all representatives"/>
            <wp:cNvGraphicFramePr>
              <a:graphicFrameLocks noChangeAspect="1"/>
            </wp:cNvGraphicFramePr>
            <a:graphic>
              <a:graphicData uri="http://schemas.openxmlformats.org/drawingml/2006/picture">
                <pic:pic>
                  <pic:nvPicPr>
                    <pic:cNvPr id="12" name="image6.png"/>
                    <pic:cNvPicPr/>
                  </pic:nvPicPr>
                  <pic:blipFill>
                    <a:blip r:embed="rId17" cstate="print"/>
                    <a:stretch>
                      <a:fillRect/>
                    </a:stretch>
                  </pic:blipFill>
                  <pic:spPr>
                    <a:xfrm>
                      <a:off x="0" y="0"/>
                      <a:ext cx="5086107" cy="2056828"/>
                    </a:xfrm>
                    <a:prstGeom prst="rect">
                      <a:avLst/>
                    </a:prstGeom>
                  </pic:spPr>
                </pic:pic>
              </a:graphicData>
            </a:graphic>
          </wp:anchor>
        </w:drawing>
      </w:r>
    </w:p>
    <w:p>
      <w:pPr>
        <w:pStyle w:val="BodyText"/>
        <w:spacing w:before="11"/>
        <w:rPr>
          <w:b/>
          <w:sz w:val="27"/>
        </w:rPr>
      </w:pPr>
    </w:p>
    <w:p>
      <w:pPr>
        <w:pStyle w:val="Heading3"/>
        <w:numPr>
          <w:ilvl w:val="1"/>
          <w:numId w:val="2"/>
        </w:numPr>
        <w:tabs>
          <w:tab w:pos="1974" w:val="left" w:leader="none"/>
        </w:tabs>
        <w:spacing w:line="240" w:lineRule="auto" w:before="0" w:after="0"/>
        <w:ind w:left="1973" w:right="0" w:hanging="637"/>
        <w:jc w:val="both"/>
      </w:pPr>
      <w:bookmarkStart w:name="7.4  The workplace dispute" w:id="41"/>
      <w:bookmarkEnd w:id="41"/>
      <w:r>
        <w:rPr>
          <w:b w:val="0"/>
        </w:rPr>
      </w:r>
      <w:bookmarkStart w:name="_bookmark10" w:id="42"/>
      <w:bookmarkEnd w:id="42"/>
      <w:r>
        <w:rPr/>
        <w:t>The</w:t>
      </w:r>
      <w:r>
        <w:rPr>
          <w:spacing w:val="-5"/>
        </w:rPr>
        <w:t> </w:t>
      </w:r>
      <w:r>
        <w:rPr/>
        <w:t>workplace</w:t>
      </w:r>
      <w:r>
        <w:rPr>
          <w:spacing w:val="-5"/>
        </w:rPr>
        <w:t> </w:t>
      </w:r>
      <w:r>
        <w:rPr>
          <w:spacing w:val="-2"/>
        </w:rPr>
        <w:t>dispute</w:t>
      </w:r>
    </w:p>
    <w:p>
      <w:pPr>
        <w:pStyle w:val="Heading4"/>
        <w:spacing w:line="243" w:lineRule="exact" w:before="120"/>
        <w:rPr>
          <w:i/>
        </w:rPr>
      </w:pPr>
      <w:bookmarkStart w:name="7.4.1 The dispute" w:id="43"/>
      <w:bookmarkEnd w:id="43"/>
      <w:r>
        <w:rPr>
          <w:b w:val="0"/>
          <w:i w:val="0"/>
        </w:rPr>
      </w:r>
      <w:r>
        <w:rPr>
          <w:i/>
        </w:rPr>
        <w:t>7.4.1</w:t>
      </w:r>
      <w:r>
        <w:rPr>
          <w:i/>
          <w:spacing w:val="77"/>
        </w:rPr>
        <w:t> </w:t>
      </w:r>
      <w:r>
        <w:rPr>
          <w:i/>
        </w:rPr>
        <w:t>The </w:t>
      </w:r>
      <w:r>
        <w:rPr>
          <w:i/>
          <w:spacing w:val="-2"/>
        </w:rPr>
        <w:t>dispute</w:t>
      </w:r>
    </w:p>
    <w:p>
      <w:pPr>
        <w:pStyle w:val="BodyText"/>
        <w:ind w:left="1337" w:right="1472"/>
        <w:jc w:val="both"/>
      </w:pPr>
      <w:r>
        <w:rPr/>
        <w:t>Just</w:t>
      </w:r>
      <w:r>
        <w:rPr>
          <w:spacing w:val="-9"/>
        </w:rPr>
        <w:t> </w:t>
      </w:r>
      <w:r>
        <w:rPr/>
        <w:t>under</w:t>
      </w:r>
      <w:r>
        <w:rPr>
          <w:spacing w:val="-10"/>
        </w:rPr>
        <w:t> </w:t>
      </w:r>
      <w:r>
        <w:rPr/>
        <w:t>half</w:t>
      </w:r>
      <w:r>
        <w:rPr>
          <w:spacing w:val="-8"/>
        </w:rPr>
        <w:t> </w:t>
      </w:r>
      <w:r>
        <w:rPr/>
        <w:t>of</w:t>
      </w:r>
      <w:r>
        <w:rPr>
          <w:spacing w:val="-8"/>
        </w:rPr>
        <w:t> </w:t>
      </w:r>
      <w:r>
        <w:rPr/>
        <w:t>claimant-side</w:t>
      </w:r>
      <w:r>
        <w:rPr>
          <w:spacing w:val="-9"/>
        </w:rPr>
        <w:t> </w:t>
      </w:r>
      <w:r>
        <w:rPr/>
        <w:t>participants</w:t>
      </w:r>
      <w:r>
        <w:rPr>
          <w:spacing w:val="-8"/>
        </w:rPr>
        <w:t> </w:t>
      </w:r>
      <w:r>
        <w:rPr/>
        <w:t>were</w:t>
      </w:r>
      <w:r>
        <w:rPr>
          <w:spacing w:val="-9"/>
        </w:rPr>
        <w:t> </w:t>
      </w:r>
      <w:r>
        <w:rPr/>
        <w:t>party</w:t>
      </w:r>
      <w:r>
        <w:rPr>
          <w:spacing w:val="-8"/>
        </w:rPr>
        <w:t> </w:t>
      </w:r>
      <w:r>
        <w:rPr/>
        <w:t>to</w:t>
      </w:r>
      <w:r>
        <w:rPr>
          <w:spacing w:val="-10"/>
        </w:rPr>
        <w:t> </w:t>
      </w:r>
      <w:r>
        <w:rPr/>
        <w:t>a</w:t>
      </w:r>
      <w:r>
        <w:rPr>
          <w:spacing w:val="-8"/>
        </w:rPr>
        <w:t> </w:t>
      </w:r>
      <w:r>
        <w:rPr/>
        <w:t>fast</w:t>
      </w:r>
      <w:r>
        <w:rPr>
          <w:spacing w:val="-8"/>
        </w:rPr>
        <w:t> </w:t>
      </w:r>
      <w:r>
        <w:rPr/>
        <w:t>track</w:t>
      </w:r>
      <w:r>
        <w:rPr>
          <w:spacing w:val="-9"/>
        </w:rPr>
        <w:t> </w:t>
      </w:r>
      <w:r>
        <w:rPr/>
        <w:t>case</w:t>
      </w:r>
      <w:r>
        <w:rPr>
          <w:spacing w:val="-9"/>
        </w:rPr>
        <w:t> </w:t>
      </w:r>
      <w:r>
        <w:rPr/>
        <w:t>(45</w:t>
      </w:r>
      <w:r>
        <w:rPr>
          <w:spacing w:val="-8"/>
        </w:rPr>
        <w:t> </w:t>
      </w:r>
      <w:r>
        <w:rPr/>
        <w:t>per cent) compared with 27 per cent involved in open track and standard track cases. This breakdown differs slightly from 2015 where a similar proportion of fast track case</w:t>
      </w:r>
      <w:r>
        <w:rPr>
          <w:spacing w:val="-5"/>
        </w:rPr>
        <w:t> </w:t>
      </w:r>
      <w:r>
        <w:rPr/>
        <w:t>(45</w:t>
      </w:r>
      <w:r>
        <w:rPr>
          <w:spacing w:val="-5"/>
        </w:rPr>
        <w:t> </w:t>
      </w:r>
      <w:r>
        <w:rPr/>
        <w:t>per</w:t>
      </w:r>
      <w:r>
        <w:rPr>
          <w:spacing w:val="-5"/>
        </w:rPr>
        <w:t> </w:t>
      </w:r>
      <w:r>
        <w:rPr/>
        <w:t>cent)</w:t>
      </w:r>
      <w:r>
        <w:rPr>
          <w:spacing w:val="-5"/>
        </w:rPr>
        <w:t> </w:t>
      </w:r>
      <w:r>
        <w:rPr/>
        <w:t>but</w:t>
      </w:r>
      <w:r>
        <w:rPr>
          <w:spacing w:val="-5"/>
        </w:rPr>
        <w:t> </w:t>
      </w:r>
      <w:r>
        <w:rPr/>
        <w:t>there</w:t>
      </w:r>
      <w:r>
        <w:rPr>
          <w:spacing w:val="-5"/>
        </w:rPr>
        <w:t> </w:t>
      </w:r>
      <w:r>
        <w:rPr/>
        <w:t>were</w:t>
      </w:r>
      <w:r>
        <w:rPr>
          <w:spacing w:val="-5"/>
        </w:rPr>
        <w:t> </w:t>
      </w:r>
      <w:r>
        <w:rPr/>
        <w:t>slightly</w:t>
      </w:r>
      <w:r>
        <w:rPr>
          <w:spacing w:val="-4"/>
        </w:rPr>
        <w:t> </w:t>
      </w:r>
      <w:r>
        <w:rPr/>
        <w:t>more</w:t>
      </w:r>
      <w:r>
        <w:rPr>
          <w:spacing w:val="-4"/>
        </w:rPr>
        <w:t> </w:t>
      </w:r>
      <w:r>
        <w:rPr/>
        <w:t>standard</w:t>
      </w:r>
      <w:r>
        <w:rPr>
          <w:spacing w:val="-4"/>
        </w:rPr>
        <w:t> </w:t>
      </w:r>
      <w:r>
        <w:rPr/>
        <w:t>track</w:t>
      </w:r>
      <w:r>
        <w:rPr>
          <w:spacing w:val="-4"/>
        </w:rPr>
        <w:t> </w:t>
      </w:r>
      <w:r>
        <w:rPr/>
        <w:t>cases</w:t>
      </w:r>
      <w:r>
        <w:rPr>
          <w:spacing w:val="-6"/>
        </w:rPr>
        <w:t> </w:t>
      </w:r>
      <w:r>
        <w:rPr/>
        <w:t>(34</w:t>
      </w:r>
      <w:r>
        <w:rPr>
          <w:spacing w:val="-5"/>
        </w:rPr>
        <w:t> </w:t>
      </w:r>
      <w:r>
        <w:rPr/>
        <w:t>per</w:t>
      </w:r>
      <w:r>
        <w:rPr>
          <w:spacing w:val="-5"/>
        </w:rPr>
        <w:t> </w:t>
      </w:r>
      <w:r>
        <w:rPr/>
        <w:t>cent) and</w:t>
      </w:r>
      <w:r>
        <w:rPr>
          <w:spacing w:val="-16"/>
        </w:rPr>
        <w:t> </w:t>
      </w:r>
      <w:r>
        <w:rPr/>
        <w:t>fewer</w:t>
      </w:r>
      <w:r>
        <w:rPr>
          <w:spacing w:val="-17"/>
        </w:rPr>
        <w:t> </w:t>
      </w:r>
      <w:r>
        <w:rPr/>
        <w:t>open</w:t>
      </w:r>
      <w:r>
        <w:rPr>
          <w:spacing w:val="-16"/>
        </w:rPr>
        <w:t> </w:t>
      </w:r>
      <w:r>
        <w:rPr/>
        <w:t>track</w:t>
      </w:r>
      <w:r>
        <w:rPr>
          <w:spacing w:val="-16"/>
        </w:rPr>
        <w:t> </w:t>
      </w:r>
      <w:r>
        <w:rPr/>
        <w:t>cases</w:t>
      </w:r>
      <w:r>
        <w:rPr>
          <w:spacing w:val="-16"/>
        </w:rPr>
        <w:t> </w:t>
      </w:r>
      <w:r>
        <w:rPr/>
        <w:t>(21</w:t>
      </w:r>
      <w:r>
        <w:rPr>
          <w:spacing w:val="-17"/>
        </w:rPr>
        <w:t> </w:t>
      </w:r>
      <w:r>
        <w:rPr/>
        <w:t>per</w:t>
      </w:r>
      <w:r>
        <w:rPr>
          <w:spacing w:val="-17"/>
        </w:rPr>
        <w:t> </w:t>
      </w:r>
      <w:r>
        <w:rPr/>
        <w:t>cent).</w:t>
      </w:r>
      <w:hyperlink w:history="true" w:anchor="_bookmark71">
        <w:r>
          <w:rPr>
            <w:position w:val="7"/>
            <w:sz w:val="13"/>
          </w:rPr>
          <w:t>4</w:t>
        </w:r>
      </w:hyperlink>
      <w:r>
        <w:rPr>
          <w:spacing w:val="9"/>
          <w:position w:val="7"/>
          <w:sz w:val="13"/>
        </w:rPr>
        <w:t> </w:t>
      </w:r>
      <w:r>
        <w:rPr/>
        <w:t>These</w:t>
      </w:r>
      <w:r>
        <w:rPr>
          <w:spacing w:val="-17"/>
        </w:rPr>
        <w:t> </w:t>
      </w:r>
      <w:r>
        <w:rPr/>
        <w:t>differences</w:t>
      </w:r>
      <w:r>
        <w:rPr>
          <w:spacing w:val="-16"/>
        </w:rPr>
        <w:t> </w:t>
      </w:r>
      <w:r>
        <w:rPr/>
        <w:t>in</w:t>
      </w:r>
      <w:r>
        <w:rPr>
          <w:spacing w:val="-16"/>
        </w:rPr>
        <w:t> </w:t>
      </w:r>
      <w:r>
        <w:rPr/>
        <w:t>sample</w:t>
      </w:r>
      <w:r>
        <w:rPr>
          <w:spacing w:val="-16"/>
        </w:rPr>
        <w:t> </w:t>
      </w:r>
      <w:r>
        <w:rPr/>
        <w:t>composition should be taken into account when comparing results between the two waves of research – particularly the greater proportion in 2019 of more legally complex, open track cases – although in practice they result in small differences overall.</w:t>
      </w:r>
    </w:p>
    <w:p>
      <w:pPr>
        <w:pStyle w:val="BodyText"/>
        <w:spacing w:before="12"/>
        <w:rPr>
          <w:sz w:val="19"/>
        </w:rPr>
      </w:pPr>
    </w:p>
    <w:p>
      <w:pPr>
        <w:pStyle w:val="BodyText"/>
        <w:ind w:left="1337" w:right="1472"/>
        <w:jc w:val="both"/>
        <w:rPr>
          <w:sz w:val="13"/>
        </w:rPr>
      </w:pPr>
      <w:r>
        <w:rPr/>
        <w:t>There</w:t>
      </w:r>
      <w:r>
        <w:rPr>
          <w:spacing w:val="-13"/>
        </w:rPr>
        <w:t> </w:t>
      </w:r>
      <w:r>
        <w:rPr/>
        <w:t>were</w:t>
      </w:r>
      <w:r>
        <w:rPr>
          <w:spacing w:val="-13"/>
        </w:rPr>
        <w:t> </w:t>
      </w:r>
      <w:r>
        <w:rPr/>
        <w:t>no</w:t>
      </w:r>
      <w:r>
        <w:rPr>
          <w:spacing w:val="-13"/>
        </w:rPr>
        <w:t> </w:t>
      </w:r>
      <w:r>
        <w:rPr/>
        <w:t>significant</w:t>
      </w:r>
      <w:r>
        <w:rPr>
          <w:spacing w:val="-12"/>
        </w:rPr>
        <w:t> </w:t>
      </w:r>
      <w:r>
        <w:rPr/>
        <w:t>differences</w:t>
      </w:r>
      <w:r>
        <w:rPr>
          <w:spacing w:val="-13"/>
        </w:rPr>
        <w:t> </w:t>
      </w:r>
      <w:r>
        <w:rPr/>
        <w:t>in</w:t>
      </w:r>
      <w:r>
        <w:rPr>
          <w:spacing w:val="-12"/>
        </w:rPr>
        <w:t> </w:t>
      </w:r>
      <w:r>
        <w:rPr/>
        <w:t>track</w:t>
      </w:r>
      <w:r>
        <w:rPr>
          <w:spacing w:val="-12"/>
        </w:rPr>
        <w:t> </w:t>
      </w:r>
      <w:r>
        <w:rPr/>
        <w:t>by</w:t>
      </w:r>
      <w:r>
        <w:rPr>
          <w:spacing w:val="-12"/>
        </w:rPr>
        <w:t> </w:t>
      </w:r>
      <w:r>
        <w:rPr/>
        <w:t>ethnicity</w:t>
      </w:r>
      <w:r>
        <w:rPr>
          <w:spacing w:val="-13"/>
        </w:rPr>
        <w:t> </w:t>
      </w:r>
      <w:r>
        <w:rPr/>
        <w:t>among</w:t>
      </w:r>
      <w:r>
        <w:rPr>
          <w:spacing w:val="-13"/>
        </w:rPr>
        <w:t> </w:t>
      </w:r>
      <w:r>
        <w:rPr/>
        <w:t>claimants.</w:t>
      </w:r>
      <w:r>
        <w:rPr>
          <w:spacing w:val="-12"/>
        </w:rPr>
        <w:t> </w:t>
      </w:r>
      <w:r>
        <w:rPr/>
        <w:t>Similar proportions of BAME and White claimants were party to a fast track case (54 per cent and 51 per cent), although BAME claimants were slightly less likely to have standard</w:t>
      </w:r>
      <w:r>
        <w:rPr>
          <w:spacing w:val="-9"/>
        </w:rPr>
        <w:t> </w:t>
      </w:r>
      <w:r>
        <w:rPr/>
        <w:t>track</w:t>
      </w:r>
      <w:r>
        <w:rPr>
          <w:spacing w:val="-8"/>
        </w:rPr>
        <w:t> </w:t>
      </w:r>
      <w:r>
        <w:rPr/>
        <w:t>cases</w:t>
      </w:r>
      <w:r>
        <w:rPr>
          <w:spacing w:val="-9"/>
        </w:rPr>
        <w:t> </w:t>
      </w:r>
      <w:r>
        <w:rPr/>
        <w:t>compared</w:t>
      </w:r>
      <w:r>
        <w:rPr>
          <w:spacing w:val="-8"/>
        </w:rPr>
        <w:t> </w:t>
      </w:r>
      <w:r>
        <w:rPr/>
        <w:t>with</w:t>
      </w:r>
      <w:r>
        <w:rPr>
          <w:spacing w:val="-9"/>
        </w:rPr>
        <w:t> </w:t>
      </w:r>
      <w:r>
        <w:rPr/>
        <w:t>those</w:t>
      </w:r>
      <w:r>
        <w:rPr>
          <w:spacing w:val="-10"/>
        </w:rPr>
        <w:t> </w:t>
      </w:r>
      <w:r>
        <w:rPr/>
        <w:t>from</w:t>
      </w:r>
      <w:r>
        <w:rPr>
          <w:spacing w:val="-9"/>
        </w:rPr>
        <w:t> </w:t>
      </w:r>
      <w:r>
        <w:rPr/>
        <w:t>a</w:t>
      </w:r>
      <w:r>
        <w:rPr>
          <w:spacing w:val="-8"/>
        </w:rPr>
        <w:t> </w:t>
      </w:r>
      <w:r>
        <w:rPr/>
        <w:t>White</w:t>
      </w:r>
      <w:r>
        <w:rPr>
          <w:spacing w:val="-9"/>
        </w:rPr>
        <w:t> </w:t>
      </w:r>
      <w:r>
        <w:rPr/>
        <w:t>ethnic</w:t>
      </w:r>
      <w:r>
        <w:rPr>
          <w:spacing w:val="-8"/>
        </w:rPr>
        <w:t> </w:t>
      </w:r>
      <w:r>
        <w:rPr/>
        <w:t>background</w:t>
      </w:r>
      <w:r>
        <w:rPr>
          <w:spacing w:val="-10"/>
        </w:rPr>
        <w:t> </w:t>
      </w:r>
      <w:r>
        <w:rPr/>
        <w:t>(17</w:t>
      </w:r>
      <w:r>
        <w:rPr>
          <w:spacing w:val="-8"/>
        </w:rPr>
        <w:t> </w:t>
      </w:r>
      <w:r>
        <w:rPr/>
        <w:t>per cent compared with 26 per cent) and slightly more likely to have an open track case (30 per cent compared to 23 per cent).</w:t>
      </w:r>
      <w:hyperlink w:history="true" w:anchor="_bookmark72">
        <w:r>
          <w:rPr>
            <w:position w:val="7"/>
            <w:sz w:val="13"/>
          </w:rPr>
          <w:t>5</w:t>
        </w:r>
      </w:hyperlink>
    </w:p>
    <w:p>
      <w:pPr>
        <w:pStyle w:val="BodyText"/>
        <w:spacing w:before="12"/>
        <w:rPr>
          <w:sz w:val="19"/>
        </w:rPr>
      </w:pPr>
    </w:p>
    <w:p>
      <w:pPr>
        <w:pStyle w:val="BodyText"/>
        <w:ind w:left="1337" w:right="1472"/>
        <w:jc w:val="both"/>
      </w:pPr>
      <w:r>
        <w:rPr/>
        <w:t>In</w:t>
      </w:r>
      <w:r>
        <w:rPr>
          <w:spacing w:val="-10"/>
        </w:rPr>
        <w:t> </w:t>
      </w:r>
      <w:r>
        <w:rPr/>
        <w:t>nearly</w:t>
      </w:r>
      <w:r>
        <w:rPr>
          <w:spacing w:val="-10"/>
        </w:rPr>
        <w:t> </w:t>
      </w:r>
      <w:r>
        <w:rPr/>
        <w:t>all</w:t>
      </w:r>
      <w:r>
        <w:rPr>
          <w:spacing w:val="-10"/>
        </w:rPr>
        <w:t> </w:t>
      </w:r>
      <w:r>
        <w:rPr/>
        <w:t>cases,</w:t>
      </w:r>
      <w:r>
        <w:rPr>
          <w:spacing w:val="-11"/>
        </w:rPr>
        <w:t> </w:t>
      </w:r>
      <w:r>
        <w:rPr/>
        <w:t>the</w:t>
      </w:r>
      <w:r>
        <w:rPr>
          <w:spacing w:val="-14"/>
        </w:rPr>
        <w:t> </w:t>
      </w:r>
      <w:r>
        <w:rPr/>
        <w:t>claimant</w:t>
      </w:r>
      <w:r>
        <w:rPr>
          <w:spacing w:val="-10"/>
        </w:rPr>
        <w:t> </w:t>
      </w:r>
      <w:r>
        <w:rPr/>
        <w:t>had</w:t>
      </w:r>
      <w:r>
        <w:rPr>
          <w:spacing w:val="-10"/>
        </w:rPr>
        <w:t> </w:t>
      </w:r>
      <w:r>
        <w:rPr/>
        <w:t>been</w:t>
      </w:r>
      <w:r>
        <w:rPr>
          <w:spacing w:val="-10"/>
        </w:rPr>
        <w:t> </w:t>
      </w:r>
      <w:r>
        <w:rPr/>
        <w:t>employed</w:t>
      </w:r>
      <w:r>
        <w:rPr>
          <w:spacing w:val="-10"/>
        </w:rPr>
        <w:t> </w:t>
      </w:r>
      <w:r>
        <w:rPr/>
        <w:t>by</w:t>
      </w:r>
      <w:r>
        <w:rPr>
          <w:spacing w:val="-10"/>
        </w:rPr>
        <w:t> </w:t>
      </w:r>
      <w:r>
        <w:rPr/>
        <w:t>the</w:t>
      </w:r>
      <w:r>
        <w:rPr>
          <w:spacing w:val="-11"/>
        </w:rPr>
        <w:t> </w:t>
      </w:r>
      <w:r>
        <w:rPr/>
        <w:t>same</w:t>
      </w:r>
      <w:r>
        <w:rPr>
          <w:spacing w:val="-11"/>
        </w:rPr>
        <w:t> </w:t>
      </w:r>
      <w:r>
        <w:rPr/>
        <w:t>organisation</w:t>
      </w:r>
      <w:r>
        <w:rPr>
          <w:spacing w:val="-10"/>
        </w:rPr>
        <w:t> </w:t>
      </w:r>
      <w:r>
        <w:rPr/>
        <w:t>they were in dispute with (97 per cent). In these cases, where the claimant worked for the</w:t>
      </w:r>
      <w:r>
        <w:rPr>
          <w:spacing w:val="-13"/>
        </w:rPr>
        <w:t> </w:t>
      </w:r>
      <w:r>
        <w:rPr/>
        <w:t>employer,</w:t>
      </w:r>
      <w:r>
        <w:rPr>
          <w:spacing w:val="-12"/>
        </w:rPr>
        <w:t> </w:t>
      </w:r>
      <w:r>
        <w:rPr/>
        <w:t>82</w:t>
      </w:r>
      <w:r>
        <w:rPr>
          <w:spacing w:val="-13"/>
        </w:rPr>
        <w:t> </w:t>
      </w:r>
      <w:r>
        <w:rPr/>
        <w:t>per</w:t>
      </w:r>
      <w:r>
        <w:rPr>
          <w:spacing w:val="-13"/>
        </w:rPr>
        <w:t> </w:t>
      </w:r>
      <w:r>
        <w:rPr/>
        <w:t>cent</w:t>
      </w:r>
      <w:r>
        <w:rPr>
          <w:spacing w:val="-13"/>
        </w:rPr>
        <w:t> </w:t>
      </w:r>
      <w:r>
        <w:rPr/>
        <w:t>were</w:t>
      </w:r>
      <w:r>
        <w:rPr>
          <w:spacing w:val="-13"/>
        </w:rPr>
        <w:t> </w:t>
      </w:r>
      <w:r>
        <w:rPr/>
        <w:t>no</w:t>
      </w:r>
      <w:r>
        <w:rPr>
          <w:spacing w:val="-14"/>
        </w:rPr>
        <w:t> </w:t>
      </w:r>
      <w:r>
        <w:rPr/>
        <w:t>longer</w:t>
      </w:r>
      <w:r>
        <w:rPr>
          <w:spacing w:val="-13"/>
        </w:rPr>
        <w:t> </w:t>
      </w:r>
      <w:r>
        <w:rPr/>
        <w:t>employed</w:t>
      </w:r>
      <w:r>
        <w:rPr>
          <w:spacing w:val="-13"/>
        </w:rPr>
        <w:t> </w:t>
      </w:r>
      <w:r>
        <w:rPr/>
        <w:t>by</w:t>
      </w:r>
      <w:r>
        <w:rPr>
          <w:spacing w:val="-13"/>
        </w:rPr>
        <w:t> </w:t>
      </w:r>
      <w:r>
        <w:rPr/>
        <w:t>the</w:t>
      </w:r>
      <w:r>
        <w:rPr>
          <w:spacing w:val="-15"/>
        </w:rPr>
        <w:t> </w:t>
      </w:r>
      <w:r>
        <w:rPr/>
        <w:t>organisation</w:t>
      </w:r>
      <w:r>
        <w:rPr>
          <w:spacing w:val="-12"/>
        </w:rPr>
        <w:t> </w:t>
      </w:r>
      <w:r>
        <w:rPr/>
        <w:t>in</w:t>
      </w:r>
      <w:r>
        <w:rPr>
          <w:spacing w:val="-12"/>
        </w:rPr>
        <w:t> </w:t>
      </w:r>
      <w:r>
        <w:rPr/>
        <w:t>question by the time of the survey. This is significantly lower than 2015, when 88 per cent said</w:t>
      </w:r>
      <w:r>
        <w:rPr>
          <w:spacing w:val="-8"/>
        </w:rPr>
        <w:t> </w:t>
      </w:r>
      <w:r>
        <w:rPr/>
        <w:t>the</w:t>
      </w:r>
      <w:r>
        <w:rPr>
          <w:spacing w:val="-8"/>
        </w:rPr>
        <w:t> </w:t>
      </w:r>
      <w:r>
        <w:rPr/>
        <w:t>same.</w:t>
      </w:r>
      <w:r>
        <w:rPr>
          <w:spacing w:val="-7"/>
        </w:rPr>
        <w:t> </w:t>
      </w:r>
      <w:r>
        <w:rPr/>
        <w:t>However,</w:t>
      </w:r>
      <w:r>
        <w:rPr>
          <w:spacing w:val="-7"/>
        </w:rPr>
        <w:t> </w:t>
      </w:r>
      <w:r>
        <w:rPr/>
        <w:t>the</w:t>
      </w:r>
      <w:r>
        <w:rPr>
          <w:spacing w:val="-8"/>
        </w:rPr>
        <w:t> </w:t>
      </w:r>
      <w:r>
        <w:rPr/>
        <w:t>overwhelming</w:t>
      </w:r>
      <w:r>
        <w:rPr>
          <w:spacing w:val="-8"/>
        </w:rPr>
        <w:t> </w:t>
      </w:r>
      <w:r>
        <w:rPr/>
        <w:t>pattern</w:t>
      </w:r>
      <w:r>
        <w:rPr>
          <w:spacing w:val="-7"/>
        </w:rPr>
        <w:t> </w:t>
      </w:r>
      <w:r>
        <w:rPr/>
        <w:t>remained</w:t>
      </w:r>
      <w:r>
        <w:rPr>
          <w:spacing w:val="-8"/>
        </w:rPr>
        <w:t> </w:t>
      </w:r>
      <w:r>
        <w:rPr/>
        <w:t>consistent</w:t>
      </w:r>
      <w:r>
        <w:rPr>
          <w:spacing w:val="-8"/>
        </w:rPr>
        <w:t> </w:t>
      </w:r>
      <w:r>
        <w:rPr/>
        <w:t>with</w:t>
      </w:r>
      <w:r>
        <w:rPr>
          <w:spacing w:val="-7"/>
        </w:rPr>
        <w:t> </w:t>
      </w:r>
      <w:r>
        <w:rPr/>
        <w:t>2015 – claimants tended</w:t>
      </w:r>
      <w:r>
        <w:rPr>
          <w:spacing w:val="-2"/>
        </w:rPr>
        <w:t> </w:t>
      </w:r>
      <w:r>
        <w:rPr/>
        <w:t>not</w:t>
      </w:r>
      <w:r>
        <w:rPr>
          <w:spacing w:val="-1"/>
        </w:rPr>
        <w:t> </w:t>
      </w:r>
      <w:r>
        <w:rPr/>
        <w:t>to</w:t>
      </w:r>
      <w:r>
        <w:rPr>
          <w:spacing w:val="-1"/>
        </w:rPr>
        <w:t> </w:t>
      </w:r>
      <w:r>
        <w:rPr/>
        <w:t>be employed by</w:t>
      </w:r>
      <w:r>
        <w:rPr>
          <w:spacing w:val="-1"/>
        </w:rPr>
        <w:t> </w:t>
      </w:r>
      <w:r>
        <w:rPr/>
        <w:t>the</w:t>
      </w:r>
      <w:r>
        <w:rPr>
          <w:spacing w:val="-1"/>
        </w:rPr>
        <w:t> </w:t>
      </w:r>
      <w:r>
        <w:rPr/>
        <w:t>employer they</w:t>
      </w:r>
      <w:r>
        <w:rPr>
          <w:spacing w:val="-1"/>
        </w:rPr>
        <w:t> </w:t>
      </w:r>
      <w:r>
        <w:rPr/>
        <w:t>were in dispute</w:t>
      </w:r>
      <w:r>
        <w:rPr>
          <w:spacing w:val="-1"/>
        </w:rPr>
        <w:t> </w:t>
      </w:r>
      <w:r>
        <w:rPr/>
        <w:t>with by the time of the survey (see Table 3).</w:t>
      </w:r>
    </w:p>
    <w:p>
      <w:pPr>
        <w:pStyle w:val="BodyText"/>
        <w:spacing w:before="1"/>
      </w:pPr>
    </w:p>
    <w:p>
      <w:pPr>
        <w:pStyle w:val="Heading3"/>
        <w:ind w:right="1474" w:hanging="1"/>
      </w:pPr>
      <w:r>
        <w:rPr/>
        <w:t>Table 3. Whether claimant still works for the same employer, as reported by claimants, employers and their representatives</w:t>
      </w:r>
    </w:p>
    <w:p>
      <w:pPr>
        <w:pStyle w:val="BodyText"/>
        <w:spacing w:before="3"/>
        <w:rPr>
          <w:b/>
          <w:sz w:val="4"/>
        </w:rPr>
      </w:pPr>
      <w:r>
        <w:rPr/>
        <w:drawing>
          <wp:anchor distT="0" distB="0" distL="0" distR="0" allowOverlap="1" layoutInCell="1" locked="0" behindDoc="0" simplePos="0" relativeHeight="9">
            <wp:simplePos x="0" y="0"/>
            <wp:positionH relativeFrom="page">
              <wp:posOffset>1281647</wp:posOffset>
            </wp:positionH>
            <wp:positionV relativeFrom="paragraph">
              <wp:posOffset>48152</wp:posOffset>
            </wp:positionV>
            <wp:extent cx="4903272" cy="1466850"/>
            <wp:effectExtent l="0" t="0" r="0" b="0"/>
            <wp:wrapTopAndBottom/>
            <wp:docPr id="13" name="image7.png" descr="Table showing whether claimant still works for the same employer, as reported by claimants, employers and their representatives."/>
            <wp:cNvGraphicFramePr>
              <a:graphicFrameLocks noChangeAspect="1"/>
            </wp:cNvGraphicFramePr>
            <a:graphic>
              <a:graphicData uri="http://schemas.openxmlformats.org/drawingml/2006/picture">
                <pic:pic>
                  <pic:nvPicPr>
                    <pic:cNvPr id="14" name="image7.png"/>
                    <pic:cNvPicPr/>
                  </pic:nvPicPr>
                  <pic:blipFill>
                    <a:blip r:embed="rId18" cstate="print"/>
                    <a:stretch>
                      <a:fillRect/>
                    </a:stretch>
                  </pic:blipFill>
                  <pic:spPr>
                    <a:xfrm>
                      <a:off x="0" y="0"/>
                      <a:ext cx="4903272" cy="1466850"/>
                    </a:xfrm>
                    <a:prstGeom prst="rect">
                      <a:avLst/>
                    </a:prstGeom>
                  </pic:spPr>
                </pic:pic>
              </a:graphicData>
            </a:graphic>
          </wp:anchor>
        </w:drawing>
      </w:r>
    </w:p>
    <w:p>
      <w:pPr>
        <w:spacing w:after="0"/>
        <w:rPr>
          <w:sz w:val="4"/>
        </w:rPr>
        <w:sectPr>
          <w:pgSz w:w="11910" w:h="16840"/>
          <w:pgMar w:header="0" w:footer="996" w:top="1340" w:bottom="1180" w:left="460" w:right="320"/>
        </w:sectPr>
      </w:pPr>
    </w:p>
    <w:p>
      <w:pPr>
        <w:pStyle w:val="BodyText"/>
        <w:spacing w:before="82"/>
        <w:ind w:left="1337" w:right="1474"/>
        <w:jc w:val="both"/>
      </w:pPr>
      <w:r>
        <w:rPr/>
        <w:t>Almost three quarters of claimant-side participants who no longer worked for the employer reported that the claimants’ employment had ended </w:t>
      </w:r>
      <w:r>
        <w:rPr>
          <w:i/>
        </w:rPr>
        <w:t>before </w:t>
      </w:r>
      <w:r>
        <w:rPr/>
        <w:t>the EC notification was submitted to Acas (73 per cent). However, just under a quarter (24 per cent) said they were still employed at the time of submitting the EC </w:t>
      </w:r>
      <w:r>
        <w:rPr>
          <w:spacing w:val="-2"/>
        </w:rPr>
        <w:t>notification.</w:t>
      </w:r>
    </w:p>
    <w:p>
      <w:pPr>
        <w:pStyle w:val="BodyText"/>
      </w:pPr>
    </w:p>
    <w:p>
      <w:pPr>
        <w:pStyle w:val="BodyText"/>
        <w:ind w:left="1337" w:right="1472"/>
        <w:jc w:val="both"/>
      </w:pPr>
      <w:r>
        <w:rPr/>
        <w:t>Across all the tracks, at the time of the survey the majority of claimants reported not being employed by the employer they had been in a dispute with.</w:t>
      </w:r>
    </w:p>
    <w:p>
      <w:pPr>
        <w:pStyle w:val="BodyText"/>
      </w:pPr>
    </w:p>
    <w:p>
      <w:pPr>
        <w:pStyle w:val="BodyText"/>
        <w:spacing w:before="1"/>
        <w:ind w:left="1337" w:right="1474"/>
        <w:jc w:val="both"/>
      </w:pPr>
      <w:r>
        <w:rPr/>
        <w:t>However,</w:t>
      </w:r>
      <w:r>
        <w:rPr>
          <w:spacing w:val="-4"/>
        </w:rPr>
        <w:t> </w:t>
      </w:r>
      <w:r>
        <w:rPr/>
        <w:t>claimants</w:t>
      </w:r>
      <w:r>
        <w:rPr>
          <w:spacing w:val="-3"/>
        </w:rPr>
        <w:t> </w:t>
      </w:r>
      <w:r>
        <w:rPr/>
        <w:t>who</w:t>
      </w:r>
      <w:r>
        <w:rPr>
          <w:spacing w:val="-3"/>
        </w:rPr>
        <w:t> </w:t>
      </w:r>
      <w:r>
        <w:rPr/>
        <w:t>were</w:t>
      </w:r>
      <w:r>
        <w:rPr>
          <w:spacing w:val="-4"/>
        </w:rPr>
        <w:t> </w:t>
      </w:r>
      <w:r>
        <w:rPr/>
        <w:t>involved</w:t>
      </w:r>
      <w:r>
        <w:rPr>
          <w:spacing w:val="-3"/>
        </w:rPr>
        <w:t> </w:t>
      </w:r>
      <w:r>
        <w:rPr/>
        <w:t>in</w:t>
      </w:r>
      <w:r>
        <w:rPr>
          <w:spacing w:val="-4"/>
        </w:rPr>
        <w:t> </w:t>
      </w:r>
      <w:r>
        <w:rPr/>
        <w:t>open</w:t>
      </w:r>
      <w:r>
        <w:rPr>
          <w:spacing w:val="-4"/>
        </w:rPr>
        <w:t> </w:t>
      </w:r>
      <w:r>
        <w:rPr/>
        <w:t>track</w:t>
      </w:r>
      <w:r>
        <w:rPr>
          <w:spacing w:val="-4"/>
        </w:rPr>
        <w:t> </w:t>
      </w:r>
      <w:r>
        <w:rPr/>
        <w:t>and</w:t>
      </w:r>
      <w:r>
        <w:rPr>
          <w:spacing w:val="-4"/>
        </w:rPr>
        <w:t> </w:t>
      </w:r>
      <w:r>
        <w:rPr/>
        <w:t>fast</w:t>
      </w:r>
      <w:r>
        <w:rPr>
          <w:spacing w:val="-4"/>
        </w:rPr>
        <w:t> </w:t>
      </w:r>
      <w:r>
        <w:rPr/>
        <w:t>track</w:t>
      </w:r>
      <w:r>
        <w:rPr>
          <w:spacing w:val="-4"/>
        </w:rPr>
        <w:t> </w:t>
      </w:r>
      <w:r>
        <w:rPr/>
        <w:t>disputes</w:t>
      </w:r>
      <w:r>
        <w:rPr>
          <w:spacing w:val="-5"/>
        </w:rPr>
        <w:t> </w:t>
      </w:r>
      <w:r>
        <w:rPr/>
        <w:t>were, at the time of the survey, the most likely to still be employed by the organisation they</w:t>
      </w:r>
      <w:r>
        <w:rPr>
          <w:spacing w:val="-14"/>
        </w:rPr>
        <w:t> </w:t>
      </w:r>
      <w:r>
        <w:rPr/>
        <w:t>had</w:t>
      </w:r>
      <w:r>
        <w:rPr>
          <w:spacing w:val="-14"/>
        </w:rPr>
        <w:t> </w:t>
      </w:r>
      <w:r>
        <w:rPr/>
        <w:t>been</w:t>
      </w:r>
      <w:r>
        <w:rPr>
          <w:spacing w:val="-12"/>
        </w:rPr>
        <w:t> </w:t>
      </w:r>
      <w:r>
        <w:rPr/>
        <w:t>in</w:t>
      </w:r>
      <w:r>
        <w:rPr>
          <w:spacing w:val="-14"/>
        </w:rPr>
        <w:t> </w:t>
      </w:r>
      <w:r>
        <w:rPr/>
        <w:t>dispute</w:t>
      </w:r>
      <w:r>
        <w:rPr>
          <w:spacing w:val="-13"/>
        </w:rPr>
        <w:t> </w:t>
      </w:r>
      <w:r>
        <w:rPr/>
        <w:t>with</w:t>
      </w:r>
      <w:r>
        <w:rPr>
          <w:spacing w:val="-15"/>
        </w:rPr>
        <w:t> </w:t>
      </w:r>
      <w:r>
        <w:rPr/>
        <w:t>(24</w:t>
      </w:r>
      <w:r>
        <w:rPr>
          <w:spacing w:val="-14"/>
        </w:rPr>
        <w:t> </w:t>
      </w:r>
      <w:r>
        <w:rPr/>
        <w:t>per</w:t>
      </w:r>
      <w:r>
        <w:rPr>
          <w:spacing w:val="-13"/>
        </w:rPr>
        <w:t> </w:t>
      </w:r>
      <w:r>
        <w:rPr/>
        <w:t>cent</w:t>
      </w:r>
      <w:r>
        <w:rPr>
          <w:spacing w:val="-14"/>
        </w:rPr>
        <w:t> </w:t>
      </w:r>
      <w:r>
        <w:rPr/>
        <w:t>and</w:t>
      </w:r>
      <w:r>
        <w:rPr>
          <w:spacing w:val="-15"/>
        </w:rPr>
        <w:t> </w:t>
      </w:r>
      <w:r>
        <w:rPr/>
        <w:t>20</w:t>
      </w:r>
      <w:r>
        <w:rPr>
          <w:spacing w:val="-13"/>
        </w:rPr>
        <w:t> </w:t>
      </w:r>
      <w:r>
        <w:rPr/>
        <w:t>per</w:t>
      </w:r>
      <w:r>
        <w:rPr>
          <w:spacing w:val="-14"/>
        </w:rPr>
        <w:t> </w:t>
      </w:r>
      <w:r>
        <w:rPr/>
        <w:t>cent</w:t>
      </w:r>
      <w:r>
        <w:rPr>
          <w:spacing w:val="-15"/>
        </w:rPr>
        <w:t> </w:t>
      </w:r>
      <w:r>
        <w:rPr/>
        <w:t>respectively),</w:t>
      </w:r>
      <w:r>
        <w:rPr>
          <w:spacing w:val="-14"/>
        </w:rPr>
        <w:t> </w:t>
      </w:r>
      <w:r>
        <w:rPr/>
        <w:t>compared to those in standard track (five per cent) disputes. This followed a similar pattern to the differences by track in 2015.</w:t>
      </w:r>
    </w:p>
    <w:p>
      <w:pPr>
        <w:pStyle w:val="BodyText"/>
        <w:rPr>
          <w:sz w:val="24"/>
        </w:rPr>
      </w:pPr>
    </w:p>
    <w:p>
      <w:pPr>
        <w:pStyle w:val="Heading3"/>
        <w:numPr>
          <w:ilvl w:val="1"/>
          <w:numId w:val="2"/>
        </w:numPr>
        <w:tabs>
          <w:tab w:pos="1974" w:val="left" w:leader="none"/>
        </w:tabs>
        <w:spacing w:line="240" w:lineRule="auto" w:before="195" w:after="0"/>
        <w:ind w:left="1973" w:right="0" w:hanging="637"/>
        <w:jc w:val="both"/>
      </w:pPr>
      <w:bookmarkStart w:name="7.5  End of employment" w:id="44"/>
      <w:bookmarkEnd w:id="44"/>
      <w:r>
        <w:rPr>
          <w:b w:val="0"/>
        </w:rPr>
      </w:r>
      <w:bookmarkStart w:name="_bookmark11" w:id="45"/>
      <w:bookmarkEnd w:id="45"/>
      <w:r>
        <w:rPr/>
        <w:t>E</w:t>
      </w:r>
      <w:r>
        <w:rPr/>
        <w:t>nd</w:t>
      </w:r>
      <w:r>
        <w:rPr>
          <w:spacing w:val="-2"/>
        </w:rPr>
        <w:t> </w:t>
      </w:r>
      <w:r>
        <w:rPr/>
        <w:t>of</w:t>
      </w:r>
      <w:r>
        <w:rPr>
          <w:spacing w:val="-1"/>
        </w:rPr>
        <w:t> </w:t>
      </w:r>
      <w:r>
        <w:rPr>
          <w:spacing w:val="-2"/>
        </w:rPr>
        <w:t>employment</w:t>
      </w:r>
    </w:p>
    <w:p>
      <w:pPr>
        <w:pStyle w:val="BodyText"/>
        <w:spacing w:before="119"/>
        <w:ind w:left="1337" w:right="1474"/>
        <w:jc w:val="both"/>
      </w:pPr>
      <w:r>
        <w:rPr/>
        <w:t>Among</w:t>
      </w:r>
      <w:r>
        <w:rPr>
          <w:spacing w:val="-3"/>
        </w:rPr>
        <w:t> </w:t>
      </w:r>
      <w:r>
        <w:rPr/>
        <w:t>claimant-side</w:t>
      </w:r>
      <w:r>
        <w:rPr>
          <w:spacing w:val="-3"/>
        </w:rPr>
        <w:t> </w:t>
      </w:r>
      <w:r>
        <w:rPr/>
        <w:t>participants,</w:t>
      </w:r>
      <w:r>
        <w:rPr>
          <w:spacing w:val="-3"/>
        </w:rPr>
        <w:t> </w:t>
      </w:r>
      <w:r>
        <w:rPr/>
        <w:t>the</w:t>
      </w:r>
      <w:r>
        <w:rPr>
          <w:spacing w:val="-3"/>
        </w:rPr>
        <w:t> </w:t>
      </w:r>
      <w:r>
        <w:rPr/>
        <w:t>most</w:t>
      </w:r>
      <w:r>
        <w:rPr>
          <w:spacing w:val="-3"/>
        </w:rPr>
        <w:t> </w:t>
      </w:r>
      <w:r>
        <w:rPr/>
        <w:t>commonly</w:t>
      </w:r>
      <w:r>
        <w:rPr>
          <w:spacing w:val="-3"/>
        </w:rPr>
        <w:t> </w:t>
      </w:r>
      <w:r>
        <w:rPr/>
        <w:t>cited</w:t>
      </w:r>
      <w:r>
        <w:rPr>
          <w:spacing w:val="-3"/>
        </w:rPr>
        <w:t> </w:t>
      </w:r>
      <w:r>
        <w:rPr/>
        <w:t>reason</w:t>
      </w:r>
      <w:r>
        <w:rPr>
          <w:spacing w:val="-2"/>
        </w:rPr>
        <w:t> </w:t>
      </w:r>
      <w:r>
        <w:rPr/>
        <w:t>for</w:t>
      </w:r>
      <w:r>
        <w:rPr>
          <w:spacing w:val="-3"/>
        </w:rPr>
        <w:t> </w:t>
      </w:r>
      <w:r>
        <w:rPr/>
        <w:t>the</w:t>
      </w:r>
      <w:r>
        <w:rPr>
          <w:spacing w:val="-3"/>
        </w:rPr>
        <w:t> </w:t>
      </w:r>
      <w:r>
        <w:rPr/>
        <w:t>ending of</w:t>
      </w:r>
      <w:r>
        <w:rPr>
          <w:spacing w:val="-10"/>
        </w:rPr>
        <w:t> </w:t>
      </w:r>
      <w:r>
        <w:rPr/>
        <w:t>the</w:t>
      </w:r>
      <w:r>
        <w:rPr>
          <w:spacing w:val="-11"/>
        </w:rPr>
        <w:t> </w:t>
      </w:r>
      <w:r>
        <w:rPr/>
        <w:t>claimant’s</w:t>
      </w:r>
      <w:r>
        <w:rPr>
          <w:spacing w:val="-11"/>
        </w:rPr>
        <w:t> </w:t>
      </w:r>
      <w:r>
        <w:rPr/>
        <w:t>employment</w:t>
      </w:r>
      <w:r>
        <w:rPr>
          <w:spacing w:val="-11"/>
        </w:rPr>
        <w:t> </w:t>
      </w:r>
      <w:r>
        <w:rPr/>
        <w:t>was</w:t>
      </w:r>
      <w:r>
        <w:rPr>
          <w:spacing w:val="-13"/>
        </w:rPr>
        <w:t> </w:t>
      </w:r>
      <w:r>
        <w:rPr/>
        <w:t>that</w:t>
      </w:r>
      <w:r>
        <w:rPr>
          <w:spacing w:val="-11"/>
        </w:rPr>
        <w:t> </w:t>
      </w:r>
      <w:r>
        <w:rPr/>
        <w:t>they</w:t>
      </w:r>
      <w:r>
        <w:rPr>
          <w:spacing w:val="-11"/>
        </w:rPr>
        <w:t> </w:t>
      </w:r>
      <w:r>
        <w:rPr/>
        <w:t>had</w:t>
      </w:r>
      <w:r>
        <w:rPr>
          <w:spacing w:val="-10"/>
        </w:rPr>
        <w:t> </w:t>
      </w:r>
      <w:r>
        <w:rPr/>
        <w:t>been</w:t>
      </w:r>
      <w:r>
        <w:rPr>
          <w:spacing w:val="-11"/>
        </w:rPr>
        <w:t> </w:t>
      </w:r>
      <w:r>
        <w:rPr/>
        <w:t>dismissed</w:t>
      </w:r>
      <w:r>
        <w:rPr>
          <w:spacing w:val="-10"/>
        </w:rPr>
        <w:t> </w:t>
      </w:r>
      <w:r>
        <w:rPr/>
        <w:t>(37</w:t>
      </w:r>
      <w:r>
        <w:rPr>
          <w:spacing w:val="-12"/>
        </w:rPr>
        <w:t> </w:t>
      </w:r>
      <w:r>
        <w:rPr/>
        <w:t>per</w:t>
      </w:r>
      <w:r>
        <w:rPr>
          <w:spacing w:val="-11"/>
        </w:rPr>
        <w:t> </w:t>
      </w:r>
      <w:r>
        <w:rPr/>
        <w:t>cent).</w:t>
      </w:r>
      <w:r>
        <w:rPr>
          <w:spacing w:val="-11"/>
        </w:rPr>
        <w:t> </w:t>
      </w:r>
      <w:r>
        <w:rPr/>
        <w:t>The next most common reason was that the claimant had resigned (27 per cent). In 2015, the top two reasons were the same, when 41 per cent reported being dismissed and 23 per cent reported resigning.</w:t>
      </w:r>
    </w:p>
    <w:p>
      <w:pPr>
        <w:pStyle w:val="BodyText"/>
      </w:pPr>
    </w:p>
    <w:p>
      <w:pPr>
        <w:pStyle w:val="BodyText"/>
        <w:ind w:left="1337" w:right="1473" w:hanging="1"/>
        <w:jc w:val="both"/>
      </w:pPr>
      <w:r>
        <w:rPr/>
        <w:t>Three quarters (75 per cent) of claimant-side participants reported that the claimants’</w:t>
      </w:r>
      <w:r>
        <w:rPr>
          <w:spacing w:val="-3"/>
        </w:rPr>
        <w:t> </w:t>
      </w:r>
      <w:r>
        <w:rPr/>
        <w:t>employment</w:t>
      </w:r>
      <w:r>
        <w:rPr>
          <w:spacing w:val="-3"/>
        </w:rPr>
        <w:t> </w:t>
      </w:r>
      <w:r>
        <w:rPr/>
        <w:t>had</w:t>
      </w:r>
      <w:r>
        <w:rPr>
          <w:spacing w:val="-3"/>
        </w:rPr>
        <w:t> </w:t>
      </w:r>
      <w:r>
        <w:rPr/>
        <w:t>ended</w:t>
      </w:r>
      <w:r>
        <w:rPr>
          <w:spacing w:val="-4"/>
        </w:rPr>
        <w:t> </w:t>
      </w:r>
      <w:r>
        <w:rPr/>
        <w:t>because</w:t>
      </w:r>
      <w:r>
        <w:rPr>
          <w:spacing w:val="-4"/>
        </w:rPr>
        <w:t> </w:t>
      </w:r>
      <w:r>
        <w:rPr/>
        <w:t>of</w:t>
      </w:r>
      <w:r>
        <w:rPr>
          <w:spacing w:val="-3"/>
        </w:rPr>
        <w:t> </w:t>
      </w:r>
      <w:r>
        <w:rPr/>
        <w:t>the</w:t>
      </w:r>
      <w:r>
        <w:rPr>
          <w:spacing w:val="-4"/>
        </w:rPr>
        <w:t> </w:t>
      </w:r>
      <w:r>
        <w:rPr/>
        <w:t>dispute.</w:t>
      </w:r>
      <w:r>
        <w:rPr>
          <w:spacing w:val="-4"/>
        </w:rPr>
        <w:t> </w:t>
      </w:r>
      <w:r>
        <w:rPr/>
        <w:t>This</w:t>
      </w:r>
      <w:r>
        <w:rPr>
          <w:spacing w:val="-3"/>
        </w:rPr>
        <w:t> </w:t>
      </w:r>
      <w:r>
        <w:rPr/>
        <w:t>left</w:t>
      </w:r>
      <w:r>
        <w:rPr>
          <w:spacing w:val="-3"/>
        </w:rPr>
        <w:t> </w:t>
      </w:r>
      <w:r>
        <w:rPr/>
        <w:t>22</w:t>
      </w:r>
      <w:r>
        <w:rPr>
          <w:spacing w:val="-5"/>
        </w:rPr>
        <w:t> </w:t>
      </w:r>
      <w:r>
        <w:rPr/>
        <w:t>per</w:t>
      </w:r>
      <w:r>
        <w:rPr>
          <w:spacing w:val="-4"/>
        </w:rPr>
        <w:t> </w:t>
      </w:r>
      <w:r>
        <w:rPr/>
        <w:t>cent</w:t>
      </w:r>
      <w:r>
        <w:rPr>
          <w:spacing w:val="-3"/>
        </w:rPr>
        <w:t> </w:t>
      </w:r>
      <w:r>
        <w:rPr/>
        <w:t>for whom</w:t>
      </w:r>
      <w:r>
        <w:rPr>
          <w:spacing w:val="-4"/>
        </w:rPr>
        <w:t> </w:t>
      </w:r>
      <w:r>
        <w:rPr/>
        <w:t>the</w:t>
      </w:r>
      <w:r>
        <w:rPr>
          <w:spacing w:val="-4"/>
        </w:rPr>
        <w:t> </w:t>
      </w:r>
      <w:r>
        <w:rPr/>
        <w:t>dispute</w:t>
      </w:r>
      <w:r>
        <w:rPr>
          <w:spacing w:val="-2"/>
        </w:rPr>
        <w:t> </w:t>
      </w:r>
      <w:r>
        <w:rPr/>
        <w:t>had</w:t>
      </w:r>
      <w:r>
        <w:rPr>
          <w:spacing w:val="-4"/>
        </w:rPr>
        <w:t> </w:t>
      </w:r>
      <w:r>
        <w:rPr/>
        <w:t>no</w:t>
      </w:r>
      <w:r>
        <w:rPr>
          <w:spacing w:val="-2"/>
        </w:rPr>
        <w:t> </w:t>
      </w:r>
      <w:r>
        <w:rPr/>
        <w:t>relation</w:t>
      </w:r>
      <w:r>
        <w:rPr>
          <w:spacing w:val="-1"/>
        </w:rPr>
        <w:t> </w:t>
      </w:r>
      <w:r>
        <w:rPr/>
        <w:t>to</w:t>
      </w:r>
      <w:r>
        <w:rPr>
          <w:spacing w:val="-2"/>
        </w:rPr>
        <w:t> </w:t>
      </w:r>
      <w:r>
        <w:rPr/>
        <w:t>the</w:t>
      </w:r>
      <w:r>
        <w:rPr>
          <w:spacing w:val="-2"/>
        </w:rPr>
        <w:t> </w:t>
      </w:r>
      <w:r>
        <w:rPr/>
        <w:t>termination</w:t>
      </w:r>
      <w:r>
        <w:rPr>
          <w:spacing w:val="-1"/>
        </w:rPr>
        <w:t> </w:t>
      </w:r>
      <w:r>
        <w:rPr/>
        <w:t>of</w:t>
      </w:r>
      <w:r>
        <w:rPr>
          <w:spacing w:val="-3"/>
        </w:rPr>
        <w:t> </w:t>
      </w:r>
      <w:r>
        <w:rPr/>
        <w:t>their</w:t>
      </w:r>
      <w:r>
        <w:rPr>
          <w:spacing w:val="-2"/>
        </w:rPr>
        <w:t> </w:t>
      </w:r>
      <w:r>
        <w:rPr/>
        <w:t>employment</w:t>
      </w:r>
      <w:r>
        <w:rPr>
          <w:spacing w:val="-3"/>
        </w:rPr>
        <w:t> </w:t>
      </w:r>
      <w:r>
        <w:rPr/>
        <w:t>with</w:t>
      </w:r>
      <w:r>
        <w:rPr>
          <w:spacing w:val="-3"/>
        </w:rPr>
        <w:t> </w:t>
      </w:r>
      <w:r>
        <w:rPr/>
        <w:t>the organisation involved. These findings are consistent with those from the 2015 </w:t>
      </w:r>
      <w:r>
        <w:rPr>
          <w:spacing w:val="-2"/>
        </w:rPr>
        <w:t>survey.</w:t>
      </w:r>
    </w:p>
    <w:p>
      <w:pPr>
        <w:pStyle w:val="BodyText"/>
        <w:rPr>
          <w:sz w:val="24"/>
        </w:rPr>
      </w:pPr>
    </w:p>
    <w:p>
      <w:pPr>
        <w:pStyle w:val="Heading3"/>
        <w:numPr>
          <w:ilvl w:val="1"/>
          <w:numId w:val="2"/>
        </w:numPr>
        <w:tabs>
          <w:tab w:pos="1974" w:val="left" w:leader="none"/>
        </w:tabs>
        <w:spacing w:line="240" w:lineRule="auto" w:before="197" w:after="0"/>
        <w:ind w:left="1973" w:right="0" w:hanging="637"/>
        <w:jc w:val="both"/>
      </w:pPr>
      <w:bookmarkStart w:name="7.6  Written policies and procedures" w:id="46"/>
      <w:bookmarkEnd w:id="46"/>
      <w:r>
        <w:rPr>
          <w:b w:val="0"/>
        </w:rPr>
      </w:r>
      <w:bookmarkStart w:name="_bookmark12" w:id="47"/>
      <w:bookmarkEnd w:id="47"/>
      <w:r>
        <w:rPr/>
        <w:t>Wri</w:t>
      </w:r>
      <w:r>
        <w:rPr/>
        <w:t>tten</w:t>
      </w:r>
      <w:r>
        <w:rPr>
          <w:spacing w:val="-5"/>
        </w:rPr>
        <w:t> </w:t>
      </w:r>
      <w:r>
        <w:rPr/>
        <w:t>policies</w:t>
      </w:r>
      <w:r>
        <w:rPr>
          <w:spacing w:val="-5"/>
        </w:rPr>
        <w:t> </w:t>
      </w:r>
      <w:r>
        <w:rPr/>
        <w:t>and</w:t>
      </w:r>
      <w:r>
        <w:rPr>
          <w:spacing w:val="-5"/>
        </w:rPr>
        <w:t> </w:t>
      </w:r>
      <w:r>
        <w:rPr>
          <w:spacing w:val="-2"/>
        </w:rPr>
        <w:t>procedures</w:t>
      </w:r>
    </w:p>
    <w:p>
      <w:pPr>
        <w:pStyle w:val="BodyText"/>
        <w:spacing w:before="119"/>
        <w:ind w:left="1336" w:right="1473"/>
        <w:jc w:val="both"/>
      </w:pPr>
      <w:r>
        <w:rPr/>
        <w:t>Half of all claimant-side participants reported that their employer had written policies</w:t>
      </w:r>
      <w:r>
        <w:rPr>
          <w:spacing w:val="-14"/>
        </w:rPr>
        <w:t> </w:t>
      </w:r>
      <w:r>
        <w:rPr/>
        <w:t>and</w:t>
      </w:r>
      <w:r>
        <w:rPr>
          <w:spacing w:val="-14"/>
        </w:rPr>
        <w:t> </w:t>
      </w:r>
      <w:r>
        <w:rPr/>
        <w:t>procedures</w:t>
      </w:r>
      <w:r>
        <w:rPr>
          <w:spacing w:val="-15"/>
        </w:rPr>
        <w:t> </w:t>
      </w:r>
      <w:r>
        <w:rPr/>
        <w:t>for</w:t>
      </w:r>
      <w:r>
        <w:rPr>
          <w:spacing w:val="-14"/>
        </w:rPr>
        <w:t> </w:t>
      </w:r>
      <w:r>
        <w:rPr/>
        <w:t>dealing</w:t>
      </w:r>
      <w:r>
        <w:rPr>
          <w:spacing w:val="-14"/>
        </w:rPr>
        <w:t> </w:t>
      </w:r>
      <w:r>
        <w:rPr/>
        <w:t>with</w:t>
      </w:r>
      <w:r>
        <w:rPr>
          <w:spacing w:val="-13"/>
        </w:rPr>
        <w:t> </w:t>
      </w:r>
      <w:r>
        <w:rPr/>
        <w:t>employment</w:t>
      </w:r>
      <w:r>
        <w:rPr>
          <w:spacing w:val="-14"/>
        </w:rPr>
        <w:t> </w:t>
      </w:r>
      <w:r>
        <w:rPr/>
        <w:t>disputes</w:t>
      </w:r>
      <w:r>
        <w:rPr>
          <w:spacing w:val="-14"/>
        </w:rPr>
        <w:t> </w:t>
      </w:r>
      <w:r>
        <w:rPr/>
        <w:t>(49</w:t>
      </w:r>
      <w:r>
        <w:rPr>
          <w:spacing w:val="-14"/>
        </w:rPr>
        <w:t> </w:t>
      </w:r>
      <w:r>
        <w:rPr/>
        <w:t>per</w:t>
      </w:r>
      <w:r>
        <w:rPr>
          <w:spacing w:val="-14"/>
        </w:rPr>
        <w:t> </w:t>
      </w:r>
      <w:r>
        <w:rPr/>
        <w:t>cent).</w:t>
      </w:r>
      <w:r>
        <w:rPr>
          <w:spacing w:val="-15"/>
        </w:rPr>
        <w:t> </w:t>
      </w:r>
      <w:r>
        <w:rPr/>
        <w:t>Of</w:t>
      </w:r>
      <w:r>
        <w:rPr>
          <w:spacing w:val="-15"/>
        </w:rPr>
        <w:t> </w:t>
      </w:r>
      <w:r>
        <w:rPr/>
        <w:t>this group,</w:t>
      </w:r>
      <w:r>
        <w:rPr>
          <w:spacing w:val="-10"/>
        </w:rPr>
        <w:t> </w:t>
      </w:r>
      <w:r>
        <w:rPr/>
        <w:t>two</w:t>
      </w:r>
      <w:r>
        <w:rPr>
          <w:spacing w:val="-11"/>
        </w:rPr>
        <w:t> </w:t>
      </w:r>
      <w:r>
        <w:rPr/>
        <w:t>in</w:t>
      </w:r>
      <w:r>
        <w:rPr>
          <w:spacing w:val="-10"/>
        </w:rPr>
        <w:t> </w:t>
      </w:r>
      <w:r>
        <w:rPr/>
        <w:t>ten</w:t>
      </w:r>
      <w:r>
        <w:rPr>
          <w:spacing w:val="-11"/>
        </w:rPr>
        <w:t> </w:t>
      </w:r>
      <w:r>
        <w:rPr/>
        <w:t>said</w:t>
      </w:r>
      <w:r>
        <w:rPr>
          <w:spacing w:val="-10"/>
        </w:rPr>
        <w:t> </w:t>
      </w:r>
      <w:r>
        <w:rPr/>
        <w:t>that</w:t>
      </w:r>
      <w:r>
        <w:rPr>
          <w:spacing w:val="-10"/>
        </w:rPr>
        <w:t> </w:t>
      </w:r>
      <w:r>
        <w:rPr/>
        <w:t>these</w:t>
      </w:r>
      <w:r>
        <w:rPr>
          <w:spacing w:val="-11"/>
        </w:rPr>
        <w:t> </w:t>
      </w:r>
      <w:r>
        <w:rPr/>
        <w:t>had</w:t>
      </w:r>
      <w:r>
        <w:rPr>
          <w:spacing w:val="-10"/>
        </w:rPr>
        <w:t> </w:t>
      </w:r>
      <w:r>
        <w:rPr/>
        <w:t>been</w:t>
      </w:r>
      <w:r>
        <w:rPr>
          <w:spacing w:val="-10"/>
        </w:rPr>
        <w:t> </w:t>
      </w:r>
      <w:r>
        <w:rPr/>
        <w:t>followed</w:t>
      </w:r>
      <w:r>
        <w:rPr>
          <w:spacing w:val="-10"/>
        </w:rPr>
        <w:t> </w:t>
      </w:r>
      <w:r>
        <w:rPr/>
        <w:t>fully</w:t>
      </w:r>
      <w:r>
        <w:rPr>
          <w:spacing w:val="-10"/>
        </w:rPr>
        <w:t> </w:t>
      </w:r>
      <w:r>
        <w:rPr/>
        <w:t>(23</w:t>
      </w:r>
      <w:r>
        <w:rPr>
          <w:spacing w:val="-11"/>
        </w:rPr>
        <w:t> </w:t>
      </w:r>
      <w:r>
        <w:rPr/>
        <w:t>per</w:t>
      </w:r>
      <w:r>
        <w:rPr>
          <w:spacing w:val="-11"/>
        </w:rPr>
        <w:t> </w:t>
      </w:r>
      <w:r>
        <w:rPr/>
        <w:t>cent);</w:t>
      </w:r>
      <w:r>
        <w:rPr>
          <w:spacing w:val="-10"/>
        </w:rPr>
        <w:t> </w:t>
      </w:r>
      <w:r>
        <w:rPr/>
        <w:t>three</w:t>
      </w:r>
      <w:r>
        <w:rPr>
          <w:spacing w:val="-11"/>
        </w:rPr>
        <w:t> </w:t>
      </w:r>
      <w:r>
        <w:rPr/>
        <w:t>in</w:t>
      </w:r>
      <w:r>
        <w:rPr>
          <w:spacing w:val="-10"/>
        </w:rPr>
        <w:t> </w:t>
      </w:r>
      <w:r>
        <w:rPr/>
        <w:t>ten (29</w:t>
      </w:r>
      <w:r>
        <w:rPr>
          <w:spacing w:val="-12"/>
        </w:rPr>
        <w:t> </w:t>
      </w:r>
      <w:r>
        <w:rPr/>
        <w:t>per</w:t>
      </w:r>
      <w:r>
        <w:rPr>
          <w:spacing w:val="-12"/>
        </w:rPr>
        <w:t> </w:t>
      </w:r>
      <w:r>
        <w:rPr/>
        <w:t>cent)</w:t>
      </w:r>
      <w:r>
        <w:rPr>
          <w:spacing w:val="-11"/>
        </w:rPr>
        <w:t> </w:t>
      </w:r>
      <w:r>
        <w:rPr/>
        <w:t>felt</w:t>
      </w:r>
      <w:r>
        <w:rPr>
          <w:spacing w:val="-11"/>
        </w:rPr>
        <w:t> </w:t>
      </w:r>
      <w:r>
        <w:rPr/>
        <w:t>they</w:t>
      </w:r>
      <w:r>
        <w:rPr>
          <w:spacing w:val="-13"/>
        </w:rPr>
        <w:t> </w:t>
      </w:r>
      <w:r>
        <w:rPr/>
        <w:t>had</w:t>
      </w:r>
      <w:r>
        <w:rPr>
          <w:spacing w:val="-12"/>
        </w:rPr>
        <w:t> </w:t>
      </w:r>
      <w:r>
        <w:rPr/>
        <w:t>been</w:t>
      </w:r>
      <w:r>
        <w:rPr>
          <w:spacing w:val="-11"/>
        </w:rPr>
        <w:t> </w:t>
      </w:r>
      <w:r>
        <w:rPr/>
        <w:t>partially</w:t>
      </w:r>
      <w:r>
        <w:rPr>
          <w:spacing w:val="-11"/>
        </w:rPr>
        <w:t> </w:t>
      </w:r>
      <w:r>
        <w:rPr/>
        <w:t>followed</w:t>
      </w:r>
      <w:r>
        <w:rPr>
          <w:spacing w:val="-12"/>
        </w:rPr>
        <w:t> </w:t>
      </w:r>
      <w:r>
        <w:rPr/>
        <w:t>and</w:t>
      </w:r>
      <w:r>
        <w:rPr>
          <w:spacing w:val="-13"/>
        </w:rPr>
        <w:t> </w:t>
      </w:r>
      <w:r>
        <w:rPr/>
        <w:t>four</w:t>
      </w:r>
      <w:r>
        <w:rPr>
          <w:spacing w:val="-13"/>
        </w:rPr>
        <w:t> </w:t>
      </w:r>
      <w:r>
        <w:rPr/>
        <w:t>in</w:t>
      </w:r>
      <w:r>
        <w:rPr>
          <w:spacing w:val="-11"/>
        </w:rPr>
        <w:t> </w:t>
      </w:r>
      <w:r>
        <w:rPr/>
        <w:t>ten</w:t>
      </w:r>
      <w:r>
        <w:rPr>
          <w:spacing w:val="-12"/>
        </w:rPr>
        <w:t> </w:t>
      </w:r>
      <w:r>
        <w:rPr/>
        <w:t>(42</w:t>
      </w:r>
      <w:r>
        <w:rPr>
          <w:spacing w:val="-12"/>
        </w:rPr>
        <w:t> </w:t>
      </w:r>
      <w:r>
        <w:rPr/>
        <w:t>per</w:t>
      </w:r>
      <w:r>
        <w:rPr>
          <w:spacing w:val="-12"/>
        </w:rPr>
        <w:t> </w:t>
      </w:r>
      <w:r>
        <w:rPr/>
        <w:t>cent)</w:t>
      </w:r>
      <w:r>
        <w:rPr>
          <w:spacing w:val="-13"/>
        </w:rPr>
        <w:t> </w:t>
      </w:r>
      <w:r>
        <w:rPr/>
        <w:t>said they</w:t>
      </w:r>
      <w:r>
        <w:rPr>
          <w:spacing w:val="-11"/>
        </w:rPr>
        <w:t> </w:t>
      </w:r>
      <w:r>
        <w:rPr/>
        <w:t>had</w:t>
      </w:r>
      <w:r>
        <w:rPr>
          <w:spacing w:val="-12"/>
        </w:rPr>
        <w:t> </w:t>
      </w:r>
      <w:r>
        <w:rPr/>
        <w:t>not</w:t>
      </w:r>
      <w:r>
        <w:rPr>
          <w:spacing w:val="-11"/>
        </w:rPr>
        <w:t> </w:t>
      </w:r>
      <w:r>
        <w:rPr/>
        <w:t>been</w:t>
      </w:r>
      <w:r>
        <w:rPr>
          <w:spacing w:val="-11"/>
        </w:rPr>
        <w:t> </w:t>
      </w:r>
      <w:r>
        <w:rPr/>
        <w:t>followed</w:t>
      </w:r>
      <w:r>
        <w:rPr>
          <w:spacing w:val="-12"/>
        </w:rPr>
        <w:t> </w:t>
      </w:r>
      <w:r>
        <w:rPr/>
        <w:t>at</w:t>
      </w:r>
      <w:r>
        <w:rPr>
          <w:spacing w:val="-11"/>
        </w:rPr>
        <w:t> </w:t>
      </w:r>
      <w:r>
        <w:rPr/>
        <w:t>all.</w:t>
      </w:r>
      <w:r>
        <w:rPr>
          <w:spacing w:val="-11"/>
        </w:rPr>
        <w:t> </w:t>
      </w:r>
      <w:r>
        <w:rPr/>
        <w:t>These</w:t>
      </w:r>
      <w:r>
        <w:rPr>
          <w:spacing w:val="-12"/>
        </w:rPr>
        <w:t> </w:t>
      </w:r>
      <w:r>
        <w:rPr/>
        <w:t>findings</w:t>
      </w:r>
      <w:r>
        <w:rPr>
          <w:spacing w:val="-12"/>
        </w:rPr>
        <w:t> </w:t>
      </w:r>
      <w:r>
        <w:rPr/>
        <w:t>are</w:t>
      </w:r>
      <w:r>
        <w:rPr>
          <w:spacing w:val="-12"/>
        </w:rPr>
        <w:t> </w:t>
      </w:r>
      <w:r>
        <w:rPr/>
        <w:t>consistent</w:t>
      </w:r>
      <w:r>
        <w:rPr>
          <w:spacing w:val="-11"/>
        </w:rPr>
        <w:t> </w:t>
      </w:r>
      <w:r>
        <w:rPr/>
        <w:t>with</w:t>
      </w:r>
      <w:r>
        <w:rPr>
          <w:spacing w:val="-11"/>
        </w:rPr>
        <w:t> </w:t>
      </w:r>
      <w:r>
        <w:rPr/>
        <w:t>those</w:t>
      </w:r>
      <w:r>
        <w:rPr>
          <w:spacing w:val="-12"/>
        </w:rPr>
        <w:t> </w:t>
      </w:r>
      <w:r>
        <w:rPr/>
        <w:t>from</w:t>
      </w:r>
      <w:r>
        <w:rPr>
          <w:spacing w:val="-12"/>
        </w:rPr>
        <w:t> </w:t>
      </w:r>
      <w:r>
        <w:rPr/>
        <w:t>the 2015 survey.</w:t>
      </w:r>
    </w:p>
    <w:p>
      <w:pPr>
        <w:pStyle w:val="BodyText"/>
      </w:pPr>
    </w:p>
    <w:p>
      <w:pPr>
        <w:pStyle w:val="BodyText"/>
        <w:spacing w:before="1"/>
        <w:ind w:left="1336" w:right="1474"/>
        <w:jc w:val="both"/>
      </w:pPr>
      <w:r>
        <w:rPr/>
        <w:t>Nearly</w:t>
      </w:r>
      <w:r>
        <w:rPr>
          <w:spacing w:val="-17"/>
        </w:rPr>
        <w:t> </w:t>
      </w:r>
      <w:r>
        <w:rPr/>
        <w:t>nine</w:t>
      </w:r>
      <w:r>
        <w:rPr>
          <w:spacing w:val="-18"/>
        </w:rPr>
        <w:t> </w:t>
      </w:r>
      <w:r>
        <w:rPr/>
        <w:t>in</w:t>
      </w:r>
      <w:r>
        <w:rPr>
          <w:spacing w:val="-16"/>
        </w:rPr>
        <w:t> </w:t>
      </w:r>
      <w:r>
        <w:rPr/>
        <w:t>ten</w:t>
      </w:r>
      <w:r>
        <w:rPr>
          <w:spacing w:val="-17"/>
        </w:rPr>
        <w:t> </w:t>
      </w:r>
      <w:r>
        <w:rPr/>
        <w:t>(85</w:t>
      </w:r>
      <w:r>
        <w:rPr>
          <w:spacing w:val="-18"/>
        </w:rPr>
        <w:t> </w:t>
      </w:r>
      <w:r>
        <w:rPr/>
        <w:t>per</w:t>
      </w:r>
      <w:r>
        <w:rPr>
          <w:spacing w:val="-17"/>
        </w:rPr>
        <w:t> </w:t>
      </w:r>
      <w:r>
        <w:rPr/>
        <w:t>cent)</w:t>
      </w:r>
      <w:r>
        <w:rPr>
          <w:spacing w:val="-17"/>
        </w:rPr>
        <w:t> </w:t>
      </w:r>
      <w:r>
        <w:rPr/>
        <w:t>employer-side</w:t>
      </w:r>
      <w:r>
        <w:rPr>
          <w:spacing w:val="-17"/>
        </w:rPr>
        <w:t> </w:t>
      </w:r>
      <w:r>
        <w:rPr/>
        <w:t>participants</w:t>
      </w:r>
      <w:r>
        <w:rPr>
          <w:spacing w:val="-17"/>
        </w:rPr>
        <w:t> </w:t>
      </w:r>
      <w:r>
        <w:rPr/>
        <w:t>said</w:t>
      </w:r>
      <w:r>
        <w:rPr>
          <w:spacing w:val="-17"/>
        </w:rPr>
        <w:t> </w:t>
      </w:r>
      <w:r>
        <w:rPr/>
        <w:t>that</w:t>
      </w:r>
      <w:r>
        <w:rPr>
          <w:spacing w:val="-17"/>
        </w:rPr>
        <w:t> </w:t>
      </w:r>
      <w:r>
        <w:rPr/>
        <w:t>written</w:t>
      </w:r>
      <w:r>
        <w:rPr>
          <w:spacing w:val="-17"/>
        </w:rPr>
        <w:t> </w:t>
      </w:r>
      <w:r>
        <w:rPr/>
        <w:t>policies and procedures for dealing with employment disputes had been in place. Of this group, seven in ten (72 per cent) said that policies and procedures had been followed fully.</w:t>
      </w:r>
    </w:p>
    <w:p>
      <w:pPr>
        <w:spacing w:after="0"/>
        <w:jc w:val="both"/>
        <w:sectPr>
          <w:pgSz w:w="11910" w:h="16840"/>
          <w:pgMar w:header="0" w:footer="996" w:top="1340" w:bottom="1180" w:left="460" w:right="320"/>
        </w:sectPr>
      </w:pPr>
    </w:p>
    <w:p>
      <w:pPr>
        <w:pStyle w:val="Heading2"/>
        <w:numPr>
          <w:ilvl w:val="0"/>
          <w:numId w:val="2"/>
        </w:numPr>
        <w:tabs>
          <w:tab w:pos="1696" w:val="left" w:leader="none"/>
        </w:tabs>
        <w:spacing w:line="240" w:lineRule="auto" w:before="80" w:after="0"/>
        <w:ind w:left="1695" w:right="0" w:hanging="359"/>
        <w:jc w:val="left"/>
      </w:pPr>
      <w:bookmarkStart w:name="_TOC_250009" w:id="48"/>
      <w:r>
        <w:rPr/>
        <w:t>UPTAKE</w:t>
      </w:r>
      <w:r>
        <w:rPr>
          <w:spacing w:val="-9"/>
        </w:rPr>
        <w:t> </w:t>
      </w:r>
      <w:r>
        <w:rPr/>
        <w:t>OF</w:t>
      </w:r>
      <w:r>
        <w:rPr>
          <w:spacing w:val="-8"/>
        </w:rPr>
        <w:t> </w:t>
      </w:r>
      <w:r>
        <w:rPr/>
        <w:t>EARLY</w:t>
      </w:r>
      <w:r>
        <w:rPr>
          <w:spacing w:val="-8"/>
        </w:rPr>
        <w:t> </w:t>
      </w:r>
      <w:bookmarkEnd w:id="48"/>
      <w:r>
        <w:rPr>
          <w:spacing w:val="-2"/>
        </w:rPr>
        <w:t>CONCILIATION</w:t>
      </w:r>
    </w:p>
    <w:p>
      <w:pPr>
        <w:pStyle w:val="BodyText"/>
        <w:rPr>
          <w:b/>
        </w:rPr>
      </w:pPr>
    </w:p>
    <w:p>
      <w:pPr>
        <w:pStyle w:val="BodyText"/>
        <w:rPr>
          <w:b/>
          <w:sz w:val="23"/>
        </w:rPr>
      </w:pPr>
    </w:p>
    <w:p>
      <w:pPr>
        <w:pStyle w:val="Heading3"/>
        <w:spacing w:line="243" w:lineRule="exact" w:before="101"/>
        <w:jc w:val="left"/>
      </w:pPr>
      <w:r>
        <w:rPr>
          <w:spacing w:val="-2"/>
        </w:rPr>
        <w:t>Synopsis:</w:t>
      </w:r>
    </w:p>
    <w:p>
      <w:pPr>
        <w:pStyle w:val="BodyText"/>
        <w:ind w:left="1337" w:right="1471"/>
        <w:jc w:val="both"/>
      </w:pPr>
      <w:r>
        <w:rPr/>
        <w:t>This chapter explores uptake of Early Conciliation (EC), including the process of notification and interactions with Early Conciliation Support Officers, the reasons for deciding to take part (or not) and previous knowledge or experience of the EC </w:t>
      </w:r>
      <w:r>
        <w:rPr>
          <w:spacing w:val="-2"/>
        </w:rPr>
        <w:t>service.</w:t>
      </w:r>
    </w:p>
    <w:p>
      <w:pPr>
        <w:pStyle w:val="BodyText"/>
        <w:spacing w:before="1"/>
        <w:rPr>
          <w:sz w:val="18"/>
        </w:rPr>
      </w:pPr>
      <w:r>
        <w:rPr/>
        <w:pict>
          <v:shape style="position:absolute;margin-left:86.400002pt;margin-top:12.943668pt;width:442.35pt;height:329.65pt;mso-position-horizontal-relative:page;mso-position-vertical-relative:paragraph;z-index:-15723520;mso-wrap-distance-left:0;mso-wrap-distance-right:0" type="#_x0000_t202" id="docshape6" filled="true" fillcolor="#f1f1f1" stroked="true" strokeweight="1.44pt" strokecolor="#000000">
            <v:textbox inset="0,0,0,0">
              <w:txbxContent>
                <w:p>
                  <w:pPr>
                    <w:pStyle w:val="BodyText"/>
                    <w:spacing w:before="11"/>
                    <w:rPr>
                      <w:color w:val="000000"/>
                      <w:sz w:val="19"/>
                    </w:rPr>
                  </w:pPr>
                </w:p>
                <w:p>
                  <w:pPr>
                    <w:spacing w:before="0"/>
                    <w:ind w:left="183" w:right="0" w:firstLine="0"/>
                    <w:jc w:val="left"/>
                    <w:rPr>
                      <w:b/>
                      <w:color w:val="000000"/>
                      <w:sz w:val="20"/>
                    </w:rPr>
                  </w:pPr>
                  <w:r>
                    <w:rPr>
                      <w:b/>
                      <w:color w:val="000000"/>
                      <w:sz w:val="20"/>
                    </w:rPr>
                    <w:t>Key</w:t>
                  </w:r>
                  <w:r>
                    <w:rPr>
                      <w:b/>
                      <w:color w:val="000000"/>
                      <w:spacing w:val="-5"/>
                      <w:sz w:val="20"/>
                    </w:rPr>
                    <w:t> </w:t>
                  </w:r>
                  <w:r>
                    <w:rPr>
                      <w:b/>
                      <w:color w:val="000000"/>
                      <w:sz w:val="20"/>
                    </w:rPr>
                    <w:t>trends</w:t>
                  </w:r>
                  <w:r>
                    <w:rPr>
                      <w:b/>
                      <w:color w:val="000000"/>
                      <w:spacing w:val="-5"/>
                      <w:sz w:val="20"/>
                    </w:rPr>
                    <w:t> </w:t>
                  </w:r>
                  <w:r>
                    <w:rPr>
                      <w:b/>
                      <w:color w:val="000000"/>
                      <w:sz w:val="20"/>
                    </w:rPr>
                    <w:t>at-a-</w:t>
                  </w:r>
                  <w:r>
                    <w:rPr>
                      <w:b/>
                      <w:color w:val="000000"/>
                      <w:spacing w:val="-2"/>
                      <w:sz w:val="20"/>
                    </w:rPr>
                    <w:t>glance</w:t>
                  </w:r>
                </w:p>
                <w:p>
                  <w:pPr>
                    <w:pStyle w:val="BodyText"/>
                    <w:spacing w:before="1"/>
                    <w:rPr>
                      <w:b/>
                      <w:color w:val="000000"/>
                    </w:rPr>
                  </w:pPr>
                </w:p>
                <w:p>
                  <w:pPr>
                    <w:pStyle w:val="BodyText"/>
                    <w:numPr>
                      <w:ilvl w:val="0"/>
                      <w:numId w:val="12"/>
                    </w:numPr>
                    <w:tabs>
                      <w:tab w:pos="904" w:val="left" w:leader="none"/>
                    </w:tabs>
                    <w:spacing w:line="240" w:lineRule="auto" w:before="0" w:after="0"/>
                    <w:ind w:left="903" w:right="89" w:hanging="360"/>
                    <w:jc w:val="both"/>
                    <w:rPr>
                      <w:color w:val="000000"/>
                    </w:rPr>
                  </w:pPr>
                  <w:r>
                    <w:rPr>
                      <w:color w:val="000000"/>
                    </w:rPr>
                    <w:t>Overall, the timings and reasons for submitting an EC notification have remained similar to 2015: nine in ten claimants made an EC notification to Acas within three months of their dispute occurring and just over half of claimant-side</w:t>
                  </w:r>
                  <w:r>
                    <w:rPr>
                      <w:color w:val="000000"/>
                      <w:spacing w:val="-15"/>
                    </w:rPr>
                    <w:t> </w:t>
                  </w:r>
                  <w:r>
                    <w:rPr>
                      <w:color w:val="000000"/>
                    </w:rPr>
                    <w:t>participants</w:t>
                  </w:r>
                  <w:r>
                    <w:rPr>
                      <w:color w:val="000000"/>
                      <w:spacing w:val="-15"/>
                    </w:rPr>
                    <w:t> </w:t>
                  </w:r>
                  <w:r>
                    <w:rPr>
                      <w:color w:val="000000"/>
                    </w:rPr>
                    <w:t>entered</w:t>
                  </w:r>
                  <w:r>
                    <w:rPr>
                      <w:color w:val="000000"/>
                      <w:spacing w:val="-17"/>
                    </w:rPr>
                    <w:t> </w:t>
                  </w:r>
                  <w:r>
                    <w:rPr>
                      <w:color w:val="000000"/>
                    </w:rPr>
                    <w:t>EC</w:t>
                  </w:r>
                  <w:r>
                    <w:rPr>
                      <w:color w:val="000000"/>
                      <w:spacing w:val="-16"/>
                    </w:rPr>
                    <w:t> </w:t>
                  </w:r>
                  <w:r>
                    <w:rPr>
                      <w:color w:val="000000"/>
                    </w:rPr>
                    <w:t>because</w:t>
                  </w:r>
                  <w:r>
                    <w:rPr>
                      <w:color w:val="000000"/>
                      <w:spacing w:val="-16"/>
                    </w:rPr>
                    <w:t> </w:t>
                  </w:r>
                  <w:r>
                    <w:rPr>
                      <w:color w:val="000000"/>
                    </w:rPr>
                    <w:t>they</w:t>
                  </w:r>
                  <w:r>
                    <w:rPr>
                      <w:color w:val="000000"/>
                      <w:spacing w:val="-16"/>
                    </w:rPr>
                    <w:t> </w:t>
                  </w:r>
                  <w:r>
                    <w:rPr>
                      <w:color w:val="000000"/>
                    </w:rPr>
                    <w:t>had</w:t>
                  </w:r>
                  <w:r>
                    <w:rPr>
                      <w:color w:val="000000"/>
                      <w:spacing w:val="-16"/>
                    </w:rPr>
                    <w:t> </w:t>
                  </w:r>
                  <w:r>
                    <w:rPr>
                      <w:color w:val="000000"/>
                    </w:rPr>
                    <w:t>to</w:t>
                  </w:r>
                  <w:r>
                    <w:rPr>
                      <w:color w:val="000000"/>
                      <w:spacing w:val="-16"/>
                    </w:rPr>
                    <w:t> </w:t>
                  </w:r>
                  <w:r>
                    <w:rPr>
                      <w:color w:val="000000"/>
                    </w:rPr>
                    <w:t>submit</w:t>
                  </w:r>
                  <w:r>
                    <w:rPr>
                      <w:color w:val="000000"/>
                      <w:spacing w:val="-15"/>
                    </w:rPr>
                    <w:t> </w:t>
                  </w:r>
                  <w:r>
                    <w:rPr>
                      <w:color w:val="000000"/>
                    </w:rPr>
                    <w:t>an</w:t>
                  </w:r>
                  <w:r>
                    <w:rPr>
                      <w:color w:val="000000"/>
                      <w:spacing w:val="-16"/>
                    </w:rPr>
                    <w:t> </w:t>
                  </w:r>
                  <w:r>
                    <w:rPr>
                      <w:color w:val="000000"/>
                    </w:rPr>
                    <w:t>ET</w:t>
                  </w:r>
                  <w:r>
                    <w:rPr>
                      <w:color w:val="000000"/>
                      <w:spacing w:val="-15"/>
                    </w:rPr>
                    <w:t> </w:t>
                  </w:r>
                  <w:r>
                    <w:rPr>
                      <w:color w:val="000000"/>
                    </w:rPr>
                    <w:t>claim, but also because they wanted to reach a settlement.</w:t>
                  </w:r>
                </w:p>
                <w:p>
                  <w:pPr>
                    <w:pStyle w:val="BodyText"/>
                    <w:numPr>
                      <w:ilvl w:val="0"/>
                      <w:numId w:val="12"/>
                    </w:numPr>
                    <w:tabs>
                      <w:tab w:pos="904" w:val="left" w:leader="none"/>
                    </w:tabs>
                    <w:spacing w:line="240" w:lineRule="auto" w:before="0" w:after="0"/>
                    <w:ind w:left="903" w:right="89" w:hanging="360"/>
                    <w:jc w:val="both"/>
                    <w:rPr>
                      <w:color w:val="000000"/>
                    </w:rPr>
                  </w:pPr>
                  <w:r>
                    <w:rPr>
                      <w:color w:val="000000"/>
                    </w:rPr>
                    <w:t>Six in ten claimant-side participants were contacted by an ECSO within two working days, close to the 2015 level of response. The proportion contacted within one working day has risen significantly, from five to 16 per cent.</w:t>
                  </w:r>
                </w:p>
                <w:p>
                  <w:pPr>
                    <w:pStyle w:val="BodyText"/>
                    <w:numPr>
                      <w:ilvl w:val="0"/>
                      <w:numId w:val="12"/>
                    </w:numPr>
                    <w:tabs>
                      <w:tab w:pos="904" w:val="left" w:leader="none"/>
                    </w:tabs>
                    <w:spacing w:line="240" w:lineRule="auto" w:before="0" w:after="0"/>
                    <w:ind w:left="903" w:right="90" w:hanging="360"/>
                    <w:jc w:val="both"/>
                    <w:rPr>
                      <w:color w:val="000000"/>
                    </w:rPr>
                  </w:pPr>
                  <w:r>
                    <w:rPr>
                      <w:color w:val="000000"/>
                    </w:rPr>
                    <w:t>One</w:t>
                  </w:r>
                  <w:r>
                    <w:rPr>
                      <w:color w:val="000000"/>
                      <w:spacing w:val="-4"/>
                    </w:rPr>
                    <w:t> </w:t>
                  </w:r>
                  <w:r>
                    <w:rPr>
                      <w:color w:val="000000"/>
                    </w:rPr>
                    <w:t>third</w:t>
                  </w:r>
                  <w:r>
                    <w:rPr>
                      <w:color w:val="000000"/>
                      <w:spacing w:val="-4"/>
                    </w:rPr>
                    <w:t> </w:t>
                  </w:r>
                  <w:r>
                    <w:rPr>
                      <w:color w:val="000000"/>
                    </w:rPr>
                    <w:t>of</w:t>
                  </w:r>
                  <w:r>
                    <w:rPr>
                      <w:color w:val="000000"/>
                      <w:spacing w:val="-4"/>
                    </w:rPr>
                    <w:t> </w:t>
                  </w:r>
                  <w:r>
                    <w:rPr>
                      <w:color w:val="000000"/>
                    </w:rPr>
                    <w:t>claimant-side</w:t>
                  </w:r>
                  <w:r>
                    <w:rPr>
                      <w:color w:val="000000"/>
                      <w:spacing w:val="-4"/>
                    </w:rPr>
                    <w:t> </w:t>
                  </w:r>
                  <w:r>
                    <w:rPr>
                      <w:color w:val="000000"/>
                    </w:rPr>
                    <w:t>participants</w:t>
                  </w:r>
                  <w:r>
                    <w:rPr>
                      <w:color w:val="000000"/>
                      <w:spacing w:val="-5"/>
                    </w:rPr>
                    <w:t> </w:t>
                  </w:r>
                  <w:r>
                    <w:rPr>
                      <w:color w:val="000000"/>
                    </w:rPr>
                    <w:t>understand</w:t>
                  </w:r>
                  <w:r>
                    <w:rPr>
                      <w:color w:val="000000"/>
                      <w:spacing w:val="-5"/>
                    </w:rPr>
                    <w:t> </w:t>
                  </w:r>
                  <w:r>
                    <w:rPr>
                      <w:color w:val="000000"/>
                    </w:rPr>
                    <w:t>Employment</w:t>
                  </w:r>
                  <w:r>
                    <w:rPr>
                      <w:color w:val="000000"/>
                      <w:spacing w:val="-3"/>
                    </w:rPr>
                    <w:t> </w:t>
                  </w:r>
                  <w:r>
                    <w:rPr>
                      <w:color w:val="000000"/>
                    </w:rPr>
                    <w:t>Tribunal</w:t>
                  </w:r>
                  <w:r>
                    <w:rPr>
                      <w:color w:val="000000"/>
                      <w:spacing w:val="-4"/>
                    </w:rPr>
                    <w:t> </w:t>
                  </w:r>
                  <w:r>
                    <w:rPr>
                      <w:color w:val="000000"/>
                    </w:rPr>
                    <w:t>time limits to present their case in time, while one quarter are unaware of these time limits.</w:t>
                  </w:r>
                </w:p>
                <w:p>
                  <w:pPr>
                    <w:pStyle w:val="BodyText"/>
                    <w:numPr>
                      <w:ilvl w:val="0"/>
                      <w:numId w:val="12"/>
                    </w:numPr>
                    <w:tabs>
                      <w:tab w:pos="904" w:val="left" w:leader="none"/>
                    </w:tabs>
                    <w:spacing w:line="240" w:lineRule="auto" w:before="0" w:after="0"/>
                    <w:ind w:left="903" w:right="89" w:hanging="360"/>
                    <w:jc w:val="both"/>
                    <w:rPr>
                      <w:color w:val="000000"/>
                    </w:rPr>
                  </w:pPr>
                  <w:r>
                    <w:rPr>
                      <w:color w:val="000000"/>
                    </w:rPr>
                    <w:t>Driver analysis revealed that a claimant’s motivations for submitting the EC notification form, whether the claimant remained working with the employer against</w:t>
                  </w:r>
                  <w:r>
                    <w:rPr>
                      <w:color w:val="000000"/>
                      <w:spacing w:val="-6"/>
                    </w:rPr>
                    <w:t> </w:t>
                  </w:r>
                  <w:r>
                    <w:rPr>
                      <w:color w:val="000000"/>
                    </w:rPr>
                    <w:t>whom</w:t>
                  </w:r>
                  <w:r>
                    <w:rPr>
                      <w:color w:val="000000"/>
                      <w:spacing w:val="-6"/>
                    </w:rPr>
                    <w:t> </w:t>
                  </w:r>
                  <w:r>
                    <w:rPr>
                      <w:color w:val="000000"/>
                    </w:rPr>
                    <w:t>they</w:t>
                  </w:r>
                  <w:r>
                    <w:rPr>
                      <w:color w:val="000000"/>
                      <w:spacing w:val="-6"/>
                    </w:rPr>
                    <w:t> </w:t>
                  </w:r>
                  <w:r>
                    <w:rPr>
                      <w:color w:val="000000"/>
                    </w:rPr>
                    <w:t>submitted</w:t>
                  </w:r>
                  <w:r>
                    <w:rPr>
                      <w:color w:val="000000"/>
                      <w:spacing w:val="-6"/>
                    </w:rPr>
                    <w:t> </w:t>
                  </w:r>
                  <w:r>
                    <w:rPr>
                      <w:color w:val="000000"/>
                    </w:rPr>
                    <w:t>the</w:t>
                  </w:r>
                  <w:r>
                    <w:rPr>
                      <w:color w:val="000000"/>
                      <w:spacing w:val="-6"/>
                    </w:rPr>
                    <w:t> </w:t>
                  </w:r>
                  <w:r>
                    <w:rPr>
                      <w:color w:val="000000"/>
                    </w:rPr>
                    <w:t>claim</w:t>
                  </w:r>
                  <w:r>
                    <w:rPr>
                      <w:color w:val="000000"/>
                      <w:spacing w:val="-6"/>
                    </w:rPr>
                    <w:t> </w:t>
                  </w:r>
                  <w:r>
                    <w:rPr>
                      <w:color w:val="000000"/>
                    </w:rPr>
                    <w:t>and</w:t>
                  </w:r>
                  <w:r>
                    <w:rPr>
                      <w:color w:val="000000"/>
                      <w:spacing w:val="-6"/>
                    </w:rPr>
                    <w:t> </w:t>
                  </w:r>
                  <w:r>
                    <w:rPr>
                      <w:color w:val="000000"/>
                    </w:rPr>
                    <w:t>the</w:t>
                  </w:r>
                  <w:r>
                    <w:rPr>
                      <w:color w:val="000000"/>
                      <w:spacing w:val="-6"/>
                    </w:rPr>
                    <w:t> </w:t>
                  </w:r>
                  <w:r>
                    <w:rPr>
                      <w:color w:val="000000"/>
                    </w:rPr>
                    <w:t>information</w:t>
                  </w:r>
                  <w:r>
                    <w:rPr>
                      <w:color w:val="000000"/>
                      <w:spacing w:val="-6"/>
                    </w:rPr>
                    <w:t> </w:t>
                  </w:r>
                  <w:r>
                    <w:rPr>
                      <w:color w:val="000000"/>
                    </w:rPr>
                    <w:t>provided</w:t>
                  </w:r>
                  <w:r>
                    <w:rPr>
                      <w:color w:val="000000"/>
                      <w:spacing w:val="-6"/>
                    </w:rPr>
                    <w:t> </w:t>
                  </w:r>
                  <w:r>
                    <w:rPr>
                      <w:color w:val="000000"/>
                    </w:rPr>
                    <w:t>by</w:t>
                  </w:r>
                  <w:r>
                    <w:rPr>
                      <w:color w:val="000000"/>
                      <w:spacing w:val="-6"/>
                    </w:rPr>
                    <w:t> </w:t>
                  </w:r>
                  <w:r>
                    <w:rPr>
                      <w:color w:val="000000"/>
                    </w:rPr>
                    <w:t>Acas at the form submission stage were the three biggest drivers associated with the likelihood of ultimately accepting the EC service.</w:t>
                  </w:r>
                </w:p>
                <w:p>
                  <w:pPr>
                    <w:pStyle w:val="BodyText"/>
                    <w:numPr>
                      <w:ilvl w:val="0"/>
                      <w:numId w:val="12"/>
                    </w:numPr>
                    <w:tabs>
                      <w:tab w:pos="904" w:val="left" w:leader="none"/>
                    </w:tabs>
                    <w:spacing w:line="240" w:lineRule="auto" w:before="0" w:after="0"/>
                    <w:ind w:left="903" w:right="90" w:hanging="360"/>
                    <w:jc w:val="both"/>
                    <w:rPr>
                      <w:color w:val="000000"/>
                    </w:rPr>
                  </w:pPr>
                  <w:r>
                    <w:rPr>
                      <w:color w:val="000000"/>
                    </w:rPr>
                    <w:t>Among those who do not use the EC service, three quarters decided against EC at the ECSO stage of the process; an increase from half who decided at this point in 2015 (though sample size is small here).</w:t>
                  </w:r>
                </w:p>
                <w:p>
                  <w:pPr>
                    <w:pStyle w:val="BodyText"/>
                    <w:numPr>
                      <w:ilvl w:val="0"/>
                      <w:numId w:val="12"/>
                    </w:numPr>
                    <w:tabs>
                      <w:tab w:pos="904" w:val="left" w:leader="none"/>
                    </w:tabs>
                    <w:spacing w:line="240" w:lineRule="auto" w:before="0" w:after="0"/>
                    <w:ind w:left="903" w:right="89" w:hanging="360"/>
                    <w:jc w:val="both"/>
                    <w:rPr>
                      <w:color w:val="000000"/>
                    </w:rPr>
                  </w:pPr>
                  <w:r>
                    <w:rPr>
                      <w:color w:val="000000"/>
                    </w:rPr>
                    <w:t>Prior awareness of the EC service has increased among claimants and employers</w:t>
                  </w:r>
                  <w:r>
                    <w:rPr>
                      <w:color w:val="000000"/>
                      <w:spacing w:val="-7"/>
                    </w:rPr>
                    <w:t> </w:t>
                  </w:r>
                  <w:r>
                    <w:rPr>
                      <w:color w:val="000000"/>
                    </w:rPr>
                    <w:t>since</w:t>
                  </w:r>
                  <w:r>
                    <w:rPr>
                      <w:color w:val="000000"/>
                      <w:spacing w:val="-7"/>
                    </w:rPr>
                    <w:t> </w:t>
                  </w:r>
                  <w:r>
                    <w:rPr>
                      <w:color w:val="000000"/>
                    </w:rPr>
                    <w:t>2015</w:t>
                  </w:r>
                  <w:r>
                    <w:rPr>
                      <w:color w:val="000000"/>
                      <w:spacing w:val="-7"/>
                    </w:rPr>
                    <w:t> </w:t>
                  </w:r>
                  <w:r>
                    <w:rPr>
                      <w:color w:val="000000"/>
                    </w:rPr>
                    <w:t>when</w:t>
                  </w:r>
                  <w:r>
                    <w:rPr>
                      <w:color w:val="000000"/>
                      <w:spacing w:val="-7"/>
                    </w:rPr>
                    <w:t> </w:t>
                  </w:r>
                  <w:r>
                    <w:rPr>
                      <w:color w:val="000000"/>
                    </w:rPr>
                    <w:t>it</w:t>
                  </w:r>
                  <w:r>
                    <w:rPr>
                      <w:color w:val="000000"/>
                      <w:spacing w:val="-7"/>
                    </w:rPr>
                    <w:t> </w:t>
                  </w:r>
                  <w:r>
                    <w:rPr>
                      <w:color w:val="000000"/>
                    </w:rPr>
                    <w:t>was</w:t>
                  </w:r>
                  <w:r>
                    <w:rPr>
                      <w:color w:val="000000"/>
                      <w:spacing w:val="-7"/>
                    </w:rPr>
                    <w:t> </w:t>
                  </w:r>
                  <w:r>
                    <w:rPr>
                      <w:color w:val="000000"/>
                    </w:rPr>
                    <w:t>a</w:t>
                  </w:r>
                  <w:r>
                    <w:rPr>
                      <w:color w:val="000000"/>
                      <w:spacing w:val="-8"/>
                    </w:rPr>
                    <w:t> </w:t>
                  </w:r>
                  <w:r>
                    <w:rPr>
                      <w:color w:val="000000"/>
                    </w:rPr>
                    <w:t>new</w:t>
                  </w:r>
                  <w:r>
                    <w:rPr>
                      <w:color w:val="000000"/>
                      <w:spacing w:val="-7"/>
                    </w:rPr>
                    <w:t> </w:t>
                  </w:r>
                  <w:r>
                    <w:rPr>
                      <w:color w:val="000000"/>
                    </w:rPr>
                    <w:t>service,</w:t>
                  </w:r>
                  <w:r>
                    <w:rPr>
                      <w:color w:val="000000"/>
                      <w:spacing w:val="-7"/>
                    </w:rPr>
                    <w:t> </w:t>
                  </w:r>
                  <w:r>
                    <w:rPr>
                      <w:color w:val="000000"/>
                    </w:rPr>
                    <w:t>while</w:t>
                  </w:r>
                  <w:r>
                    <w:rPr>
                      <w:color w:val="000000"/>
                      <w:spacing w:val="-7"/>
                    </w:rPr>
                    <w:t> </w:t>
                  </w:r>
                  <w:r>
                    <w:rPr>
                      <w:color w:val="000000"/>
                    </w:rPr>
                    <w:t>it</w:t>
                  </w:r>
                  <w:r>
                    <w:rPr>
                      <w:color w:val="000000"/>
                      <w:spacing w:val="-7"/>
                    </w:rPr>
                    <w:t> </w:t>
                  </w:r>
                  <w:r>
                    <w:rPr>
                      <w:color w:val="000000"/>
                    </w:rPr>
                    <w:t>has</w:t>
                  </w:r>
                  <w:r>
                    <w:rPr>
                      <w:color w:val="000000"/>
                      <w:spacing w:val="-7"/>
                    </w:rPr>
                    <w:t> </w:t>
                  </w:r>
                  <w:r>
                    <w:rPr>
                      <w:color w:val="000000"/>
                    </w:rPr>
                    <w:t>remained</w:t>
                  </w:r>
                  <w:r>
                    <w:rPr>
                      <w:color w:val="000000"/>
                      <w:spacing w:val="-7"/>
                    </w:rPr>
                    <w:t> </w:t>
                  </w:r>
                  <w:r>
                    <w:rPr>
                      <w:color w:val="000000"/>
                    </w:rPr>
                    <w:t>at</w:t>
                  </w:r>
                  <w:r>
                    <w:rPr>
                      <w:color w:val="000000"/>
                      <w:spacing w:val="-7"/>
                    </w:rPr>
                    <w:t> </w:t>
                  </w:r>
                  <w:r>
                    <w:rPr>
                      <w:color w:val="000000"/>
                    </w:rPr>
                    <w:t>the same high level for representatives of all types. Previous usage of EC has increased among all groups.</w:t>
                  </w:r>
                </w:p>
              </w:txbxContent>
            </v:textbox>
            <v:fill type="solid"/>
            <v:stroke linestyle="thinThin" dashstyle="solid"/>
            <w10:wrap type="topAndBottom"/>
          </v:shape>
        </w:pict>
      </w:r>
    </w:p>
    <w:p>
      <w:pPr>
        <w:pStyle w:val="BodyText"/>
        <w:spacing w:before="10"/>
        <w:rPr>
          <w:sz w:val="12"/>
        </w:rPr>
      </w:pPr>
    </w:p>
    <w:p>
      <w:pPr>
        <w:pStyle w:val="Heading3"/>
        <w:numPr>
          <w:ilvl w:val="1"/>
          <w:numId w:val="2"/>
        </w:numPr>
        <w:tabs>
          <w:tab w:pos="2041" w:val="left" w:leader="none"/>
          <w:tab w:pos="2042" w:val="left" w:leader="none"/>
        </w:tabs>
        <w:spacing w:line="240" w:lineRule="auto" w:before="101" w:after="0"/>
        <w:ind w:left="1905" w:right="1988" w:hanging="568"/>
        <w:jc w:val="left"/>
      </w:pPr>
      <w:bookmarkStart w:name="_TOC_250008" w:id="49"/>
      <w:r>
        <w:rPr>
          <w:b w:val="0"/>
        </w:rPr>
        <w:tab/>
      </w:r>
      <w:r>
        <w:rPr/>
        <w:t>Submission</w:t>
      </w:r>
      <w:r>
        <w:rPr>
          <w:spacing w:val="-4"/>
        </w:rPr>
        <w:t> </w:t>
      </w:r>
      <w:r>
        <w:rPr/>
        <w:t>of</w:t>
      </w:r>
      <w:r>
        <w:rPr>
          <w:spacing w:val="-4"/>
        </w:rPr>
        <w:t> </w:t>
      </w:r>
      <w:r>
        <w:rPr/>
        <w:t>the</w:t>
      </w:r>
      <w:r>
        <w:rPr>
          <w:spacing w:val="-4"/>
        </w:rPr>
        <w:t> </w:t>
      </w:r>
      <w:r>
        <w:rPr/>
        <w:t>EC</w:t>
      </w:r>
      <w:r>
        <w:rPr>
          <w:spacing w:val="-4"/>
        </w:rPr>
        <w:t> </w:t>
      </w:r>
      <w:r>
        <w:rPr/>
        <w:t>notification</w:t>
      </w:r>
      <w:r>
        <w:rPr>
          <w:spacing w:val="-4"/>
        </w:rPr>
        <w:t> </w:t>
      </w:r>
      <w:r>
        <w:rPr/>
        <w:t>form</w:t>
      </w:r>
      <w:r>
        <w:rPr>
          <w:spacing w:val="-5"/>
        </w:rPr>
        <w:t> </w:t>
      </w:r>
      <w:r>
        <w:rPr/>
        <w:t>and</w:t>
      </w:r>
      <w:r>
        <w:rPr>
          <w:spacing w:val="-4"/>
        </w:rPr>
        <w:t> </w:t>
      </w:r>
      <w:r>
        <w:rPr/>
        <w:t>interaction</w:t>
      </w:r>
      <w:r>
        <w:rPr>
          <w:spacing w:val="-6"/>
        </w:rPr>
        <w:t> </w:t>
      </w:r>
      <w:r>
        <w:rPr/>
        <w:t>with</w:t>
      </w:r>
      <w:r>
        <w:rPr>
          <w:spacing w:val="-4"/>
        </w:rPr>
        <w:t> </w:t>
      </w:r>
      <w:r>
        <w:rPr/>
        <w:t>the </w:t>
      </w:r>
      <w:bookmarkEnd w:id="49"/>
      <w:r>
        <w:rPr>
          <w:spacing w:val="-4"/>
        </w:rPr>
        <w:t>ECSO</w:t>
      </w:r>
    </w:p>
    <w:p>
      <w:pPr>
        <w:pStyle w:val="Heading4"/>
        <w:numPr>
          <w:ilvl w:val="2"/>
          <w:numId w:val="13"/>
        </w:numPr>
        <w:tabs>
          <w:tab w:pos="2058" w:val="left" w:leader="none"/>
        </w:tabs>
        <w:spacing w:line="240" w:lineRule="auto" w:before="121" w:after="0"/>
        <w:ind w:left="2057" w:right="0" w:hanging="721"/>
        <w:jc w:val="both"/>
        <w:rPr>
          <w:i/>
        </w:rPr>
      </w:pPr>
      <w:r>
        <w:rPr>
          <w:i/>
        </w:rPr>
        <w:t>The</w:t>
      </w:r>
      <w:r>
        <w:rPr>
          <w:i/>
          <w:spacing w:val="-7"/>
        </w:rPr>
        <w:t> </w:t>
      </w:r>
      <w:r>
        <w:rPr>
          <w:i/>
        </w:rPr>
        <w:t>process</w:t>
      </w:r>
      <w:r>
        <w:rPr>
          <w:i/>
          <w:spacing w:val="-4"/>
        </w:rPr>
        <w:t> </w:t>
      </w:r>
      <w:r>
        <w:rPr>
          <w:i/>
        </w:rPr>
        <w:t>of</w:t>
      </w:r>
      <w:r>
        <w:rPr>
          <w:i/>
          <w:spacing w:val="-5"/>
        </w:rPr>
        <w:t> </w:t>
      </w:r>
      <w:r>
        <w:rPr>
          <w:i/>
        </w:rPr>
        <w:t>submitting</w:t>
      </w:r>
      <w:r>
        <w:rPr>
          <w:i/>
          <w:spacing w:val="-4"/>
        </w:rPr>
        <w:t> </w:t>
      </w:r>
      <w:r>
        <w:rPr>
          <w:i/>
        </w:rPr>
        <w:t>the</w:t>
      </w:r>
      <w:r>
        <w:rPr>
          <w:i/>
          <w:spacing w:val="-5"/>
        </w:rPr>
        <w:t> </w:t>
      </w:r>
      <w:r>
        <w:rPr>
          <w:i/>
        </w:rPr>
        <w:t>EC</w:t>
      </w:r>
      <w:r>
        <w:rPr>
          <w:i/>
          <w:spacing w:val="-4"/>
        </w:rPr>
        <w:t> </w:t>
      </w:r>
      <w:r>
        <w:rPr>
          <w:i/>
        </w:rPr>
        <w:t>notification</w:t>
      </w:r>
      <w:r>
        <w:rPr>
          <w:i/>
          <w:spacing w:val="-4"/>
        </w:rPr>
        <w:t> form</w:t>
      </w:r>
    </w:p>
    <w:p>
      <w:pPr>
        <w:pStyle w:val="BodyText"/>
        <w:spacing w:before="59"/>
        <w:ind w:left="1337" w:right="1472"/>
        <w:jc w:val="both"/>
        <w:rPr>
          <w:sz w:val="13"/>
        </w:rPr>
      </w:pPr>
      <w:r>
        <w:rPr/>
        <w:t>Before an Employment Tribunal claim has been lodged, claimants (or their representatives) should inform Acas about the</w:t>
      </w:r>
      <w:r>
        <w:rPr>
          <w:spacing w:val="-1"/>
        </w:rPr>
        <w:t> </w:t>
      </w:r>
      <w:r>
        <w:rPr/>
        <w:t>workplace dispute so that they can try to settle the dispute through Early Conciliation to avoid a tribunal claim. Claimants (or their representatives) can start this process by submitting an EC notification</w:t>
      </w:r>
      <w:r>
        <w:rPr>
          <w:spacing w:val="-6"/>
        </w:rPr>
        <w:t> </w:t>
      </w:r>
      <w:r>
        <w:rPr/>
        <w:t>form,</w:t>
      </w:r>
      <w:r>
        <w:rPr>
          <w:spacing w:val="-5"/>
        </w:rPr>
        <w:t> </w:t>
      </w:r>
      <w:r>
        <w:rPr/>
        <w:t>which</w:t>
      </w:r>
      <w:r>
        <w:rPr>
          <w:spacing w:val="-6"/>
        </w:rPr>
        <w:t> </w:t>
      </w:r>
      <w:r>
        <w:rPr/>
        <w:t>provides</w:t>
      </w:r>
      <w:r>
        <w:rPr>
          <w:spacing w:val="-6"/>
        </w:rPr>
        <w:t> </w:t>
      </w:r>
      <w:r>
        <w:rPr/>
        <w:t>Acas</w:t>
      </w:r>
      <w:r>
        <w:rPr>
          <w:spacing w:val="-5"/>
        </w:rPr>
        <w:t> </w:t>
      </w:r>
      <w:r>
        <w:rPr/>
        <w:t>with</w:t>
      </w:r>
      <w:r>
        <w:rPr>
          <w:spacing w:val="-6"/>
        </w:rPr>
        <w:t> </w:t>
      </w:r>
      <w:r>
        <w:rPr/>
        <w:t>the</w:t>
      </w:r>
      <w:r>
        <w:rPr>
          <w:spacing w:val="-5"/>
        </w:rPr>
        <w:t> </w:t>
      </w:r>
      <w:r>
        <w:rPr/>
        <w:t>contact</w:t>
      </w:r>
      <w:r>
        <w:rPr>
          <w:spacing w:val="-6"/>
        </w:rPr>
        <w:t> </w:t>
      </w:r>
      <w:r>
        <w:rPr/>
        <w:t>details</w:t>
      </w:r>
      <w:r>
        <w:rPr>
          <w:spacing w:val="-6"/>
        </w:rPr>
        <w:t> </w:t>
      </w:r>
      <w:r>
        <w:rPr/>
        <w:t>of</w:t>
      </w:r>
      <w:r>
        <w:rPr>
          <w:spacing w:val="-6"/>
        </w:rPr>
        <w:t> </w:t>
      </w:r>
      <w:r>
        <w:rPr/>
        <w:t>the</w:t>
      </w:r>
      <w:r>
        <w:rPr>
          <w:spacing w:val="-6"/>
        </w:rPr>
        <w:t> </w:t>
      </w:r>
      <w:r>
        <w:rPr/>
        <w:t>claimant,</w:t>
      </w:r>
      <w:r>
        <w:rPr>
          <w:spacing w:val="-5"/>
        </w:rPr>
        <w:t> </w:t>
      </w:r>
      <w:r>
        <w:rPr/>
        <w:t>and the person or organisation they wish to make a claim against.</w:t>
      </w:r>
      <w:r>
        <w:rPr>
          <w:position w:val="7"/>
          <w:sz w:val="13"/>
        </w:rPr>
        <w:t>6</w:t>
      </w:r>
    </w:p>
    <w:p>
      <w:pPr>
        <w:pStyle w:val="BodyText"/>
      </w:pPr>
    </w:p>
    <w:p>
      <w:pPr>
        <w:pStyle w:val="BodyText"/>
        <w:ind w:left="1337" w:right="1473"/>
        <w:jc w:val="both"/>
      </w:pPr>
      <w:r>
        <w:rPr/>
        <w:t>When asked how soon Acas had been notified after the workplace dispute, 24 per cent</w:t>
      </w:r>
      <w:r>
        <w:rPr>
          <w:spacing w:val="-11"/>
        </w:rPr>
        <w:t> </w:t>
      </w:r>
      <w:r>
        <w:rPr/>
        <w:t>of</w:t>
      </w:r>
      <w:r>
        <w:rPr>
          <w:spacing w:val="-11"/>
        </w:rPr>
        <w:t> </w:t>
      </w:r>
      <w:r>
        <w:rPr/>
        <w:t>claimant-side</w:t>
      </w:r>
      <w:r>
        <w:rPr>
          <w:spacing w:val="-12"/>
        </w:rPr>
        <w:t> </w:t>
      </w:r>
      <w:r>
        <w:rPr/>
        <w:t>participants</w:t>
      </w:r>
      <w:r>
        <w:rPr>
          <w:spacing w:val="-12"/>
        </w:rPr>
        <w:t> </w:t>
      </w:r>
      <w:r>
        <w:rPr/>
        <w:t>said</w:t>
      </w:r>
      <w:r>
        <w:rPr>
          <w:spacing w:val="-12"/>
        </w:rPr>
        <w:t> </w:t>
      </w:r>
      <w:r>
        <w:rPr/>
        <w:t>that</w:t>
      </w:r>
      <w:r>
        <w:rPr>
          <w:spacing w:val="-11"/>
        </w:rPr>
        <w:t> </w:t>
      </w:r>
      <w:r>
        <w:rPr/>
        <w:t>it</w:t>
      </w:r>
      <w:r>
        <w:rPr>
          <w:spacing w:val="-11"/>
        </w:rPr>
        <w:t> </w:t>
      </w:r>
      <w:r>
        <w:rPr/>
        <w:t>was</w:t>
      </w:r>
      <w:r>
        <w:rPr>
          <w:spacing w:val="-12"/>
        </w:rPr>
        <w:t> </w:t>
      </w:r>
      <w:r>
        <w:rPr/>
        <w:t>within</w:t>
      </w:r>
      <w:r>
        <w:rPr>
          <w:spacing w:val="-11"/>
        </w:rPr>
        <w:t> </w:t>
      </w:r>
      <w:r>
        <w:rPr/>
        <w:t>one</w:t>
      </w:r>
      <w:r>
        <w:rPr>
          <w:spacing w:val="-12"/>
        </w:rPr>
        <w:t> </w:t>
      </w:r>
      <w:r>
        <w:rPr/>
        <w:t>week,</w:t>
      </w:r>
      <w:r>
        <w:rPr>
          <w:spacing w:val="-11"/>
        </w:rPr>
        <w:t> </w:t>
      </w:r>
      <w:r>
        <w:rPr/>
        <w:t>37</w:t>
      </w:r>
      <w:r>
        <w:rPr>
          <w:spacing w:val="-13"/>
        </w:rPr>
        <w:t> </w:t>
      </w:r>
      <w:r>
        <w:rPr/>
        <w:t>per</w:t>
      </w:r>
      <w:r>
        <w:rPr>
          <w:spacing w:val="-12"/>
        </w:rPr>
        <w:t> </w:t>
      </w:r>
      <w:r>
        <w:rPr/>
        <w:t>cent</w:t>
      </w:r>
      <w:r>
        <w:rPr>
          <w:spacing w:val="-11"/>
        </w:rPr>
        <w:t> </w:t>
      </w:r>
      <w:r>
        <w:rPr/>
        <w:t>said that</w:t>
      </w:r>
      <w:r>
        <w:rPr>
          <w:spacing w:val="-4"/>
        </w:rPr>
        <w:t> </w:t>
      </w:r>
      <w:r>
        <w:rPr/>
        <w:t>it</w:t>
      </w:r>
      <w:r>
        <w:rPr>
          <w:spacing w:val="-5"/>
        </w:rPr>
        <w:t> </w:t>
      </w:r>
      <w:r>
        <w:rPr/>
        <w:t>was</w:t>
      </w:r>
      <w:r>
        <w:rPr>
          <w:spacing w:val="-6"/>
        </w:rPr>
        <w:t> </w:t>
      </w:r>
      <w:r>
        <w:rPr/>
        <w:t>within</w:t>
      </w:r>
      <w:r>
        <w:rPr>
          <w:spacing w:val="-4"/>
        </w:rPr>
        <w:t> </w:t>
      </w:r>
      <w:r>
        <w:rPr/>
        <w:t>one</w:t>
      </w:r>
      <w:r>
        <w:rPr>
          <w:spacing w:val="-6"/>
        </w:rPr>
        <w:t> </w:t>
      </w:r>
      <w:r>
        <w:rPr/>
        <w:t>month</w:t>
      </w:r>
      <w:r>
        <w:rPr>
          <w:spacing w:val="-4"/>
        </w:rPr>
        <w:t> </w:t>
      </w:r>
      <w:r>
        <w:rPr/>
        <w:t>and</w:t>
      </w:r>
      <w:r>
        <w:rPr>
          <w:spacing w:val="-6"/>
        </w:rPr>
        <w:t> </w:t>
      </w:r>
      <w:r>
        <w:rPr/>
        <w:t>28</w:t>
      </w:r>
      <w:r>
        <w:rPr>
          <w:spacing w:val="-5"/>
        </w:rPr>
        <w:t> </w:t>
      </w:r>
      <w:r>
        <w:rPr/>
        <w:t>per</w:t>
      </w:r>
      <w:r>
        <w:rPr>
          <w:spacing w:val="-5"/>
        </w:rPr>
        <w:t> </w:t>
      </w:r>
      <w:r>
        <w:rPr/>
        <w:t>cent</w:t>
      </w:r>
      <w:r>
        <w:rPr>
          <w:spacing w:val="-6"/>
        </w:rPr>
        <w:t> </w:t>
      </w:r>
      <w:r>
        <w:rPr/>
        <w:t>that</w:t>
      </w:r>
      <w:r>
        <w:rPr>
          <w:spacing w:val="-4"/>
        </w:rPr>
        <w:t> </w:t>
      </w:r>
      <w:r>
        <w:rPr/>
        <w:t>it</w:t>
      </w:r>
      <w:r>
        <w:rPr>
          <w:spacing w:val="-5"/>
        </w:rPr>
        <w:t> </w:t>
      </w:r>
      <w:r>
        <w:rPr/>
        <w:t>was</w:t>
      </w:r>
      <w:r>
        <w:rPr>
          <w:spacing w:val="-6"/>
        </w:rPr>
        <w:t> </w:t>
      </w:r>
      <w:r>
        <w:rPr/>
        <w:t>within</w:t>
      </w:r>
      <w:r>
        <w:rPr>
          <w:spacing w:val="-4"/>
        </w:rPr>
        <w:t> </w:t>
      </w:r>
      <w:r>
        <w:rPr/>
        <w:t>three</w:t>
      </w:r>
      <w:r>
        <w:rPr>
          <w:spacing w:val="-5"/>
        </w:rPr>
        <w:t> </w:t>
      </w:r>
      <w:r>
        <w:rPr/>
        <w:t>months.</w:t>
      </w:r>
      <w:r>
        <w:rPr>
          <w:spacing w:val="-5"/>
        </w:rPr>
        <w:t> </w:t>
      </w:r>
      <w:r>
        <w:rPr/>
        <w:t>This means</w:t>
      </w:r>
      <w:r>
        <w:rPr>
          <w:spacing w:val="-11"/>
        </w:rPr>
        <w:t> </w:t>
      </w:r>
      <w:r>
        <w:rPr/>
        <w:t>89</w:t>
      </w:r>
      <w:r>
        <w:rPr>
          <w:spacing w:val="-12"/>
        </w:rPr>
        <w:t> </w:t>
      </w:r>
      <w:r>
        <w:rPr/>
        <w:t>per</w:t>
      </w:r>
      <w:r>
        <w:rPr>
          <w:spacing w:val="-11"/>
        </w:rPr>
        <w:t> </w:t>
      </w:r>
      <w:r>
        <w:rPr/>
        <w:t>cent</w:t>
      </w:r>
      <w:r>
        <w:rPr>
          <w:spacing w:val="-11"/>
        </w:rPr>
        <w:t> </w:t>
      </w:r>
      <w:r>
        <w:rPr/>
        <w:t>said</w:t>
      </w:r>
      <w:r>
        <w:rPr>
          <w:spacing w:val="-12"/>
        </w:rPr>
        <w:t> </w:t>
      </w:r>
      <w:r>
        <w:rPr/>
        <w:t>that</w:t>
      </w:r>
      <w:r>
        <w:rPr>
          <w:spacing w:val="-11"/>
        </w:rPr>
        <w:t> </w:t>
      </w:r>
      <w:r>
        <w:rPr/>
        <w:t>Acas</w:t>
      </w:r>
      <w:r>
        <w:rPr>
          <w:spacing w:val="-13"/>
        </w:rPr>
        <w:t> </w:t>
      </w:r>
      <w:r>
        <w:rPr/>
        <w:t>had</w:t>
      </w:r>
      <w:r>
        <w:rPr>
          <w:spacing w:val="-11"/>
        </w:rPr>
        <w:t> </w:t>
      </w:r>
      <w:r>
        <w:rPr/>
        <w:t>been</w:t>
      </w:r>
      <w:r>
        <w:rPr>
          <w:spacing w:val="-12"/>
        </w:rPr>
        <w:t> </w:t>
      </w:r>
      <w:r>
        <w:rPr/>
        <w:t>notified</w:t>
      </w:r>
      <w:r>
        <w:rPr>
          <w:spacing w:val="-11"/>
        </w:rPr>
        <w:t> </w:t>
      </w:r>
      <w:r>
        <w:rPr/>
        <w:t>within</w:t>
      </w:r>
      <w:r>
        <w:rPr>
          <w:spacing w:val="-12"/>
        </w:rPr>
        <w:t> </w:t>
      </w:r>
      <w:r>
        <w:rPr/>
        <w:t>three</w:t>
      </w:r>
      <w:r>
        <w:rPr>
          <w:spacing w:val="-11"/>
        </w:rPr>
        <w:t> </w:t>
      </w:r>
      <w:r>
        <w:rPr/>
        <w:t>months,</w:t>
      </w:r>
      <w:r>
        <w:rPr>
          <w:spacing w:val="-11"/>
        </w:rPr>
        <w:t> </w:t>
      </w:r>
      <w:r>
        <w:rPr/>
        <w:t>compared with 92 per cent in the 2015 survey.</w:t>
      </w:r>
    </w:p>
    <w:p>
      <w:pPr>
        <w:spacing w:after="0"/>
        <w:jc w:val="both"/>
        <w:sectPr>
          <w:pgSz w:w="11910" w:h="16840"/>
          <w:pgMar w:header="0" w:footer="996" w:top="1360" w:bottom="1180" w:left="460" w:right="318"/>
        </w:sectPr>
      </w:pPr>
    </w:p>
    <w:p>
      <w:pPr>
        <w:pStyle w:val="BodyText"/>
        <w:spacing w:before="82"/>
        <w:ind w:left="1337" w:right="1473"/>
        <w:jc w:val="both"/>
      </w:pPr>
      <w:r>
        <w:rPr/>
        <w:t>There</w:t>
      </w:r>
      <w:r>
        <w:rPr>
          <w:spacing w:val="-18"/>
        </w:rPr>
        <w:t> </w:t>
      </w:r>
      <w:r>
        <w:rPr/>
        <w:t>were</w:t>
      </w:r>
      <w:r>
        <w:rPr>
          <w:spacing w:val="-18"/>
        </w:rPr>
        <w:t> </w:t>
      </w:r>
      <w:r>
        <w:rPr/>
        <w:t>noticeable</w:t>
      </w:r>
      <w:r>
        <w:rPr>
          <w:spacing w:val="-17"/>
        </w:rPr>
        <w:t> </w:t>
      </w:r>
      <w:r>
        <w:rPr/>
        <w:t>differences</w:t>
      </w:r>
      <w:r>
        <w:rPr>
          <w:spacing w:val="-18"/>
        </w:rPr>
        <w:t> </w:t>
      </w:r>
      <w:r>
        <w:rPr/>
        <w:t>when</w:t>
      </w:r>
      <w:r>
        <w:rPr>
          <w:spacing w:val="-17"/>
        </w:rPr>
        <w:t> </w:t>
      </w:r>
      <w:r>
        <w:rPr/>
        <w:t>looking</w:t>
      </w:r>
      <w:r>
        <w:rPr>
          <w:spacing w:val="-18"/>
        </w:rPr>
        <w:t> </w:t>
      </w:r>
      <w:r>
        <w:rPr/>
        <w:t>at</w:t>
      </w:r>
      <w:r>
        <w:rPr>
          <w:spacing w:val="-18"/>
        </w:rPr>
        <w:t> </w:t>
      </w:r>
      <w:r>
        <w:rPr/>
        <w:t>this</w:t>
      </w:r>
      <w:r>
        <w:rPr>
          <w:spacing w:val="-17"/>
        </w:rPr>
        <w:t> </w:t>
      </w:r>
      <w:r>
        <w:rPr/>
        <w:t>question</w:t>
      </w:r>
      <w:r>
        <w:rPr>
          <w:spacing w:val="-18"/>
        </w:rPr>
        <w:t> </w:t>
      </w:r>
      <w:r>
        <w:rPr/>
        <w:t>by</w:t>
      </w:r>
      <w:r>
        <w:rPr>
          <w:spacing w:val="-17"/>
        </w:rPr>
        <w:t> </w:t>
      </w:r>
      <w:r>
        <w:rPr/>
        <w:t>track,</w:t>
      </w:r>
      <w:r>
        <w:rPr>
          <w:spacing w:val="-18"/>
        </w:rPr>
        <w:t> </w:t>
      </w:r>
      <w:r>
        <w:rPr/>
        <w:t>with</w:t>
      </w:r>
      <w:r>
        <w:rPr>
          <w:spacing w:val="-17"/>
        </w:rPr>
        <w:t> </w:t>
      </w:r>
      <w:r>
        <w:rPr/>
        <w:t>those in</w:t>
      </w:r>
      <w:r>
        <w:rPr>
          <w:spacing w:val="-8"/>
        </w:rPr>
        <w:t> </w:t>
      </w:r>
      <w:r>
        <w:rPr/>
        <w:t>open</w:t>
      </w:r>
      <w:r>
        <w:rPr>
          <w:spacing w:val="-8"/>
        </w:rPr>
        <w:t> </w:t>
      </w:r>
      <w:r>
        <w:rPr/>
        <w:t>track</w:t>
      </w:r>
      <w:r>
        <w:rPr>
          <w:spacing w:val="-8"/>
        </w:rPr>
        <w:t> </w:t>
      </w:r>
      <w:r>
        <w:rPr/>
        <w:t>disputes</w:t>
      </w:r>
      <w:r>
        <w:rPr>
          <w:spacing w:val="-9"/>
        </w:rPr>
        <w:t> </w:t>
      </w:r>
      <w:r>
        <w:rPr/>
        <w:t>taking</w:t>
      </w:r>
      <w:r>
        <w:rPr>
          <w:spacing w:val="-8"/>
        </w:rPr>
        <w:t> </w:t>
      </w:r>
      <w:r>
        <w:rPr/>
        <w:t>the</w:t>
      </w:r>
      <w:r>
        <w:rPr>
          <w:spacing w:val="-9"/>
        </w:rPr>
        <w:t> </w:t>
      </w:r>
      <w:r>
        <w:rPr/>
        <w:t>longest</w:t>
      </w:r>
      <w:r>
        <w:rPr>
          <w:spacing w:val="-8"/>
        </w:rPr>
        <w:t> </w:t>
      </w:r>
      <w:r>
        <w:rPr/>
        <w:t>to</w:t>
      </w:r>
      <w:r>
        <w:rPr>
          <w:spacing w:val="-10"/>
        </w:rPr>
        <w:t> </w:t>
      </w:r>
      <w:r>
        <w:rPr/>
        <w:t>notify</w:t>
      </w:r>
      <w:r>
        <w:rPr>
          <w:spacing w:val="-8"/>
        </w:rPr>
        <w:t> </w:t>
      </w:r>
      <w:r>
        <w:rPr/>
        <w:t>Acas</w:t>
      </w:r>
      <w:r>
        <w:rPr>
          <w:spacing w:val="-8"/>
        </w:rPr>
        <w:t> </w:t>
      </w:r>
      <w:r>
        <w:rPr/>
        <w:t>after</w:t>
      </w:r>
      <w:r>
        <w:rPr>
          <w:spacing w:val="-8"/>
        </w:rPr>
        <w:t> </w:t>
      </w:r>
      <w:r>
        <w:rPr/>
        <w:t>the</w:t>
      </w:r>
      <w:r>
        <w:rPr>
          <w:spacing w:val="-10"/>
        </w:rPr>
        <w:t> </w:t>
      </w:r>
      <w:r>
        <w:rPr/>
        <w:t>workplace</w:t>
      </w:r>
      <w:r>
        <w:rPr>
          <w:spacing w:val="-9"/>
        </w:rPr>
        <w:t> </w:t>
      </w:r>
      <w:r>
        <w:rPr/>
        <w:t>dispute –</w:t>
      </w:r>
      <w:r>
        <w:rPr>
          <w:spacing w:val="-6"/>
        </w:rPr>
        <w:t> </w:t>
      </w:r>
      <w:r>
        <w:rPr/>
        <w:t>62</w:t>
      </w:r>
      <w:r>
        <w:rPr>
          <w:spacing w:val="-7"/>
        </w:rPr>
        <w:t> </w:t>
      </w:r>
      <w:r>
        <w:rPr/>
        <w:t>per</w:t>
      </w:r>
      <w:r>
        <w:rPr>
          <w:spacing w:val="-7"/>
        </w:rPr>
        <w:t> </w:t>
      </w:r>
      <w:r>
        <w:rPr/>
        <w:t>cent</w:t>
      </w:r>
      <w:r>
        <w:rPr>
          <w:spacing w:val="-7"/>
        </w:rPr>
        <w:t> </w:t>
      </w:r>
      <w:r>
        <w:rPr/>
        <w:t>of</w:t>
      </w:r>
      <w:r>
        <w:rPr>
          <w:spacing w:val="-6"/>
        </w:rPr>
        <w:t> </w:t>
      </w:r>
      <w:r>
        <w:rPr/>
        <w:t>claimant-side</w:t>
      </w:r>
      <w:r>
        <w:rPr>
          <w:spacing w:val="-7"/>
        </w:rPr>
        <w:t> </w:t>
      </w:r>
      <w:r>
        <w:rPr/>
        <w:t>participants</w:t>
      </w:r>
      <w:r>
        <w:rPr>
          <w:spacing w:val="-6"/>
        </w:rPr>
        <w:t> </w:t>
      </w:r>
      <w:r>
        <w:rPr/>
        <w:t>in</w:t>
      </w:r>
      <w:r>
        <w:rPr>
          <w:spacing w:val="-6"/>
        </w:rPr>
        <w:t> </w:t>
      </w:r>
      <w:r>
        <w:rPr/>
        <w:t>fast</w:t>
      </w:r>
      <w:r>
        <w:rPr>
          <w:spacing w:val="-7"/>
        </w:rPr>
        <w:t> </w:t>
      </w:r>
      <w:r>
        <w:rPr/>
        <w:t>track</w:t>
      </w:r>
      <w:r>
        <w:rPr>
          <w:spacing w:val="-7"/>
        </w:rPr>
        <w:t> </w:t>
      </w:r>
      <w:r>
        <w:rPr/>
        <w:t>disputes</w:t>
      </w:r>
      <w:r>
        <w:rPr>
          <w:spacing w:val="-7"/>
        </w:rPr>
        <w:t> </w:t>
      </w:r>
      <w:r>
        <w:rPr/>
        <w:t>and</w:t>
      </w:r>
      <w:r>
        <w:rPr>
          <w:spacing w:val="-7"/>
        </w:rPr>
        <w:t> </w:t>
      </w:r>
      <w:r>
        <w:rPr/>
        <w:t>67</w:t>
      </w:r>
      <w:r>
        <w:rPr>
          <w:spacing w:val="-6"/>
        </w:rPr>
        <w:t> </w:t>
      </w:r>
      <w:r>
        <w:rPr/>
        <w:t>per</w:t>
      </w:r>
      <w:r>
        <w:rPr>
          <w:spacing w:val="-7"/>
        </w:rPr>
        <w:t> </w:t>
      </w:r>
      <w:r>
        <w:rPr/>
        <w:t>cent</w:t>
      </w:r>
      <w:r>
        <w:rPr>
          <w:spacing w:val="-7"/>
        </w:rPr>
        <w:t> </w:t>
      </w:r>
      <w:r>
        <w:rPr/>
        <w:t>in standard track disputes had notified Acas within one month, significantly higher than the equivalent 52 per cent in open track disputes.</w:t>
      </w:r>
    </w:p>
    <w:p>
      <w:pPr>
        <w:pStyle w:val="BodyText"/>
      </w:pPr>
    </w:p>
    <w:p>
      <w:pPr>
        <w:pStyle w:val="BodyText"/>
        <w:ind w:left="1337" w:right="1473"/>
        <w:jc w:val="both"/>
      </w:pPr>
      <w:r>
        <w:rPr/>
        <w:t>This is consistent with the findings from 2015, when those in fast and standard track disputes were even more likely to contact Acas less than a month after the dispute (67 and 63 per cent respectively, compared with 51 per cent of those in open track disputes).</w:t>
      </w:r>
    </w:p>
    <w:p>
      <w:pPr>
        <w:pStyle w:val="BodyText"/>
      </w:pPr>
    </w:p>
    <w:p>
      <w:pPr>
        <w:pStyle w:val="BodyText"/>
        <w:spacing w:before="1"/>
        <w:ind w:left="1337" w:right="1471"/>
        <w:jc w:val="both"/>
      </w:pPr>
      <w:r>
        <w:rPr/>
        <w:t>Claimant representatives were more likely than claimants to take longer to make initial contact with Acas. One in four (27 per cent) claimants made contact with Acas within one week, compared with one sixth (16 per cent) of claimant representatives. Again, this trend is consistent with the findings from 2015.</w:t>
      </w:r>
    </w:p>
    <w:p>
      <w:pPr>
        <w:pStyle w:val="BodyText"/>
        <w:spacing w:before="11"/>
        <w:rPr>
          <w:sz w:val="19"/>
        </w:rPr>
      </w:pPr>
    </w:p>
    <w:p>
      <w:pPr>
        <w:pStyle w:val="BodyText"/>
        <w:ind w:left="1337" w:right="1473"/>
        <w:jc w:val="both"/>
      </w:pPr>
      <w:r>
        <w:rPr/>
        <w:t>Among all claimant-side participants, three quarters (76 per cent) reported that the notification form had been submitted by the claimant themselves (compared with 82 per cent in 2015). Those with fast track cases were more likely than average to have submitted the form themselves (82 per cent), while those with standard track cases were less likely than average to have done so (70 per cent). Twenty-two per cent said that somebody else had submitted it on the claimant’s behalf</w:t>
      </w:r>
      <w:r>
        <w:rPr>
          <w:spacing w:val="-3"/>
        </w:rPr>
        <w:t> </w:t>
      </w:r>
      <w:r>
        <w:rPr/>
        <w:t>(18</w:t>
      </w:r>
      <w:r>
        <w:rPr>
          <w:spacing w:val="-5"/>
        </w:rPr>
        <w:t> </w:t>
      </w:r>
      <w:r>
        <w:rPr/>
        <w:t>per</w:t>
      </w:r>
      <w:r>
        <w:rPr>
          <w:spacing w:val="-4"/>
        </w:rPr>
        <w:t> </w:t>
      </w:r>
      <w:r>
        <w:rPr/>
        <w:t>cent</w:t>
      </w:r>
      <w:r>
        <w:rPr>
          <w:spacing w:val="-4"/>
        </w:rPr>
        <w:t> </w:t>
      </w:r>
      <w:r>
        <w:rPr/>
        <w:t>said</w:t>
      </w:r>
      <w:r>
        <w:rPr>
          <w:spacing w:val="-3"/>
        </w:rPr>
        <w:t> </w:t>
      </w:r>
      <w:r>
        <w:rPr/>
        <w:t>the</w:t>
      </w:r>
      <w:r>
        <w:rPr>
          <w:spacing w:val="-5"/>
        </w:rPr>
        <w:t> </w:t>
      </w:r>
      <w:r>
        <w:rPr/>
        <w:t>representative</w:t>
      </w:r>
      <w:r>
        <w:rPr>
          <w:spacing w:val="-5"/>
        </w:rPr>
        <w:t> </w:t>
      </w:r>
      <w:r>
        <w:rPr/>
        <w:t>had</w:t>
      </w:r>
      <w:r>
        <w:rPr>
          <w:spacing w:val="-4"/>
        </w:rPr>
        <w:t> </w:t>
      </w:r>
      <w:r>
        <w:rPr/>
        <w:t>submitted</w:t>
      </w:r>
      <w:r>
        <w:rPr>
          <w:spacing w:val="-3"/>
        </w:rPr>
        <w:t> </w:t>
      </w:r>
      <w:r>
        <w:rPr/>
        <w:t>it</w:t>
      </w:r>
      <w:r>
        <w:rPr>
          <w:spacing w:val="-4"/>
        </w:rPr>
        <w:t> </w:t>
      </w:r>
      <w:r>
        <w:rPr/>
        <w:t>and</w:t>
      </w:r>
      <w:r>
        <w:rPr>
          <w:spacing w:val="-4"/>
        </w:rPr>
        <w:t> </w:t>
      </w:r>
      <w:r>
        <w:rPr/>
        <w:t>four</w:t>
      </w:r>
      <w:r>
        <w:rPr>
          <w:spacing w:val="-4"/>
        </w:rPr>
        <w:t> </w:t>
      </w:r>
      <w:r>
        <w:rPr/>
        <w:t>per</w:t>
      </w:r>
      <w:r>
        <w:rPr>
          <w:spacing w:val="-4"/>
        </w:rPr>
        <w:t> </w:t>
      </w:r>
      <w:r>
        <w:rPr/>
        <w:t>cent</w:t>
      </w:r>
      <w:r>
        <w:rPr>
          <w:spacing w:val="-4"/>
        </w:rPr>
        <w:t> </w:t>
      </w:r>
      <w:r>
        <w:rPr/>
        <w:t>said that it was someone else).</w:t>
      </w:r>
    </w:p>
    <w:p>
      <w:pPr>
        <w:pStyle w:val="BodyText"/>
        <w:spacing w:before="1"/>
      </w:pPr>
    </w:p>
    <w:p>
      <w:pPr>
        <w:pStyle w:val="BodyText"/>
        <w:ind w:left="1337" w:right="1472"/>
        <w:jc w:val="both"/>
      </w:pPr>
      <w:r>
        <w:rPr/>
        <w:t>Looking at claimant representatives only, 53 per cent reported that they had submitted the EC notification form on behalf of the claimant, close to the 47 per cent of claimant representatives who said the same in 2015.</w:t>
      </w:r>
    </w:p>
    <w:p>
      <w:pPr>
        <w:pStyle w:val="BodyText"/>
        <w:spacing w:before="1"/>
      </w:pPr>
    </w:p>
    <w:p>
      <w:pPr>
        <w:pStyle w:val="Heading4"/>
        <w:numPr>
          <w:ilvl w:val="2"/>
          <w:numId w:val="13"/>
        </w:numPr>
        <w:tabs>
          <w:tab w:pos="2058" w:val="left" w:leader="none"/>
        </w:tabs>
        <w:spacing w:line="240" w:lineRule="auto" w:before="0" w:after="0"/>
        <w:ind w:left="2057" w:right="0" w:hanging="721"/>
        <w:jc w:val="both"/>
        <w:rPr>
          <w:i/>
        </w:rPr>
      </w:pPr>
      <w:bookmarkStart w:name="8.1.2 The reason for submission" w:id="50"/>
      <w:bookmarkEnd w:id="50"/>
      <w:r>
        <w:rPr>
          <w:i/>
        </w:rPr>
        <w:t>The</w:t>
      </w:r>
      <w:r>
        <w:rPr>
          <w:i/>
          <w:spacing w:val="-2"/>
        </w:rPr>
        <w:t> </w:t>
      </w:r>
      <w:r>
        <w:rPr>
          <w:i/>
        </w:rPr>
        <w:t>reason</w:t>
      </w:r>
      <w:r>
        <w:rPr>
          <w:i/>
          <w:spacing w:val="-2"/>
        </w:rPr>
        <w:t> </w:t>
      </w:r>
      <w:r>
        <w:rPr>
          <w:i/>
        </w:rPr>
        <w:t>for</w:t>
      </w:r>
      <w:r>
        <w:rPr>
          <w:i/>
          <w:spacing w:val="-2"/>
        </w:rPr>
        <w:t> submission</w:t>
      </w:r>
    </w:p>
    <w:p>
      <w:pPr>
        <w:pStyle w:val="BodyText"/>
        <w:spacing w:before="60"/>
        <w:ind w:left="1337" w:right="1473"/>
        <w:jc w:val="both"/>
      </w:pPr>
      <w:r>
        <w:rPr/>
        <w:t>EC notification forms can be submitted for a number of reasons: some claimants may see it as a necessary procedural step on the way to taking an employer to a full Employment Tribunal, while others will be keen to enter conciliation with their employer at this early point, to seek a negotiated solution. Claimant-side participants</w:t>
      </w:r>
      <w:r>
        <w:rPr>
          <w:spacing w:val="-7"/>
        </w:rPr>
        <w:t> </w:t>
      </w:r>
      <w:r>
        <w:rPr/>
        <w:t>were</w:t>
      </w:r>
      <w:r>
        <w:rPr>
          <w:spacing w:val="-7"/>
        </w:rPr>
        <w:t> </w:t>
      </w:r>
      <w:r>
        <w:rPr/>
        <w:t>asked</w:t>
      </w:r>
      <w:r>
        <w:rPr>
          <w:spacing w:val="-8"/>
        </w:rPr>
        <w:t> </w:t>
      </w:r>
      <w:r>
        <w:rPr/>
        <w:t>a</w:t>
      </w:r>
      <w:r>
        <w:rPr>
          <w:spacing w:val="-7"/>
        </w:rPr>
        <w:t> </w:t>
      </w:r>
      <w:r>
        <w:rPr/>
        <w:t>closed</w:t>
      </w:r>
      <w:r>
        <w:rPr>
          <w:spacing w:val="-7"/>
        </w:rPr>
        <w:t> </w:t>
      </w:r>
      <w:r>
        <w:rPr/>
        <w:t>question</w:t>
      </w:r>
      <w:r>
        <w:rPr>
          <w:spacing w:val="-6"/>
        </w:rPr>
        <w:t> </w:t>
      </w:r>
      <w:r>
        <w:rPr/>
        <w:t>to</w:t>
      </w:r>
      <w:r>
        <w:rPr>
          <w:spacing w:val="-8"/>
        </w:rPr>
        <w:t> </w:t>
      </w:r>
      <w:r>
        <w:rPr/>
        <w:t>understand</w:t>
      </w:r>
      <w:r>
        <w:rPr>
          <w:spacing w:val="-8"/>
        </w:rPr>
        <w:t> </w:t>
      </w:r>
      <w:r>
        <w:rPr/>
        <w:t>their</w:t>
      </w:r>
      <w:r>
        <w:rPr>
          <w:spacing w:val="-7"/>
        </w:rPr>
        <w:t> </w:t>
      </w:r>
      <w:r>
        <w:rPr/>
        <w:t>broad</w:t>
      </w:r>
      <w:r>
        <w:rPr>
          <w:spacing w:val="-7"/>
        </w:rPr>
        <w:t> </w:t>
      </w:r>
      <w:r>
        <w:rPr/>
        <w:t>motivation</w:t>
      </w:r>
      <w:r>
        <w:rPr>
          <w:spacing w:val="-6"/>
        </w:rPr>
        <w:t> </w:t>
      </w:r>
      <w:r>
        <w:rPr/>
        <w:t>for making an EC notification:</w:t>
      </w:r>
    </w:p>
    <w:p>
      <w:pPr>
        <w:pStyle w:val="BodyText"/>
      </w:pPr>
    </w:p>
    <w:p>
      <w:pPr>
        <w:pStyle w:val="ListParagraph"/>
        <w:numPr>
          <w:ilvl w:val="3"/>
          <w:numId w:val="13"/>
        </w:numPr>
        <w:tabs>
          <w:tab w:pos="2058" w:val="left" w:leader="none"/>
        </w:tabs>
        <w:spacing w:line="240" w:lineRule="auto" w:before="0" w:after="0"/>
        <w:ind w:left="2057" w:right="1473" w:hanging="360"/>
        <w:jc w:val="both"/>
        <w:rPr>
          <w:sz w:val="20"/>
        </w:rPr>
      </w:pPr>
      <w:r>
        <w:rPr>
          <w:sz w:val="20"/>
        </w:rPr>
        <w:t>18 per cent said they ‘had to, in order to submit an Employment Tribunal </w:t>
      </w:r>
      <w:r>
        <w:rPr>
          <w:spacing w:val="-2"/>
          <w:sz w:val="20"/>
        </w:rPr>
        <w:t>claim’;</w:t>
      </w:r>
    </w:p>
    <w:p>
      <w:pPr>
        <w:pStyle w:val="ListParagraph"/>
        <w:numPr>
          <w:ilvl w:val="3"/>
          <w:numId w:val="13"/>
        </w:numPr>
        <w:tabs>
          <w:tab w:pos="2058" w:val="left" w:leader="none"/>
        </w:tabs>
        <w:spacing w:line="240" w:lineRule="auto" w:before="0" w:after="0"/>
        <w:ind w:left="2057" w:right="1475" w:hanging="360"/>
        <w:jc w:val="both"/>
        <w:rPr>
          <w:sz w:val="20"/>
        </w:rPr>
      </w:pPr>
      <w:r>
        <w:rPr>
          <w:sz w:val="20"/>
        </w:rPr>
        <w:t>54 per cent said they ‘had to, in order to submit a tribunal claim, but were also keen to see if a settlement could be reached’;</w:t>
      </w:r>
    </w:p>
    <w:p>
      <w:pPr>
        <w:pStyle w:val="ListParagraph"/>
        <w:numPr>
          <w:ilvl w:val="3"/>
          <w:numId w:val="13"/>
        </w:numPr>
        <w:tabs>
          <w:tab w:pos="2058" w:val="left" w:leader="none"/>
        </w:tabs>
        <w:spacing w:line="240" w:lineRule="auto" w:before="0" w:after="0"/>
        <w:ind w:left="2057" w:right="1473" w:hanging="360"/>
        <w:jc w:val="both"/>
        <w:rPr>
          <w:sz w:val="20"/>
        </w:rPr>
      </w:pPr>
      <w:r>
        <w:rPr>
          <w:sz w:val="20"/>
        </w:rPr>
        <w:t>A quarter (24 per cent) said they ‘just wanted to see if a settlement could be reached and did not have a desire to submit an Employment Tribunal </w:t>
      </w:r>
      <w:r>
        <w:rPr>
          <w:spacing w:val="-2"/>
          <w:sz w:val="20"/>
        </w:rPr>
        <w:t>claim’.</w:t>
      </w:r>
    </w:p>
    <w:p>
      <w:pPr>
        <w:pStyle w:val="BodyText"/>
        <w:spacing w:before="8"/>
        <w:rPr>
          <w:sz w:val="19"/>
        </w:rPr>
      </w:pPr>
    </w:p>
    <w:p>
      <w:pPr>
        <w:pStyle w:val="BodyText"/>
        <w:ind w:left="1336"/>
        <w:jc w:val="both"/>
      </w:pPr>
      <w:r>
        <w:rPr/>
        <w:t>These</w:t>
      </w:r>
      <w:r>
        <w:rPr>
          <w:spacing w:val="-6"/>
        </w:rPr>
        <w:t> </w:t>
      </w:r>
      <w:r>
        <w:rPr/>
        <w:t>figures</w:t>
      </w:r>
      <w:r>
        <w:rPr>
          <w:spacing w:val="-2"/>
        </w:rPr>
        <w:t> </w:t>
      </w:r>
      <w:r>
        <w:rPr/>
        <w:t>do</w:t>
      </w:r>
      <w:r>
        <w:rPr>
          <w:spacing w:val="-3"/>
        </w:rPr>
        <w:t> </w:t>
      </w:r>
      <w:r>
        <w:rPr/>
        <w:t>not</w:t>
      </w:r>
      <w:r>
        <w:rPr>
          <w:spacing w:val="-3"/>
        </w:rPr>
        <w:t> </w:t>
      </w:r>
      <w:r>
        <w:rPr/>
        <w:t>represent</w:t>
      </w:r>
      <w:r>
        <w:rPr>
          <w:spacing w:val="-3"/>
        </w:rPr>
        <w:t> </w:t>
      </w:r>
      <w:r>
        <w:rPr/>
        <w:t>any</w:t>
      </w:r>
      <w:r>
        <w:rPr>
          <w:spacing w:val="-3"/>
        </w:rPr>
        <w:t> </w:t>
      </w:r>
      <w:r>
        <w:rPr/>
        <w:t>significant</w:t>
      </w:r>
      <w:r>
        <w:rPr>
          <w:spacing w:val="-4"/>
        </w:rPr>
        <w:t> </w:t>
      </w:r>
      <w:r>
        <w:rPr/>
        <w:t>changes</w:t>
      </w:r>
      <w:r>
        <w:rPr>
          <w:spacing w:val="-3"/>
        </w:rPr>
        <w:t> </w:t>
      </w:r>
      <w:r>
        <w:rPr/>
        <w:t>from</w:t>
      </w:r>
      <w:r>
        <w:rPr>
          <w:spacing w:val="-3"/>
        </w:rPr>
        <w:t> </w:t>
      </w:r>
      <w:r>
        <w:rPr>
          <w:spacing w:val="-2"/>
        </w:rPr>
        <w:t>2015.</w:t>
      </w:r>
    </w:p>
    <w:p>
      <w:pPr>
        <w:pStyle w:val="BodyText"/>
      </w:pPr>
    </w:p>
    <w:p>
      <w:pPr>
        <w:pStyle w:val="BodyText"/>
        <w:ind w:left="1336" w:right="1474"/>
        <w:jc w:val="both"/>
      </w:pPr>
      <w:r>
        <w:rPr/>
        <w:t>Representatives</w:t>
      </w:r>
      <w:r>
        <w:rPr>
          <w:spacing w:val="-16"/>
        </w:rPr>
        <w:t> </w:t>
      </w:r>
      <w:r>
        <w:rPr/>
        <w:t>were</w:t>
      </w:r>
      <w:r>
        <w:rPr>
          <w:spacing w:val="-17"/>
        </w:rPr>
        <w:t> </w:t>
      </w:r>
      <w:r>
        <w:rPr/>
        <w:t>more</w:t>
      </w:r>
      <w:r>
        <w:rPr>
          <w:spacing w:val="-17"/>
        </w:rPr>
        <w:t> </w:t>
      </w:r>
      <w:r>
        <w:rPr/>
        <w:t>likely</w:t>
      </w:r>
      <w:r>
        <w:rPr>
          <w:spacing w:val="-16"/>
        </w:rPr>
        <w:t> </w:t>
      </w:r>
      <w:r>
        <w:rPr/>
        <w:t>than</w:t>
      </w:r>
      <w:r>
        <w:rPr>
          <w:spacing w:val="-16"/>
        </w:rPr>
        <w:t> </w:t>
      </w:r>
      <w:r>
        <w:rPr/>
        <w:t>claimants</w:t>
      </w:r>
      <w:r>
        <w:rPr>
          <w:spacing w:val="-16"/>
        </w:rPr>
        <w:t> </w:t>
      </w:r>
      <w:r>
        <w:rPr/>
        <w:t>to</w:t>
      </w:r>
      <w:r>
        <w:rPr>
          <w:spacing w:val="-17"/>
        </w:rPr>
        <w:t> </w:t>
      </w:r>
      <w:r>
        <w:rPr/>
        <w:t>report</w:t>
      </w:r>
      <w:r>
        <w:rPr>
          <w:spacing w:val="-16"/>
        </w:rPr>
        <w:t> </w:t>
      </w:r>
      <w:r>
        <w:rPr/>
        <w:t>being</w:t>
      </w:r>
      <w:r>
        <w:rPr>
          <w:spacing w:val="-16"/>
        </w:rPr>
        <w:t> </w:t>
      </w:r>
      <w:r>
        <w:rPr/>
        <w:t>open</w:t>
      </w:r>
      <w:r>
        <w:rPr>
          <w:spacing w:val="-16"/>
        </w:rPr>
        <w:t> </w:t>
      </w:r>
      <w:r>
        <w:rPr/>
        <w:t>to</w:t>
      </w:r>
      <w:r>
        <w:rPr>
          <w:spacing w:val="-17"/>
        </w:rPr>
        <w:t> </w:t>
      </w:r>
      <w:r>
        <w:rPr/>
        <w:t>settlement options. This could suggest that claimants who appoint a representative are more interested in reaching a settlement, or more open-minded about the outcome of the process. It might also reflect a representative’s greater experience of conciliation</w:t>
      </w:r>
      <w:r>
        <w:rPr>
          <w:spacing w:val="-11"/>
        </w:rPr>
        <w:t> </w:t>
      </w:r>
      <w:r>
        <w:rPr/>
        <w:t>and</w:t>
      </w:r>
      <w:r>
        <w:rPr>
          <w:spacing w:val="-13"/>
        </w:rPr>
        <w:t> </w:t>
      </w:r>
      <w:r>
        <w:rPr/>
        <w:t>employment</w:t>
      </w:r>
      <w:r>
        <w:rPr>
          <w:spacing w:val="-12"/>
        </w:rPr>
        <w:t> </w:t>
      </w:r>
      <w:r>
        <w:rPr/>
        <w:t>law</w:t>
      </w:r>
      <w:r>
        <w:rPr>
          <w:spacing w:val="-12"/>
        </w:rPr>
        <w:t> </w:t>
      </w:r>
      <w:r>
        <w:rPr/>
        <w:t>increasing</w:t>
      </w:r>
      <w:r>
        <w:rPr>
          <w:spacing w:val="-13"/>
        </w:rPr>
        <w:t> </w:t>
      </w:r>
      <w:r>
        <w:rPr/>
        <w:t>the</w:t>
      </w:r>
      <w:r>
        <w:rPr>
          <w:spacing w:val="-13"/>
        </w:rPr>
        <w:t> </w:t>
      </w:r>
      <w:r>
        <w:rPr/>
        <w:t>likelihood</w:t>
      </w:r>
      <w:r>
        <w:rPr>
          <w:spacing w:val="-13"/>
        </w:rPr>
        <w:t> </w:t>
      </w:r>
      <w:r>
        <w:rPr/>
        <w:t>of</w:t>
      </w:r>
      <w:r>
        <w:rPr>
          <w:spacing w:val="-13"/>
        </w:rPr>
        <w:t> </w:t>
      </w:r>
      <w:r>
        <w:rPr/>
        <w:t>reaching</w:t>
      </w:r>
      <w:r>
        <w:rPr>
          <w:spacing w:val="-13"/>
        </w:rPr>
        <w:t> </w:t>
      </w:r>
      <w:r>
        <w:rPr/>
        <w:t>a</w:t>
      </w:r>
      <w:r>
        <w:rPr>
          <w:spacing w:val="-14"/>
        </w:rPr>
        <w:t> </w:t>
      </w:r>
      <w:r>
        <w:rPr/>
        <w:t>settlement. Representatives were also more likely to seek opportunities for a conciliated settlement than unrepresented claimants:</w:t>
      </w:r>
    </w:p>
    <w:p>
      <w:pPr>
        <w:spacing w:after="0"/>
        <w:jc w:val="both"/>
        <w:sectPr>
          <w:pgSz w:w="11910" w:h="16840"/>
          <w:pgMar w:header="0" w:footer="996" w:top="1340" w:bottom="1180" w:left="460" w:right="320"/>
        </w:sectPr>
      </w:pPr>
    </w:p>
    <w:p>
      <w:pPr>
        <w:pStyle w:val="ListParagraph"/>
        <w:numPr>
          <w:ilvl w:val="3"/>
          <w:numId w:val="13"/>
        </w:numPr>
        <w:tabs>
          <w:tab w:pos="2058" w:val="left" w:leader="none"/>
        </w:tabs>
        <w:spacing w:line="240" w:lineRule="auto" w:before="82" w:after="0"/>
        <w:ind w:left="2057" w:right="1473" w:hanging="360"/>
        <w:jc w:val="both"/>
        <w:rPr>
          <w:sz w:val="20"/>
        </w:rPr>
      </w:pPr>
      <w:r>
        <w:rPr>
          <w:sz w:val="20"/>
        </w:rPr>
        <w:t>Two thirds of representatives (64%) reported submitting the notification because</w:t>
      </w:r>
      <w:r>
        <w:rPr>
          <w:spacing w:val="-13"/>
          <w:sz w:val="20"/>
        </w:rPr>
        <w:t> </w:t>
      </w:r>
      <w:r>
        <w:rPr>
          <w:sz w:val="20"/>
        </w:rPr>
        <w:t>they</w:t>
      </w:r>
      <w:r>
        <w:rPr>
          <w:spacing w:val="-13"/>
          <w:sz w:val="20"/>
        </w:rPr>
        <w:t> </w:t>
      </w:r>
      <w:r>
        <w:rPr>
          <w:sz w:val="20"/>
        </w:rPr>
        <w:t>‘had</w:t>
      </w:r>
      <w:r>
        <w:rPr>
          <w:spacing w:val="-14"/>
          <w:sz w:val="20"/>
        </w:rPr>
        <w:t> </w:t>
      </w:r>
      <w:r>
        <w:rPr>
          <w:sz w:val="20"/>
        </w:rPr>
        <w:t>to,</w:t>
      </w:r>
      <w:r>
        <w:rPr>
          <w:spacing w:val="-13"/>
          <w:sz w:val="20"/>
        </w:rPr>
        <w:t> </w:t>
      </w:r>
      <w:r>
        <w:rPr>
          <w:sz w:val="20"/>
        </w:rPr>
        <w:t>in</w:t>
      </w:r>
      <w:r>
        <w:rPr>
          <w:spacing w:val="-14"/>
          <w:sz w:val="20"/>
        </w:rPr>
        <w:t> </w:t>
      </w:r>
      <w:r>
        <w:rPr>
          <w:sz w:val="20"/>
        </w:rPr>
        <w:t>order</w:t>
      </w:r>
      <w:r>
        <w:rPr>
          <w:spacing w:val="-13"/>
          <w:sz w:val="20"/>
        </w:rPr>
        <w:t> </w:t>
      </w:r>
      <w:r>
        <w:rPr>
          <w:sz w:val="20"/>
        </w:rPr>
        <w:t>to</w:t>
      </w:r>
      <w:r>
        <w:rPr>
          <w:spacing w:val="-13"/>
          <w:sz w:val="20"/>
        </w:rPr>
        <w:t> </w:t>
      </w:r>
      <w:r>
        <w:rPr>
          <w:sz w:val="20"/>
        </w:rPr>
        <w:t>submit</w:t>
      </w:r>
      <w:r>
        <w:rPr>
          <w:spacing w:val="-13"/>
          <w:sz w:val="20"/>
        </w:rPr>
        <w:t> </w:t>
      </w:r>
      <w:r>
        <w:rPr>
          <w:sz w:val="20"/>
        </w:rPr>
        <w:t>a</w:t>
      </w:r>
      <w:r>
        <w:rPr>
          <w:spacing w:val="-13"/>
          <w:sz w:val="20"/>
        </w:rPr>
        <w:t> </w:t>
      </w:r>
      <w:r>
        <w:rPr>
          <w:sz w:val="20"/>
        </w:rPr>
        <w:t>tribunal</w:t>
      </w:r>
      <w:r>
        <w:rPr>
          <w:spacing w:val="-14"/>
          <w:sz w:val="20"/>
        </w:rPr>
        <w:t> </w:t>
      </w:r>
      <w:r>
        <w:rPr>
          <w:sz w:val="20"/>
        </w:rPr>
        <w:t>claim,</w:t>
      </w:r>
      <w:r>
        <w:rPr>
          <w:spacing w:val="-12"/>
          <w:sz w:val="20"/>
        </w:rPr>
        <w:t> </w:t>
      </w:r>
      <w:r>
        <w:rPr>
          <w:sz w:val="20"/>
        </w:rPr>
        <w:t>but</w:t>
      </w:r>
      <w:r>
        <w:rPr>
          <w:spacing w:val="-14"/>
          <w:sz w:val="20"/>
        </w:rPr>
        <w:t> </w:t>
      </w:r>
      <w:r>
        <w:rPr>
          <w:sz w:val="20"/>
        </w:rPr>
        <w:t>were</w:t>
      </w:r>
      <w:r>
        <w:rPr>
          <w:spacing w:val="-13"/>
          <w:sz w:val="20"/>
        </w:rPr>
        <w:t> </w:t>
      </w:r>
      <w:r>
        <w:rPr>
          <w:sz w:val="20"/>
        </w:rPr>
        <w:t>also</w:t>
      </w:r>
      <w:r>
        <w:rPr>
          <w:spacing w:val="-12"/>
          <w:sz w:val="20"/>
        </w:rPr>
        <w:t> </w:t>
      </w:r>
      <w:r>
        <w:rPr>
          <w:sz w:val="20"/>
        </w:rPr>
        <w:t>keen to see if a settlement could be reached’ compared with 49 per cent of claimants. These figures were similar in 2015.</w:t>
      </w:r>
    </w:p>
    <w:p>
      <w:pPr>
        <w:pStyle w:val="ListParagraph"/>
        <w:numPr>
          <w:ilvl w:val="3"/>
          <w:numId w:val="13"/>
        </w:numPr>
        <w:tabs>
          <w:tab w:pos="2058" w:val="left" w:leader="none"/>
        </w:tabs>
        <w:spacing w:line="240" w:lineRule="auto" w:before="0" w:after="0"/>
        <w:ind w:left="2057" w:right="1472" w:hanging="360"/>
        <w:jc w:val="both"/>
        <w:rPr>
          <w:sz w:val="20"/>
        </w:rPr>
      </w:pPr>
      <w:r>
        <w:rPr>
          <w:sz w:val="20"/>
        </w:rPr>
        <w:t>One quarter (26%) of claimants described their reason for making an EC notification as being that they ‘just wanted to see if a settlement could be reached</w:t>
      </w:r>
      <w:r>
        <w:rPr>
          <w:spacing w:val="-13"/>
          <w:sz w:val="20"/>
        </w:rPr>
        <w:t> </w:t>
      </w:r>
      <w:r>
        <w:rPr>
          <w:sz w:val="20"/>
        </w:rPr>
        <w:t>and</w:t>
      </w:r>
      <w:r>
        <w:rPr>
          <w:spacing w:val="-13"/>
          <w:sz w:val="20"/>
        </w:rPr>
        <w:t> </w:t>
      </w:r>
      <w:r>
        <w:rPr>
          <w:sz w:val="20"/>
        </w:rPr>
        <w:t>did</w:t>
      </w:r>
      <w:r>
        <w:rPr>
          <w:spacing w:val="-13"/>
          <w:sz w:val="20"/>
        </w:rPr>
        <w:t> </w:t>
      </w:r>
      <w:r>
        <w:rPr>
          <w:sz w:val="20"/>
        </w:rPr>
        <w:t>not</w:t>
      </w:r>
      <w:r>
        <w:rPr>
          <w:spacing w:val="-13"/>
          <w:sz w:val="20"/>
        </w:rPr>
        <w:t> </w:t>
      </w:r>
      <w:r>
        <w:rPr>
          <w:sz w:val="20"/>
        </w:rPr>
        <w:t>have</w:t>
      </w:r>
      <w:r>
        <w:rPr>
          <w:spacing w:val="-13"/>
          <w:sz w:val="20"/>
        </w:rPr>
        <w:t> </w:t>
      </w:r>
      <w:r>
        <w:rPr>
          <w:sz w:val="20"/>
        </w:rPr>
        <w:t>a</w:t>
      </w:r>
      <w:r>
        <w:rPr>
          <w:spacing w:val="-13"/>
          <w:sz w:val="20"/>
        </w:rPr>
        <w:t> </w:t>
      </w:r>
      <w:r>
        <w:rPr>
          <w:sz w:val="20"/>
        </w:rPr>
        <w:t>desire</w:t>
      </w:r>
      <w:r>
        <w:rPr>
          <w:spacing w:val="-13"/>
          <w:sz w:val="20"/>
        </w:rPr>
        <w:t> </w:t>
      </w:r>
      <w:r>
        <w:rPr>
          <w:sz w:val="20"/>
        </w:rPr>
        <w:t>to</w:t>
      </w:r>
      <w:r>
        <w:rPr>
          <w:spacing w:val="-13"/>
          <w:sz w:val="20"/>
        </w:rPr>
        <w:t> </w:t>
      </w:r>
      <w:r>
        <w:rPr>
          <w:sz w:val="20"/>
        </w:rPr>
        <w:t>submit</w:t>
      </w:r>
      <w:r>
        <w:rPr>
          <w:spacing w:val="-13"/>
          <w:sz w:val="20"/>
        </w:rPr>
        <w:t> </w:t>
      </w:r>
      <w:r>
        <w:rPr>
          <w:sz w:val="20"/>
        </w:rPr>
        <w:t>an</w:t>
      </w:r>
      <w:r>
        <w:rPr>
          <w:spacing w:val="-14"/>
          <w:sz w:val="20"/>
        </w:rPr>
        <w:t> </w:t>
      </w:r>
      <w:r>
        <w:rPr>
          <w:sz w:val="20"/>
        </w:rPr>
        <w:t>Employment</w:t>
      </w:r>
      <w:r>
        <w:rPr>
          <w:spacing w:val="-13"/>
          <w:sz w:val="20"/>
        </w:rPr>
        <w:t> </w:t>
      </w:r>
      <w:r>
        <w:rPr>
          <w:sz w:val="20"/>
        </w:rPr>
        <w:t>Tribunal</w:t>
      </w:r>
      <w:r>
        <w:rPr>
          <w:spacing w:val="-14"/>
          <w:sz w:val="20"/>
        </w:rPr>
        <w:t> </w:t>
      </w:r>
      <w:r>
        <w:rPr>
          <w:sz w:val="20"/>
        </w:rPr>
        <w:t>claim’, compared with 19 per cent of representatives. In 2015, only nine per cent of representatives selected this reason as an answer to the question.</w:t>
      </w:r>
    </w:p>
    <w:p>
      <w:pPr>
        <w:pStyle w:val="BodyText"/>
        <w:spacing w:before="8"/>
        <w:rPr>
          <w:sz w:val="19"/>
        </w:rPr>
      </w:pPr>
    </w:p>
    <w:p>
      <w:pPr>
        <w:pStyle w:val="BodyText"/>
        <w:ind w:left="1337"/>
      </w:pPr>
      <w:r>
        <w:rPr/>
        <w:t>There</w:t>
      </w:r>
      <w:r>
        <w:rPr>
          <w:spacing w:val="-6"/>
        </w:rPr>
        <w:t> </w:t>
      </w:r>
      <w:r>
        <w:rPr/>
        <w:t>are</w:t>
      </w:r>
      <w:r>
        <w:rPr>
          <w:spacing w:val="-4"/>
        </w:rPr>
        <w:t> </w:t>
      </w:r>
      <w:r>
        <w:rPr/>
        <w:t>also</w:t>
      </w:r>
      <w:r>
        <w:rPr>
          <w:spacing w:val="-3"/>
        </w:rPr>
        <w:t> </w:t>
      </w:r>
      <w:r>
        <w:rPr/>
        <w:t>noticeable</w:t>
      </w:r>
      <w:r>
        <w:rPr>
          <w:spacing w:val="-4"/>
        </w:rPr>
        <w:t> </w:t>
      </w:r>
      <w:r>
        <w:rPr/>
        <w:t>differences</w:t>
      </w:r>
      <w:r>
        <w:rPr>
          <w:spacing w:val="-3"/>
        </w:rPr>
        <w:t> </w:t>
      </w:r>
      <w:r>
        <w:rPr/>
        <w:t>between</w:t>
      </w:r>
      <w:r>
        <w:rPr>
          <w:spacing w:val="-5"/>
        </w:rPr>
        <w:t> </w:t>
      </w:r>
      <w:r>
        <w:rPr/>
        <w:t>tracks</w:t>
      </w:r>
      <w:r>
        <w:rPr>
          <w:spacing w:val="-3"/>
        </w:rPr>
        <w:t> </w:t>
      </w:r>
      <w:r>
        <w:rPr/>
        <w:t>(see</w:t>
      </w:r>
      <w:r>
        <w:rPr>
          <w:spacing w:val="-5"/>
        </w:rPr>
        <w:t> </w:t>
      </w:r>
      <w:r>
        <w:rPr/>
        <w:t>Figure</w:t>
      </w:r>
      <w:r>
        <w:rPr>
          <w:spacing w:val="-5"/>
        </w:rPr>
        <w:t> 5).</w:t>
      </w:r>
    </w:p>
    <w:p>
      <w:pPr>
        <w:pStyle w:val="BodyText"/>
      </w:pPr>
    </w:p>
    <w:p>
      <w:pPr>
        <w:pStyle w:val="ListParagraph"/>
        <w:numPr>
          <w:ilvl w:val="3"/>
          <w:numId w:val="13"/>
        </w:numPr>
        <w:tabs>
          <w:tab w:pos="2058" w:val="left" w:leader="none"/>
        </w:tabs>
        <w:spacing w:line="240" w:lineRule="auto" w:before="0" w:after="0"/>
        <w:ind w:left="2057" w:right="1473" w:hanging="360"/>
        <w:jc w:val="both"/>
        <w:rPr>
          <w:sz w:val="20"/>
        </w:rPr>
      </w:pPr>
      <w:r>
        <w:rPr>
          <w:sz w:val="20"/>
        </w:rPr>
        <w:t>Claimant-side</w:t>
      </w:r>
      <w:r>
        <w:rPr>
          <w:spacing w:val="-15"/>
          <w:sz w:val="20"/>
        </w:rPr>
        <w:t> </w:t>
      </w:r>
      <w:r>
        <w:rPr>
          <w:sz w:val="20"/>
        </w:rPr>
        <w:t>participants</w:t>
      </w:r>
      <w:r>
        <w:rPr>
          <w:spacing w:val="-16"/>
          <w:sz w:val="20"/>
        </w:rPr>
        <w:t> </w:t>
      </w:r>
      <w:r>
        <w:rPr>
          <w:sz w:val="20"/>
        </w:rPr>
        <w:t>involved</w:t>
      </w:r>
      <w:r>
        <w:rPr>
          <w:spacing w:val="-15"/>
          <w:sz w:val="20"/>
        </w:rPr>
        <w:t> </w:t>
      </w:r>
      <w:r>
        <w:rPr>
          <w:sz w:val="20"/>
        </w:rPr>
        <w:t>in</w:t>
      </w:r>
      <w:r>
        <w:rPr>
          <w:spacing w:val="-16"/>
          <w:sz w:val="20"/>
        </w:rPr>
        <w:t> </w:t>
      </w:r>
      <w:r>
        <w:rPr>
          <w:sz w:val="20"/>
        </w:rPr>
        <w:t>fast</w:t>
      </w:r>
      <w:r>
        <w:rPr>
          <w:spacing w:val="-16"/>
          <w:sz w:val="20"/>
        </w:rPr>
        <w:t> </w:t>
      </w:r>
      <w:r>
        <w:rPr>
          <w:sz w:val="20"/>
        </w:rPr>
        <w:t>track</w:t>
      </w:r>
      <w:r>
        <w:rPr>
          <w:spacing w:val="-15"/>
          <w:sz w:val="20"/>
        </w:rPr>
        <w:t> </w:t>
      </w:r>
      <w:r>
        <w:rPr>
          <w:sz w:val="20"/>
        </w:rPr>
        <w:t>and</w:t>
      </w:r>
      <w:r>
        <w:rPr>
          <w:spacing w:val="-16"/>
          <w:sz w:val="20"/>
        </w:rPr>
        <w:t> </w:t>
      </w:r>
      <w:r>
        <w:rPr>
          <w:sz w:val="20"/>
        </w:rPr>
        <w:t>standard</w:t>
      </w:r>
      <w:r>
        <w:rPr>
          <w:spacing w:val="-15"/>
          <w:sz w:val="20"/>
        </w:rPr>
        <w:t> </w:t>
      </w:r>
      <w:r>
        <w:rPr>
          <w:sz w:val="20"/>
        </w:rPr>
        <w:t>track</w:t>
      </w:r>
      <w:r>
        <w:rPr>
          <w:spacing w:val="-16"/>
          <w:sz w:val="20"/>
        </w:rPr>
        <w:t> </w:t>
      </w:r>
      <w:r>
        <w:rPr>
          <w:sz w:val="20"/>
        </w:rPr>
        <w:t>disputes were</w:t>
      </w:r>
      <w:r>
        <w:rPr>
          <w:spacing w:val="-18"/>
          <w:sz w:val="20"/>
        </w:rPr>
        <w:t> </w:t>
      </w:r>
      <w:r>
        <w:rPr>
          <w:sz w:val="20"/>
        </w:rPr>
        <w:t>more</w:t>
      </w:r>
      <w:r>
        <w:rPr>
          <w:spacing w:val="-18"/>
          <w:sz w:val="20"/>
        </w:rPr>
        <w:t> </w:t>
      </w:r>
      <w:r>
        <w:rPr>
          <w:sz w:val="20"/>
        </w:rPr>
        <w:t>likely</w:t>
      </w:r>
      <w:r>
        <w:rPr>
          <w:spacing w:val="-17"/>
          <w:sz w:val="20"/>
        </w:rPr>
        <w:t> </w:t>
      </w:r>
      <w:r>
        <w:rPr>
          <w:sz w:val="20"/>
        </w:rPr>
        <w:t>to</w:t>
      </w:r>
      <w:r>
        <w:rPr>
          <w:spacing w:val="-18"/>
          <w:sz w:val="20"/>
        </w:rPr>
        <w:t> </w:t>
      </w:r>
      <w:r>
        <w:rPr>
          <w:sz w:val="20"/>
        </w:rPr>
        <w:t>have</w:t>
      </w:r>
      <w:r>
        <w:rPr>
          <w:spacing w:val="-17"/>
          <w:sz w:val="20"/>
        </w:rPr>
        <w:t> </w:t>
      </w:r>
      <w:r>
        <w:rPr>
          <w:sz w:val="20"/>
        </w:rPr>
        <w:t>engaged</w:t>
      </w:r>
      <w:r>
        <w:rPr>
          <w:spacing w:val="-18"/>
          <w:sz w:val="20"/>
        </w:rPr>
        <w:t> </w:t>
      </w:r>
      <w:r>
        <w:rPr>
          <w:sz w:val="20"/>
        </w:rPr>
        <w:t>in</w:t>
      </w:r>
      <w:r>
        <w:rPr>
          <w:spacing w:val="-18"/>
          <w:sz w:val="20"/>
        </w:rPr>
        <w:t> </w:t>
      </w:r>
      <w:r>
        <w:rPr>
          <w:sz w:val="20"/>
        </w:rPr>
        <w:t>EC</w:t>
      </w:r>
      <w:r>
        <w:rPr>
          <w:spacing w:val="-17"/>
          <w:sz w:val="20"/>
        </w:rPr>
        <w:t> </w:t>
      </w:r>
      <w:r>
        <w:rPr>
          <w:sz w:val="20"/>
        </w:rPr>
        <w:t>with</w:t>
      </w:r>
      <w:r>
        <w:rPr>
          <w:spacing w:val="-18"/>
          <w:sz w:val="20"/>
        </w:rPr>
        <w:t> </w:t>
      </w:r>
      <w:r>
        <w:rPr>
          <w:sz w:val="20"/>
        </w:rPr>
        <w:t>no</w:t>
      </w:r>
      <w:r>
        <w:rPr>
          <w:spacing w:val="-17"/>
          <w:sz w:val="20"/>
        </w:rPr>
        <w:t> </w:t>
      </w:r>
      <w:r>
        <w:rPr>
          <w:sz w:val="20"/>
        </w:rPr>
        <w:t>intention</w:t>
      </w:r>
      <w:r>
        <w:rPr>
          <w:spacing w:val="-18"/>
          <w:sz w:val="20"/>
        </w:rPr>
        <w:t> </w:t>
      </w:r>
      <w:r>
        <w:rPr>
          <w:sz w:val="20"/>
        </w:rPr>
        <w:t>of</w:t>
      </w:r>
      <w:r>
        <w:rPr>
          <w:spacing w:val="-17"/>
          <w:sz w:val="20"/>
        </w:rPr>
        <w:t> </w:t>
      </w:r>
      <w:r>
        <w:rPr>
          <w:sz w:val="20"/>
        </w:rPr>
        <w:t>going</w:t>
      </w:r>
      <w:r>
        <w:rPr>
          <w:spacing w:val="-18"/>
          <w:sz w:val="20"/>
        </w:rPr>
        <w:t> </w:t>
      </w:r>
      <w:r>
        <w:rPr>
          <w:sz w:val="20"/>
        </w:rPr>
        <w:t>to</w:t>
      </w:r>
      <w:r>
        <w:rPr>
          <w:spacing w:val="-18"/>
          <w:sz w:val="20"/>
        </w:rPr>
        <w:t> </w:t>
      </w:r>
      <w:r>
        <w:rPr>
          <w:sz w:val="20"/>
        </w:rPr>
        <w:t>Tribunal if a settlement could not be reached (29 per cent and 24 per cent respectively compared with 16 per cent for open track disputes);</w:t>
      </w:r>
    </w:p>
    <w:p>
      <w:pPr>
        <w:pStyle w:val="ListParagraph"/>
        <w:numPr>
          <w:ilvl w:val="3"/>
          <w:numId w:val="13"/>
        </w:numPr>
        <w:tabs>
          <w:tab w:pos="2058" w:val="left" w:leader="none"/>
        </w:tabs>
        <w:spacing w:line="240" w:lineRule="auto" w:before="0" w:after="0"/>
        <w:ind w:left="2057" w:right="1472" w:hanging="360"/>
        <w:jc w:val="both"/>
        <w:rPr>
          <w:sz w:val="20"/>
        </w:rPr>
      </w:pPr>
      <w:r>
        <w:rPr>
          <w:sz w:val="20"/>
        </w:rPr>
        <w:t>Claimants in open track disputes were more likely to have submitted their EC notification form as part of the path to tribunal but remained willing to see</w:t>
      </w:r>
      <w:r>
        <w:rPr>
          <w:spacing w:val="-14"/>
          <w:sz w:val="20"/>
        </w:rPr>
        <w:t> </w:t>
      </w:r>
      <w:r>
        <w:rPr>
          <w:sz w:val="20"/>
        </w:rPr>
        <w:t>if</w:t>
      </w:r>
      <w:r>
        <w:rPr>
          <w:spacing w:val="-14"/>
          <w:sz w:val="20"/>
        </w:rPr>
        <w:t> </w:t>
      </w:r>
      <w:r>
        <w:rPr>
          <w:sz w:val="20"/>
        </w:rPr>
        <w:t>a</w:t>
      </w:r>
      <w:r>
        <w:rPr>
          <w:spacing w:val="-14"/>
          <w:sz w:val="20"/>
        </w:rPr>
        <w:t> </w:t>
      </w:r>
      <w:r>
        <w:rPr>
          <w:sz w:val="20"/>
        </w:rPr>
        <w:t>settlement</w:t>
      </w:r>
      <w:r>
        <w:rPr>
          <w:spacing w:val="-14"/>
          <w:sz w:val="20"/>
        </w:rPr>
        <w:t> </w:t>
      </w:r>
      <w:r>
        <w:rPr>
          <w:sz w:val="20"/>
        </w:rPr>
        <w:t>could</w:t>
      </w:r>
      <w:r>
        <w:rPr>
          <w:spacing w:val="-14"/>
          <w:sz w:val="20"/>
        </w:rPr>
        <w:t> </w:t>
      </w:r>
      <w:r>
        <w:rPr>
          <w:sz w:val="20"/>
        </w:rPr>
        <w:t>be</w:t>
      </w:r>
      <w:r>
        <w:rPr>
          <w:spacing w:val="-14"/>
          <w:sz w:val="20"/>
        </w:rPr>
        <w:t> </w:t>
      </w:r>
      <w:r>
        <w:rPr>
          <w:sz w:val="20"/>
        </w:rPr>
        <w:t>reached</w:t>
      </w:r>
      <w:r>
        <w:rPr>
          <w:spacing w:val="-14"/>
          <w:sz w:val="20"/>
        </w:rPr>
        <w:t> </w:t>
      </w:r>
      <w:r>
        <w:rPr>
          <w:sz w:val="20"/>
        </w:rPr>
        <w:t>(62</w:t>
      </w:r>
      <w:r>
        <w:rPr>
          <w:spacing w:val="-14"/>
          <w:sz w:val="20"/>
        </w:rPr>
        <w:t> </w:t>
      </w:r>
      <w:r>
        <w:rPr>
          <w:sz w:val="20"/>
        </w:rPr>
        <w:t>per</w:t>
      </w:r>
      <w:r>
        <w:rPr>
          <w:spacing w:val="-14"/>
          <w:sz w:val="20"/>
        </w:rPr>
        <w:t> </w:t>
      </w:r>
      <w:r>
        <w:rPr>
          <w:sz w:val="20"/>
        </w:rPr>
        <w:t>cent</w:t>
      </w:r>
      <w:r>
        <w:rPr>
          <w:spacing w:val="-14"/>
          <w:sz w:val="20"/>
        </w:rPr>
        <w:t> </w:t>
      </w:r>
      <w:r>
        <w:rPr>
          <w:sz w:val="20"/>
        </w:rPr>
        <w:t>compared</w:t>
      </w:r>
      <w:r>
        <w:rPr>
          <w:spacing w:val="-14"/>
          <w:sz w:val="20"/>
        </w:rPr>
        <w:t> </w:t>
      </w:r>
      <w:r>
        <w:rPr>
          <w:sz w:val="20"/>
        </w:rPr>
        <w:t>with</w:t>
      </w:r>
      <w:r>
        <w:rPr>
          <w:spacing w:val="-14"/>
          <w:sz w:val="20"/>
        </w:rPr>
        <w:t> </w:t>
      </w:r>
      <w:r>
        <w:rPr>
          <w:sz w:val="20"/>
        </w:rPr>
        <w:t>47</w:t>
      </w:r>
      <w:r>
        <w:rPr>
          <w:spacing w:val="-14"/>
          <w:sz w:val="20"/>
        </w:rPr>
        <w:t> </w:t>
      </w:r>
      <w:r>
        <w:rPr>
          <w:sz w:val="20"/>
        </w:rPr>
        <w:t>per</w:t>
      </w:r>
      <w:r>
        <w:rPr>
          <w:spacing w:val="-14"/>
          <w:sz w:val="20"/>
        </w:rPr>
        <w:t> </w:t>
      </w:r>
      <w:r>
        <w:rPr>
          <w:sz w:val="20"/>
        </w:rPr>
        <w:t>cent of fast track disputes and 56 per cent of those in standard track disputes). This is consistent with the findings from 2015. See Figure 5.</w:t>
      </w:r>
    </w:p>
    <w:p>
      <w:pPr>
        <w:pStyle w:val="BodyText"/>
        <w:spacing w:before="10"/>
        <w:rPr>
          <w:sz w:val="19"/>
        </w:rPr>
      </w:pPr>
    </w:p>
    <w:p>
      <w:pPr>
        <w:pStyle w:val="Heading3"/>
        <w:ind w:right="1472"/>
        <w:jc w:val="left"/>
      </w:pPr>
      <w:r>
        <w:rPr/>
        <w:t>Figure 5. Claimant-side participant reasons for submitting an EC form by </w:t>
      </w:r>
      <w:r>
        <w:rPr>
          <w:spacing w:val="-2"/>
        </w:rPr>
        <w:t>track</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
        <w:rPr>
          <w:b/>
          <w:sz w:val="29"/>
        </w:rPr>
      </w:pPr>
    </w:p>
    <w:p>
      <w:pPr>
        <w:spacing w:before="55"/>
        <w:ind w:left="1337" w:right="0" w:firstLine="0"/>
        <w:jc w:val="left"/>
        <w:rPr>
          <w:rFonts w:ascii="Calibri"/>
          <w:sz w:val="22"/>
        </w:rPr>
      </w:pPr>
      <w:r>
        <w:rPr/>
        <w:drawing>
          <wp:anchor distT="0" distB="0" distL="0" distR="0" allowOverlap="1" layoutInCell="1" locked="0" behindDoc="0" simplePos="0" relativeHeight="15734272">
            <wp:simplePos x="0" y="0"/>
            <wp:positionH relativeFrom="page">
              <wp:posOffset>1181751</wp:posOffset>
            </wp:positionH>
            <wp:positionV relativeFrom="paragraph">
              <wp:posOffset>-3317875</wp:posOffset>
            </wp:positionV>
            <wp:extent cx="5118769" cy="3486476"/>
            <wp:effectExtent l="0" t="0" r="0" b="0"/>
            <wp:wrapNone/>
            <wp:docPr id="15" name="image8.png" descr="Graph showing claimant-side participant reasons for submitting an EC form by track"/>
            <wp:cNvGraphicFramePr>
              <a:graphicFrameLocks noChangeAspect="1"/>
            </wp:cNvGraphicFramePr>
            <a:graphic>
              <a:graphicData uri="http://schemas.openxmlformats.org/drawingml/2006/picture">
                <pic:pic>
                  <pic:nvPicPr>
                    <pic:cNvPr id="16" name="image8.png"/>
                    <pic:cNvPicPr/>
                  </pic:nvPicPr>
                  <pic:blipFill>
                    <a:blip r:embed="rId19" cstate="print"/>
                    <a:stretch>
                      <a:fillRect/>
                    </a:stretch>
                  </pic:blipFill>
                  <pic:spPr>
                    <a:xfrm>
                      <a:off x="0" y="0"/>
                      <a:ext cx="5118769" cy="3486476"/>
                    </a:xfrm>
                    <a:prstGeom prst="rect">
                      <a:avLst/>
                    </a:prstGeom>
                  </pic:spPr>
                </pic:pic>
              </a:graphicData>
            </a:graphic>
          </wp:anchor>
        </w:drawing>
      </w:r>
      <w:r>
        <w:rPr>
          <w:rFonts w:ascii="Calibri"/>
          <w:w w:val="99"/>
          <w:sz w:val="22"/>
        </w:rPr>
        <w:t>`</w:t>
      </w:r>
    </w:p>
    <w:p>
      <w:pPr>
        <w:pStyle w:val="BodyText"/>
        <w:rPr>
          <w:rFonts w:ascii="Calibri"/>
          <w:sz w:val="22"/>
        </w:rPr>
      </w:pPr>
    </w:p>
    <w:p>
      <w:pPr>
        <w:pStyle w:val="Heading4"/>
        <w:numPr>
          <w:ilvl w:val="2"/>
          <w:numId w:val="13"/>
        </w:numPr>
        <w:tabs>
          <w:tab w:pos="2058" w:val="left" w:leader="none"/>
        </w:tabs>
        <w:spacing w:line="240" w:lineRule="auto" w:before="1" w:after="0"/>
        <w:ind w:left="2057" w:right="0" w:hanging="721"/>
        <w:jc w:val="both"/>
        <w:rPr>
          <w:i/>
        </w:rPr>
      </w:pPr>
      <w:bookmarkStart w:name="8.1.3 The role of the form in explaining" w:id="51"/>
      <w:bookmarkEnd w:id="51"/>
      <w:r>
        <w:rPr>
          <w:i/>
        </w:rPr>
        <w:t>The</w:t>
      </w:r>
      <w:r>
        <w:rPr>
          <w:i/>
          <w:spacing w:val="-5"/>
        </w:rPr>
        <w:t> </w:t>
      </w:r>
      <w:r>
        <w:rPr>
          <w:i/>
        </w:rPr>
        <w:t>role</w:t>
      </w:r>
      <w:r>
        <w:rPr>
          <w:i/>
          <w:spacing w:val="-3"/>
        </w:rPr>
        <w:t> </w:t>
      </w:r>
      <w:r>
        <w:rPr>
          <w:i/>
        </w:rPr>
        <w:t>of</w:t>
      </w:r>
      <w:r>
        <w:rPr>
          <w:i/>
          <w:spacing w:val="-4"/>
        </w:rPr>
        <w:t> </w:t>
      </w:r>
      <w:r>
        <w:rPr>
          <w:i/>
        </w:rPr>
        <w:t>the</w:t>
      </w:r>
      <w:r>
        <w:rPr>
          <w:i/>
          <w:spacing w:val="-3"/>
        </w:rPr>
        <w:t> </w:t>
      </w:r>
      <w:r>
        <w:rPr>
          <w:i/>
        </w:rPr>
        <w:t>form</w:t>
      </w:r>
      <w:r>
        <w:rPr>
          <w:i/>
          <w:spacing w:val="-2"/>
        </w:rPr>
        <w:t> </w:t>
      </w:r>
      <w:r>
        <w:rPr>
          <w:i/>
        </w:rPr>
        <w:t>in</w:t>
      </w:r>
      <w:r>
        <w:rPr>
          <w:i/>
          <w:spacing w:val="-4"/>
        </w:rPr>
        <w:t> </w:t>
      </w:r>
      <w:r>
        <w:rPr>
          <w:i/>
        </w:rPr>
        <w:t>explaining</w:t>
      </w:r>
      <w:r>
        <w:rPr>
          <w:i/>
          <w:spacing w:val="-3"/>
        </w:rPr>
        <w:t> </w:t>
      </w:r>
      <w:r>
        <w:rPr>
          <w:i/>
        </w:rPr>
        <w:t>Early</w:t>
      </w:r>
      <w:r>
        <w:rPr>
          <w:i/>
          <w:spacing w:val="-3"/>
        </w:rPr>
        <w:t> </w:t>
      </w:r>
      <w:r>
        <w:rPr>
          <w:i/>
          <w:spacing w:val="-2"/>
        </w:rPr>
        <w:t>Conciliation</w:t>
      </w:r>
    </w:p>
    <w:p>
      <w:pPr>
        <w:pStyle w:val="BodyText"/>
        <w:spacing w:before="60"/>
        <w:ind w:left="1337" w:right="1472"/>
        <w:jc w:val="both"/>
        <w:rPr>
          <w:sz w:val="13"/>
        </w:rPr>
      </w:pPr>
      <w:r>
        <w:rPr/>
        <w:t>Claimant-side participants were asked whether the information provided by Acas at the point they completed the EC notification form helped them to understand how the Early Conciliation process worked.</w:t>
      </w:r>
      <w:hyperlink w:history="true" w:anchor="_bookmark73">
        <w:r>
          <w:rPr>
            <w:position w:val="7"/>
            <w:sz w:val="13"/>
          </w:rPr>
          <w:t>7</w:t>
        </w:r>
      </w:hyperlink>
    </w:p>
    <w:p>
      <w:pPr>
        <w:pStyle w:val="BodyText"/>
      </w:pPr>
    </w:p>
    <w:p>
      <w:pPr>
        <w:pStyle w:val="BodyText"/>
        <w:ind w:left="1337"/>
        <w:jc w:val="both"/>
      </w:pPr>
      <w:r>
        <w:rPr/>
        <w:t>Overall</w:t>
      </w:r>
      <w:r>
        <w:rPr>
          <w:spacing w:val="-7"/>
        </w:rPr>
        <w:t> </w:t>
      </w:r>
      <w:r>
        <w:rPr/>
        <w:t>responses</w:t>
      </w:r>
      <w:r>
        <w:rPr>
          <w:spacing w:val="-3"/>
        </w:rPr>
        <w:t> </w:t>
      </w:r>
      <w:r>
        <w:rPr/>
        <w:t>were</w:t>
      </w:r>
      <w:r>
        <w:rPr>
          <w:spacing w:val="-5"/>
        </w:rPr>
        <w:t> </w:t>
      </w:r>
      <w:r>
        <w:rPr/>
        <w:t>positive,</w:t>
      </w:r>
      <w:r>
        <w:rPr>
          <w:spacing w:val="-3"/>
        </w:rPr>
        <w:t> </w:t>
      </w:r>
      <w:r>
        <w:rPr/>
        <w:t>with</w:t>
      </w:r>
      <w:r>
        <w:rPr>
          <w:spacing w:val="-4"/>
        </w:rPr>
        <w:t> </w:t>
      </w:r>
      <w:r>
        <w:rPr/>
        <w:t>claimants</w:t>
      </w:r>
      <w:r>
        <w:rPr>
          <w:spacing w:val="-4"/>
        </w:rPr>
        <w:t> </w:t>
      </w:r>
      <w:r>
        <w:rPr/>
        <w:t>more</w:t>
      </w:r>
      <w:r>
        <w:rPr>
          <w:spacing w:val="-4"/>
        </w:rPr>
        <w:t> </w:t>
      </w:r>
      <w:r>
        <w:rPr/>
        <w:t>so</w:t>
      </w:r>
      <w:r>
        <w:rPr>
          <w:spacing w:val="-3"/>
        </w:rPr>
        <w:t> </w:t>
      </w:r>
      <w:r>
        <w:rPr/>
        <w:t>than</w:t>
      </w:r>
      <w:r>
        <w:rPr>
          <w:spacing w:val="-3"/>
        </w:rPr>
        <w:t> </w:t>
      </w:r>
      <w:r>
        <w:rPr>
          <w:spacing w:val="-2"/>
        </w:rPr>
        <w:t>representatives:</w:t>
      </w:r>
    </w:p>
    <w:p>
      <w:pPr>
        <w:spacing w:after="0"/>
        <w:jc w:val="both"/>
        <w:sectPr>
          <w:pgSz w:w="11910" w:h="16840"/>
          <w:pgMar w:header="0" w:footer="996" w:top="1340" w:bottom="1180" w:left="460" w:right="320"/>
        </w:sectPr>
      </w:pPr>
    </w:p>
    <w:p>
      <w:pPr>
        <w:pStyle w:val="ListParagraph"/>
        <w:numPr>
          <w:ilvl w:val="3"/>
          <w:numId w:val="13"/>
        </w:numPr>
        <w:tabs>
          <w:tab w:pos="2058" w:val="left" w:leader="none"/>
        </w:tabs>
        <w:spacing w:line="237" w:lineRule="auto" w:before="84" w:after="0"/>
        <w:ind w:left="2057" w:right="1473" w:hanging="360"/>
        <w:jc w:val="both"/>
        <w:rPr>
          <w:sz w:val="20"/>
        </w:rPr>
      </w:pPr>
      <w:r>
        <w:rPr>
          <w:sz w:val="20"/>
        </w:rPr>
        <w:t>Three in four claimant-side participants (75 per cent) agreed that the information provided was helpful.</w:t>
      </w:r>
    </w:p>
    <w:p>
      <w:pPr>
        <w:pStyle w:val="ListParagraph"/>
        <w:numPr>
          <w:ilvl w:val="3"/>
          <w:numId w:val="13"/>
        </w:numPr>
        <w:tabs>
          <w:tab w:pos="2058" w:val="left" w:leader="none"/>
        </w:tabs>
        <w:spacing w:line="237" w:lineRule="auto" w:before="3" w:after="0"/>
        <w:ind w:left="2057" w:right="1474" w:hanging="360"/>
        <w:jc w:val="both"/>
        <w:rPr>
          <w:sz w:val="20"/>
        </w:rPr>
      </w:pPr>
      <w:r>
        <w:rPr>
          <w:sz w:val="20"/>
        </w:rPr>
        <w:t>This</w:t>
      </w:r>
      <w:r>
        <w:rPr>
          <w:spacing w:val="-3"/>
          <w:sz w:val="20"/>
        </w:rPr>
        <w:t> </w:t>
      </w:r>
      <w:r>
        <w:rPr>
          <w:sz w:val="20"/>
        </w:rPr>
        <w:t>rose</w:t>
      </w:r>
      <w:r>
        <w:rPr>
          <w:spacing w:val="-5"/>
          <w:sz w:val="20"/>
        </w:rPr>
        <w:t> </w:t>
      </w:r>
      <w:r>
        <w:rPr>
          <w:sz w:val="20"/>
        </w:rPr>
        <w:t>to</w:t>
      </w:r>
      <w:r>
        <w:rPr>
          <w:spacing w:val="-4"/>
          <w:sz w:val="20"/>
        </w:rPr>
        <w:t> </w:t>
      </w:r>
      <w:r>
        <w:rPr>
          <w:sz w:val="20"/>
        </w:rPr>
        <w:t>eight</w:t>
      </w:r>
      <w:r>
        <w:rPr>
          <w:spacing w:val="-3"/>
          <w:sz w:val="20"/>
        </w:rPr>
        <w:t> </w:t>
      </w:r>
      <w:r>
        <w:rPr>
          <w:sz w:val="20"/>
        </w:rPr>
        <w:t>in</w:t>
      </w:r>
      <w:r>
        <w:rPr>
          <w:spacing w:val="-4"/>
          <w:sz w:val="20"/>
        </w:rPr>
        <w:t> </w:t>
      </w:r>
      <w:r>
        <w:rPr>
          <w:sz w:val="20"/>
        </w:rPr>
        <w:t>ten</w:t>
      </w:r>
      <w:r>
        <w:rPr>
          <w:spacing w:val="-4"/>
          <w:sz w:val="20"/>
        </w:rPr>
        <w:t> </w:t>
      </w:r>
      <w:r>
        <w:rPr>
          <w:sz w:val="20"/>
        </w:rPr>
        <w:t>(79</w:t>
      </w:r>
      <w:r>
        <w:rPr>
          <w:spacing w:val="-5"/>
          <w:sz w:val="20"/>
        </w:rPr>
        <w:t> </w:t>
      </w:r>
      <w:r>
        <w:rPr>
          <w:sz w:val="20"/>
        </w:rPr>
        <w:t>per</w:t>
      </w:r>
      <w:r>
        <w:rPr>
          <w:spacing w:val="-4"/>
          <w:sz w:val="20"/>
        </w:rPr>
        <w:t> </w:t>
      </w:r>
      <w:r>
        <w:rPr>
          <w:sz w:val="20"/>
        </w:rPr>
        <w:t>cent)</w:t>
      </w:r>
      <w:r>
        <w:rPr>
          <w:spacing w:val="-4"/>
          <w:sz w:val="20"/>
        </w:rPr>
        <w:t> </w:t>
      </w:r>
      <w:r>
        <w:rPr>
          <w:sz w:val="20"/>
        </w:rPr>
        <w:t>among</w:t>
      </w:r>
      <w:r>
        <w:rPr>
          <w:spacing w:val="-4"/>
          <w:sz w:val="20"/>
        </w:rPr>
        <w:t> </w:t>
      </w:r>
      <w:r>
        <w:rPr>
          <w:sz w:val="20"/>
        </w:rPr>
        <w:t>claimants</w:t>
      </w:r>
      <w:r>
        <w:rPr>
          <w:spacing w:val="-3"/>
          <w:sz w:val="20"/>
        </w:rPr>
        <w:t> </w:t>
      </w:r>
      <w:r>
        <w:rPr>
          <w:sz w:val="20"/>
        </w:rPr>
        <w:t>only,</w:t>
      </w:r>
      <w:r>
        <w:rPr>
          <w:spacing w:val="-4"/>
          <w:sz w:val="20"/>
        </w:rPr>
        <w:t> </w:t>
      </w:r>
      <w:r>
        <w:rPr>
          <w:sz w:val="20"/>
        </w:rPr>
        <w:t>with</w:t>
      </w:r>
      <w:r>
        <w:rPr>
          <w:spacing w:val="-4"/>
          <w:sz w:val="20"/>
        </w:rPr>
        <w:t> </w:t>
      </w:r>
      <w:r>
        <w:rPr>
          <w:sz w:val="20"/>
        </w:rPr>
        <w:t>just</w:t>
      </w:r>
      <w:r>
        <w:rPr>
          <w:spacing w:val="-5"/>
          <w:sz w:val="20"/>
        </w:rPr>
        <w:t> </w:t>
      </w:r>
      <w:r>
        <w:rPr>
          <w:sz w:val="20"/>
        </w:rPr>
        <w:t>over half (54 per cent) strongly agreeing</w:t>
      </w:r>
    </w:p>
    <w:p>
      <w:pPr>
        <w:pStyle w:val="ListParagraph"/>
        <w:numPr>
          <w:ilvl w:val="3"/>
          <w:numId w:val="13"/>
        </w:numPr>
        <w:tabs>
          <w:tab w:pos="2058" w:val="left" w:leader="none"/>
        </w:tabs>
        <w:spacing w:line="240" w:lineRule="auto" w:before="1" w:after="0"/>
        <w:ind w:left="2057" w:right="1471" w:hanging="361"/>
        <w:jc w:val="both"/>
        <w:rPr>
          <w:sz w:val="20"/>
        </w:rPr>
      </w:pPr>
      <w:r>
        <w:rPr>
          <w:sz w:val="20"/>
        </w:rPr>
        <w:t>Two thirds (66 per cent) of claimant representatives agreed that the information provided was helpful and just over one third (36 per cent) strongly agreed</w:t>
      </w:r>
    </w:p>
    <w:p>
      <w:pPr>
        <w:pStyle w:val="BodyText"/>
        <w:spacing w:before="10"/>
        <w:rPr>
          <w:sz w:val="19"/>
        </w:rPr>
      </w:pPr>
    </w:p>
    <w:p>
      <w:pPr>
        <w:pStyle w:val="BodyText"/>
        <w:ind w:left="1337" w:right="1472" w:hanging="1"/>
        <w:jc w:val="both"/>
        <w:rPr>
          <w:i/>
        </w:rPr>
      </w:pPr>
      <w:r>
        <w:rPr/>
        <w:t>As detailed in the regression analysis in Chapter 10, this question was found to have</w:t>
      </w:r>
      <w:r>
        <w:rPr>
          <w:spacing w:val="-13"/>
        </w:rPr>
        <w:t> </w:t>
      </w:r>
      <w:r>
        <w:rPr/>
        <w:t>a</w:t>
      </w:r>
      <w:r>
        <w:rPr>
          <w:spacing w:val="-13"/>
        </w:rPr>
        <w:t> </w:t>
      </w:r>
      <w:r>
        <w:rPr/>
        <w:t>significant</w:t>
      </w:r>
      <w:r>
        <w:rPr>
          <w:spacing w:val="-12"/>
        </w:rPr>
        <w:t> </w:t>
      </w:r>
      <w:r>
        <w:rPr/>
        <w:t>impact</w:t>
      </w:r>
      <w:r>
        <w:rPr>
          <w:spacing w:val="-12"/>
        </w:rPr>
        <w:t> </w:t>
      </w:r>
      <w:r>
        <w:rPr/>
        <w:t>on</w:t>
      </w:r>
      <w:r>
        <w:rPr>
          <w:spacing w:val="-12"/>
        </w:rPr>
        <w:t> </w:t>
      </w:r>
      <w:r>
        <w:rPr/>
        <w:t>the</w:t>
      </w:r>
      <w:r>
        <w:rPr>
          <w:spacing w:val="-13"/>
        </w:rPr>
        <w:t> </w:t>
      </w:r>
      <w:r>
        <w:rPr/>
        <w:t>likelihood</w:t>
      </w:r>
      <w:r>
        <w:rPr>
          <w:spacing w:val="-13"/>
        </w:rPr>
        <w:t> </w:t>
      </w:r>
      <w:r>
        <w:rPr/>
        <w:t>of</w:t>
      </w:r>
      <w:r>
        <w:rPr>
          <w:spacing w:val="-12"/>
        </w:rPr>
        <w:t> </w:t>
      </w:r>
      <w:r>
        <w:rPr/>
        <w:t>unrepresented</w:t>
      </w:r>
      <w:r>
        <w:rPr>
          <w:spacing w:val="-13"/>
        </w:rPr>
        <w:t> </w:t>
      </w:r>
      <w:r>
        <w:rPr/>
        <w:t>claimants</w:t>
      </w:r>
      <w:r>
        <w:rPr>
          <w:spacing w:val="-13"/>
        </w:rPr>
        <w:t> </w:t>
      </w:r>
      <w:r>
        <w:rPr/>
        <w:t>settling</w:t>
      </w:r>
      <w:r>
        <w:rPr>
          <w:spacing w:val="-13"/>
        </w:rPr>
        <w:t> </w:t>
      </w:r>
      <w:r>
        <w:rPr/>
        <w:t>their case</w:t>
      </w:r>
      <w:r>
        <w:rPr>
          <w:spacing w:val="-12"/>
        </w:rPr>
        <w:t> </w:t>
      </w:r>
      <w:r>
        <w:rPr/>
        <w:t>successfully.</w:t>
      </w:r>
      <w:r>
        <w:rPr>
          <w:spacing w:val="-12"/>
        </w:rPr>
        <w:t> </w:t>
      </w:r>
      <w:r>
        <w:rPr/>
        <w:t>Those</w:t>
      </w:r>
      <w:r>
        <w:rPr>
          <w:spacing w:val="-12"/>
        </w:rPr>
        <w:t> </w:t>
      </w:r>
      <w:r>
        <w:rPr/>
        <w:t>who</w:t>
      </w:r>
      <w:r>
        <w:rPr>
          <w:spacing w:val="-12"/>
        </w:rPr>
        <w:t> </w:t>
      </w:r>
      <w:r>
        <w:rPr/>
        <w:t>agreed</w:t>
      </w:r>
      <w:r>
        <w:rPr>
          <w:spacing w:val="-11"/>
        </w:rPr>
        <w:t> </w:t>
      </w:r>
      <w:r>
        <w:rPr/>
        <w:t>that</w:t>
      </w:r>
      <w:r>
        <w:rPr>
          <w:spacing w:val="-12"/>
        </w:rPr>
        <w:t> </w:t>
      </w:r>
      <w:r>
        <w:rPr/>
        <w:t>that</w:t>
      </w:r>
      <w:r>
        <w:rPr>
          <w:spacing w:val="-12"/>
        </w:rPr>
        <w:t> </w:t>
      </w:r>
      <w:r>
        <w:rPr/>
        <w:t>the</w:t>
      </w:r>
      <w:r>
        <w:rPr>
          <w:spacing w:val="-12"/>
        </w:rPr>
        <w:t> </w:t>
      </w:r>
      <w:r>
        <w:rPr/>
        <w:t>information</w:t>
      </w:r>
      <w:r>
        <w:rPr>
          <w:spacing w:val="-11"/>
        </w:rPr>
        <w:t> </w:t>
      </w:r>
      <w:r>
        <w:rPr/>
        <w:t>provided</w:t>
      </w:r>
      <w:r>
        <w:rPr>
          <w:spacing w:val="-12"/>
        </w:rPr>
        <w:t> </w:t>
      </w:r>
      <w:r>
        <w:rPr/>
        <w:t>was</w:t>
      </w:r>
      <w:r>
        <w:rPr>
          <w:spacing w:val="-13"/>
        </w:rPr>
        <w:t> </w:t>
      </w:r>
      <w:r>
        <w:rPr/>
        <w:t>helpful were associated with a higher likelihood of a settlement than those who did not. Regression analysis also shows that the helpfulness of information at the EC notification form stage also has a positive impact on the likelihood of claimants to take up EC in the first place (see </w:t>
      </w:r>
      <w:r>
        <w:rPr>
          <w:i/>
        </w:rPr>
        <w:t>8.3.2 Factors determining the acceptance of the</w:t>
      </w:r>
      <w:r>
        <w:rPr>
          <w:i/>
        </w:rPr>
        <w:t> offer of EC </w:t>
      </w:r>
      <w:r>
        <w:rPr/>
        <w:t>for more</w:t>
      </w:r>
      <w:r>
        <w:rPr>
          <w:i/>
        </w:rPr>
        <w:t>).</w:t>
      </w:r>
    </w:p>
    <w:p>
      <w:pPr>
        <w:pStyle w:val="BodyText"/>
        <w:rPr>
          <w:i/>
          <w:sz w:val="24"/>
        </w:rPr>
      </w:pPr>
    </w:p>
    <w:p>
      <w:pPr>
        <w:pStyle w:val="Heading4"/>
        <w:numPr>
          <w:ilvl w:val="2"/>
          <w:numId w:val="13"/>
        </w:numPr>
        <w:tabs>
          <w:tab w:pos="2058" w:val="left" w:leader="none"/>
        </w:tabs>
        <w:spacing w:line="240" w:lineRule="auto" w:before="158" w:after="0"/>
        <w:ind w:left="2057" w:right="0" w:hanging="721"/>
        <w:jc w:val="both"/>
        <w:rPr>
          <w:i/>
        </w:rPr>
      </w:pPr>
      <w:bookmarkStart w:name="8.1.4 Contact by an Early Support Concil" w:id="52"/>
      <w:bookmarkEnd w:id="52"/>
      <w:r>
        <w:rPr>
          <w:i/>
        </w:rPr>
        <w:t>C</w:t>
      </w:r>
      <w:r>
        <w:rPr>
          <w:i/>
        </w:rPr>
        <w:t>ontact</w:t>
      </w:r>
      <w:r>
        <w:rPr>
          <w:i/>
          <w:spacing w:val="-8"/>
        </w:rPr>
        <w:t> </w:t>
      </w:r>
      <w:r>
        <w:rPr>
          <w:i/>
        </w:rPr>
        <w:t>by</w:t>
      </w:r>
      <w:r>
        <w:rPr>
          <w:i/>
          <w:spacing w:val="-4"/>
        </w:rPr>
        <w:t> </w:t>
      </w:r>
      <w:r>
        <w:rPr>
          <w:i/>
        </w:rPr>
        <w:t>an</w:t>
      </w:r>
      <w:r>
        <w:rPr>
          <w:i/>
          <w:spacing w:val="-3"/>
        </w:rPr>
        <w:t> </w:t>
      </w:r>
      <w:r>
        <w:rPr>
          <w:i/>
        </w:rPr>
        <w:t>Early</w:t>
      </w:r>
      <w:r>
        <w:rPr>
          <w:i/>
          <w:spacing w:val="-3"/>
        </w:rPr>
        <w:t> </w:t>
      </w:r>
      <w:r>
        <w:rPr>
          <w:i/>
        </w:rPr>
        <w:t>Support</w:t>
      </w:r>
      <w:r>
        <w:rPr>
          <w:i/>
          <w:spacing w:val="-5"/>
        </w:rPr>
        <w:t> </w:t>
      </w:r>
      <w:r>
        <w:rPr>
          <w:i/>
        </w:rPr>
        <w:t>Conciliation</w:t>
      </w:r>
      <w:r>
        <w:rPr>
          <w:i/>
          <w:spacing w:val="-5"/>
        </w:rPr>
        <w:t> </w:t>
      </w:r>
      <w:r>
        <w:rPr>
          <w:i/>
        </w:rPr>
        <w:t>Support</w:t>
      </w:r>
      <w:r>
        <w:rPr>
          <w:i/>
          <w:spacing w:val="-4"/>
        </w:rPr>
        <w:t> </w:t>
      </w:r>
      <w:r>
        <w:rPr>
          <w:i/>
          <w:spacing w:val="-2"/>
        </w:rPr>
        <w:t>Officer</w:t>
      </w:r>
    </w:p>
    <w:p>
      <w:pPr>
        <w:pStyle w:val="BodyText"/>
        <w:spacing w:before="60"/>
        <w:ind w:left="1337" w:right="1472"/>
        <w:jc w:val="both"/>
      </w:pPr>
      <w:r>
        <w:rPr/>
        <w:t>Claimants were asked how quickly they were contacted by an Early Conciliation Support</w:t>
      </w:r>
      <w:r>
        <w:rPr>
          <w:spacing w:val="-14"/>
        </w:rPr>
        <w:t> </w:t>
      </w:r>
      <w:r>
        <w:rPr/>
        <w:t>Officer</w:t>
      </w:r>
      <w:r>
        <w:rPr>
          <w:spacing w:val="-14"/>
        </w:rPr>
        <w:t> </w:t>
      </w:r>
      <w:r>
        <w:rPr/>
        <w:t>(ECSO)</w:t>
      </w:r>
      <w:r>
        <w:rPr>
          <w:spacing w:val="-15"/>
        </w:rPr>
        <w:t> </w:t>
      </w:r>
      <w:r>
        <w:rPr/>
        <w:t>after</w:t>
      </w:r>
      <w:r>
        <w:rPr>
          <w:spacing w:val="-14"/>
        </w:rPr>
        <w:t> </w:t>
      </w:r>
      <w:r>
        <w:rPr/>
        <w:t>they</w:t>
      </w:r>
      <w:r>
        <w:rPr>
          <w:spacing w:val="-15"/>
        </w:rPr>
        <w:t> </w:t>
      </w:r>
      <w:r>
        <w:rPr/>
        <w:t>submitted</w:t>
      </w:r>
      <w:r>
        <w:rPr>
          <w:spacing w:val="-14"/>
        </w:rPr>
        <w:t> </w:t>
      </w:r>
      <w:r>
        <w:rPr/>
        <w:t>an</w:t>
      </w:r>
      <w:r>
        <w:rPr>
          <w:spacing w:val="-15"/>
        </w:rPr>
        <w:t> </w:t>
      </w:r>
      <w:r>
        <w:rPr/>
        <w:t>EC</w:t>
      </w:r>
      <w:r>
        <w:rPr>
          <w:spacing w:val="-13"/>
        </w:rPr>
        <w:t> </w:t>
      </w:r>
      <w:r>
        <w:rPr/>
        <w:t>notification</w:t>
      </w:r>
      <w:r>
        <w:rPr>
          <w:spacing w:val="-13"/>
        </w:rPr>
        <w:t> </w:t>
      </w:r>
      <w:r>
        <w:rPr/>
        <w:t>form.</w:t>
      </w:r>
      <w:r>
        <w:rPr>
          <w:spacing w:val="-13"/>
        </w:rPr>
        <w:t> </w:t>
      </w:r>
      <w:r>
        <w:rPr/>
        <w:t>Fifty-eight</w:t>
      </w:r>
      <w:r>
        <w:rPr>
          <w:spacing w:val="-14"/>
        </w:rPr>
        <w:t> </w:t>
      </w:r>
      <w:r>
        <w:rPr/>
        <w:t>per cent reported being contacted by an ECSO within two working days, close to the 2015 figure of 62 per cent. The proportion of claimants being contacted on the same</w:t>
      </w:r>
      <w:r>
        <w:rPr>
          <w:spacing w:val="-18"/>
        </w:rPr>
        <w:t> </w:t>
      </w:r>
      <w:r>
        <w:rPr/>
        <w:t>day</w:t>
      </w:r>
      <w:r>
        <w:rPr>
          <w:spacing w:val="-18"/>
        </w:rPr>
        <w:t> </w:t>
      </w:r>
      <w:r>
        <w:rPr/>
        <w:t>they</w:t>
      </w:r>
      <w:r>
        <w:rPr>
          <w:spacing w:val="-17"/>
        </w:rPr>
        <w:t> </w:t>
      </w:r>
      <w:r>
        <w:rPr/>
        <w:t>submitted</w:t>
      </w:r>
      <w:r>
        <w:rPr>
          <w:spacing w:val="-18"/>
        </w:rPr>
        <w:t> </w:t>
      </w:r>
      <w:r>
        <w:rPr/>
        <w:t>the</w:t>
      </w:r>
      <w:r>
        <w:rPr>
          <w:spacing w:val="-17"/>
        </w:rPr>
        <w:t> </w:t>
      </w:r>
      <w:r>
        <w:rPr/>
        <w:t>EC</w:t>
      </w:r>
      <w:r>
        <w:rPr>
          <w:spacing w:val="-18"/>
        </w:rPr>
        <w:t> </w:t>
      </w:r>
      <w:r>
        <w:rPr/>
        <w:t>notification</w:t>
      </w:r>
      <w:r>
        <w:rPr>
          <w:spacing w:val="-18"/>
        </w:rPr>
        <w:t> </w:t>
      </w:r>
      <w:r>
        <w:rPr/>
        <w:t>form</w:t>
      </w:r>
      <w:r>
        <w:rPr>
          <w:spacing w:val="-17"/>
        </w:rPr>
        <w:t> </w:t>
      </w:r>
      <w:r>
        <w:rPr/>
        <w:t>has</w:t>
      </w:r>
      <w:r>
        <w:rPr>
          <w:spacing w:val="-18"/>
        </w:rPr>
        <w:t> </w:t>
      </w:r>
      <w:r>
        <w:rPr/>
        <w:t>risen</w:t>
      </w:r>
      <w:r>
        <w:rPr>
          <w:spacing w:val="-17"/>
        </w:rPr>
        <w:t> </w:t>
      </w:r>
      <w:r>
        <w:rPr/>
        <w:t>significantly</w:t>
      </w:r>
      <w:r>
        <w:rPr>
          <w:spacing w:val="-18"/>
        </w:rPr>
        <w:t> </w:t>
      </w:r>
      <w:r>
        <w:rPr/>
        <w:t>since</w:t>
      </w:r>
      <w:r>
        <w:rPr>
          <w:spacing w:val="-17"/>
        </w:rPr>
        <w:t> </w:t>
      </w:r>
      <w:r>
        <w:rPr/>
        <w:t>2015, from five per cent to 16 per cent.</w:t>
      </w:r>
    </w:p>
    <w:p>
      <w:pPr>
        <w:pStyle w:val="BodyText"/>
      </w:pPr>
    </w:p>
    <w:p>
      <w:pPr>
        <w:pStyle w:val="BodyText"/>
        <w:ind w:left="1337" w:right="1472"/>
        <w:jc w:val="both"/>
      </w:pPr>
      <w:r>
        <w:rPr/>
        <w:t>They were also asked to rate how well the ECSO had explained the EC service to them. Overall, claimants were very positive, with 82 per cent rating this element of the service as good (59 per cent said ‘very good’ and 23 per cent said ‘fairly good’). Whilst this overall figure has dropped significantly from 2015, when it was 89</w:t>
      </w:r>
      <w:r>
        <w:rPr>
          <w:spacing w:val="-6"/>
        </w:rPr>
        <w:t> </w:t>
      </w:r>
      <w:r>
        <w:rPr/>
        <w:t>per</w:t>
      </w:r>
      <w:r>
        <w:rPr>
          <w:spacing w:val="-7"/>
        </w:rPr>
        <w:t> </w:t>
      </w:r>
      <w:r>
        <w:rPr/>
        <w:t>cent,</w:t>
      </w:r>
      <w:r>
        <w:rPr>
          <w:spacing w:val="-7"/>
        </w:rPr>
        <w:t> </w:t>
      </w:r>
      <w:r>
        <w:rPr/>
        <w:t>it</w:t>
      </w:r>
      <w:r>
        <w:rPr>
          <w:spacing w:val="-5"/>
        </w:rPr>
        <w:t> </w:t>
      </w:r>
      <w:r>
        <w:rPr/>
        <w:t>remains</w:t>
      </w:r>
      <w:r>
        <w:rPr>
          <w:spacing w:val="-7"/>
        </w:rPr>
        <w:t> </w:t>
      </w:r>
      <w:r>
        <w:rPr/>
        <w:t>the</w:t>
      </w:r>
      <w:r>
        <w:rPr>
          <w:spacing w:val="-6"/>
        </w:rPr>
        <w:t> </w:t>
      </w:r>
      <w:r>
        <w:rPr/>
        <w:t>case</w:t>
      </w:r>
      <w:r>
        <w:rPr>
          <w:spacing w:val="-7"/>
        </w:rPr>
        <w:t> </w:t>
      </w:r>
      <w:r>
        <w:rPr/>
        <w:t>that</w:t>
      </w:r>
      <w:r>
        <w:rPr>
          <w:spacing w:val="-5"/>
        </w:rPr>
        <w:t> </w:t>
      </w:r>
      <w:r>
        <w:rPr/>
        <w:t>a</w:t>
      </w:r>
      <w:r>
        <w:rPr>
          <w:spacing w:val="-7"/>
        </w:rPr>
        <w:t> </w:t>
      </w:r>
      <w:r>
        <w:rPr/>
        <w:t>very</w:t>
      </w:r>
      <w:r>
        <w:rPr>
          <w:spacing w:val="-7"/>
        </w:rPr>
        <w:t> </w:t>
      </w:r>
      <w:r>
        <w:rPr/>
        <w:t>small</w:t>
      </w:r>
      <w:r>
        <w:rPr>
          <w:spacing w:val="-7"/>
        </w:rPr>
        <w:t> </w:t>
      </w:r>
      <w:r>
        <w:rPr/>
        <w:t>proportion</w:t>
      </w:r>
      <w:r>
        <w:rPr>
          <w:spacing w:val="-6"/>
        </w:rPr>
        <w:t> </w:t>
      </w:r>
      <w:r>
        <w:rPr/>
        <w:t>(7</w:t>
      </w:r>
      <w:r>
        <w:rPr>
          <w:spacing w:val="-7"/>
        </w:rPr>
        <w:t> </w:t>
      </w:r>
      <w:r>
        <w:rPr/>
        <w:t>per</w:t>
      </w:r>
      <w:r>
        <w:rPr>
          <w:spacing w:val="-6"/>
        </w:rPr>
        <w:t> </w:t>
      </w:r>
      <w:r>
        <w:rPr/>
        <w:t>cent)</w:t>
      </w:r>
      <w:r>
        <w:rPr>
          <w:spacing w:val="-7"/>
        </w:rPr>
        <w:t> </w:t>
      </w:r>
      <w:r>
        <w:rPr/>
        <w:t>rated</w:t>
      </w:r>
      <w:r>
        <w:rPr>
          <w:spacing w:val="-7"/>
        </w:rPr>
        <w:t> </w:t>
      </w:r>
      <w:r>
        <w:rPr/>
        <w:t>the ECSO</w:t>
      </w:r>
      <w:r>
        <w:rPr>
          <w:spacing w:val="-18"/>
        </w:rPr>
        <w:t> </w:t>
      </w:r>
      <w:r>
        <w:rPr/>
        <w:t>as</w:t>
      </w:r>
      <w:r>
        <w:rPr>
          <w:spacing w:val="-17"/>
        </w:rPr>
        <w:t> </w:t>
      </w:r>
      <w:r>
        <w:rPr/>
        <w:t>poor</w:t>
      </w:r>
      <w:r>
        <w:rPr>
          <w:spacing w:val="-18"/>
        </w:rPr>
        <w:t> </w:t>
      </w:r>
      <w:r>
        <w:rPr/>
        <w:t>here</w:t>
      </w:r>
      <w:r>
        <w:rPr>
          <w:spacing w:val="-17"/>
        </w:rPr>
        <w:t> </w:t>
      </w:r>
      <w:r>
        <w:rPr/>
        <w:t>(five</w:t>
      </w:r>
      <w:r>
        <w:rPr>
          <w:spacing w:val="-18"/>
        </w:rPr>
        <w:t> </w:t>
      </w:r>
      <w:r>
        <w:rPr/>
        <w:t>per</w:t>
      </w:r>
      <w:r>
        <w:rPr>
          <w:spacing w:val="-17"/>
        </w:rPr>
        <w:t> </w:t>
      </w:r>
      <w:r>
        <w:rPr/>
        <w:t>cent</w:t>
      </w:r>
      <w:r>
        <w:rPr>
          <w:spacing w:val="-17"/>
        </w:rPr>
        <w:t> </w:t>
      </w:r>
      <w:r>
        <w:rPr/>
        <w:t>said</w:t>
      </w:r>
      <w:r>
        <w:rPr>
          <w:spacing w:val="-18"/>
        </w:rPr>
        <w:t> </w:t>
      </w:r>
      <w:r>
        <w:rPr/>
        <w:t>‘fairly</w:t>
      </w:r>
      <w:r>
        <w:rPr>
          <w:spacing w:val="-16"/>
        </w:rPr>
        <w:t> </w:t>
      </w:r>
      <w:r>
        <w:rPr/>
        <w:t>poor’</w:t>
      </w:r>
      <w:r>
        <w:rPr>
          <w:spacing w:val="-17"/>
        </w:rPr>
        <w:t> </w:t>
      </w:r>
      <w:r>
        <w:rPr/>
        <w:t>and</w:t>
      </w:r>
      <w:r>
        <w:rPr>
          <w:spacing w:val="-18"/>
        </w:rPr>
        <w:t> </w:t>
      </w:r>
      <w:r>
        <w:rPr/>
        <w:t>two</w:t>
      </w:r>
      <w:r>
        <w:rPr>
          <w:spacing w:val="-17"/>
        </w:rPr>
        <w:t> </w:t>
      </w:r>
      <w:r>
        <w:rPr/>
        <w:t>per</w:t>
      </w:r>
      <w:r>
        <w:rPr>
          <w:spacing w:val="-18"/>
        </w:rPr>
        <w:t> </w:t>
      </w:r>
      <w:r>
        <w:rPr/>
        <w:t>cent</w:t>
      </w:r>
      <w:r>
        <w:rPr>
          <w:spacing w:val="-16"/>
        </w:rPr>
        <w:t> </w:t>
      </w:r>
      <w:r>
        <w:rPr/>
        <w:t>said</w:t>
      </w:r>
      <w:r>
        <w:rPr>
          <w:spacing w:val="-18"/>
        </w:rPr>
        <w:t> </w:t>
      </w:r>
      <w:r>
        <w:rPr/>
        <w:t>‘very</w:t>
      </w:r>
      <w:r>
        <w:rPr>
          <w:spacing w:val="-16"/>
        </w:rPr>
        <w:t> </w:t>
      </w:r>
      <w:r>
        <w:rPr/>
        <w:t>poor’). While there were no differences across case tracks in the overall proportion who rated this aspect of the service as good, those in open track disputes were significantly less likely to rate the explanation as ‘very good’ compared with those in fast track disputes (52 per cent versus 61 per cent).</w:t>
      </w:r>
    </w:p>
    <w:p>
      <w:pPr>
        <w:pStyle w:val="BodyText"/>
        <w:spacing w:before="1"/>
      </w:pPr>
    </w:p>
    <w:p>
      <w:pPr>
        <w:pStyle w:val="Heading4"/>
        <w:numPr>
          <w:ilvl w:val="2"/>
          <w:numId w:val="13"/>
        </w:numPr>
        <w:tabs>
          <w:tab w:pos="2058" w:val="left" w:leader="none"/>
        </w:tabs>
        <w:spacing w:line="240" w:lineRule="auto" w:before="0" w:after="0"/>
        <w:ind w:left="2057" w:right="0" w:hanging="721"/>
        <w:jc w:val="both"/>
        <w:rPr>
          <w:i/>
        </w:rPr>
      </w:pPr>
      <w:bookmarkStart w:name="8.1.5 Claimant perception of the suitabi" w:id="53"/>
      <w:bookmarkEnd w:id="53"/>
      <w:r>
        <w:rPr>
          <w:i/>
        </w:rPr>
        <w:t>C</w:t>
      </w:r>
      <w:r>
        <w:rPr>
          <w:i/>
        </w:rPr>
        <w:t>laimant</w:t>
      </w:r>
      <w:r>
        <w:rPr>
          <w:i/>
          <w:spacing w:val="-7"/>
        </w:rPr>
        <w:t> </w:t>
      </w:r>
      <w:r>
        <w:rPr>
          <w:i/>
        </w:rPr>
        <w:t>perception</w:t>
      </w:r>
      <w:r>
        <w:rPr>
          <w:i/>
          <w:spacing w:val="-5"/>
        </w:rPr>
        <w:t> </w:t>
      </w:r>
      <w:r>
        <w:rPr>
          <w:i/>
        </w:rPr>
        <w:t>of</w:t>
      </w:r>
      <w:r>
        <w:rPr>
          <w:i/>
          <w:spacing w:val="-3"/>
        </w:rPr>
        <w:t> </w:t>
      </w:r>
      <w:r>
        <w:rPr>
          <w:i/>
        </w:rPr>
        <w:t>the</w:t>
      </w:r>
      <w:r>
        <w:rPr>
          <w:i/>
          <w:spacing w:val="-3"/>
        </w:rPr>
        <w:t> </w:t>
      </w:r>
      <w:r>
        <w:rPr>
          <w:i/>
        </w:rPr>
        <w:t>suitability</w:t>
      </w:r>
      <w:r>
        <w:rPr>
          <w:i/>
          <w:spacing w:val="-4"/>
        </w:rPr>
        <w:t> </w:t>
      </w:r>
      <w:r>
        <w:rPr>
          <w:i/>
        </w:rPr>
        <w:t>of</w:t>
      </w:r>
      <w:r>
        <w:rPr>
          <w:i/>
          <w:spacing w:val="-3"/>
        </w:rPr>
        <w:t> </w:t>
      </w:r>
      <w:r>
        <w:rPr>
          <w:i/>
        </w:rPr>
        <w:t>EC</w:t>
      </w:r>
      <w:r>
        <w:rPr>
          <w:i/>
          <w:spacing w:val="-3"/>
        </w:rPr>
        <w:t> </w:t>
      </w:r>
      <w:r>
        <w:rPr>
          <w:i/>
        </w:rPr>
        <w:t>to</w:t>
      </w:r>
      <w:r>
        <w:rPr>
          <w:i/>
          <w:spacing w:val="-4"/>
        </w:rPr>
        <w:t> </w:t>
      </w:r>
      <w:r>
        <w:rPr>
          <w:i/>
        </w:rPr>
        <w:t>their</w:t>
      </w:r>
      <w:r>
        <w:rPr>
          <w:i/>
          <w:spacing w:val="-5"/>
        </w:rPr>
        <w:t> </w:t>
      </w:r>
      <w:r>
        <w:rPr>
          <w:i/>
          <w:spacing w:val="-4"/>
        </w:rPr>
        <w:t>case</w:t>
      </w:r>
    </w:p>
    <w:p>
      <w:pPr>
        <w:pStyle w:val="BodyText"/>
        <w:spacing w:before="60"/>
        <w:ind w:left="1337" w:right="1472"/>
        <w:jc w:val="both"/>
      </w:pPr>
      <w:r>
        <w:rPr/>
        <w:t>Claimants were asked how suitable EC had sounded to their case when they discussed</w:t>
      </w:r>
      <w:r>
        <w:rPr>
          <w:spacing w:val="-9"/>
        </w:rPr>
        <w:t> </w:t>
      </w:r>
      <w:r>
        <w:rPr/>
        <w:t>the</w:t>
      </w:r>
      <w:r>
        <w:rPr>
          <w:spacing w:val="-10"/>
        </w:rPr>
        <w:t> </w:t>
      </w:r>
      <w:r>
        <w:rPr/>
        <w:t>service</w:t>
      </w:r>
      <w:r>
        <w:rPr>
          <w:spacing w:val="-10"/>
        </w:rPr>
        <w:t> </w:t>
      </w:r>
      <w:r>
        <w:rPr/>
        <w:t>with</w:t>
      </w:r>
      <w:r>
        <w:rPr>
          <w:spacing w:val="-9"/>
        </w:rPr>
        <w:t> </w:t>
      </w:r>
      <w:r>
        <w:rPr/>
        <w:t>the</w:t>
      </w:r>
      <w:r>
        <w:rPr>
          <w:spacing w:val="-10"/>
        </w:rPr>
        <w:t> </w:t>
      </w:r>
      <w:r>
        <w:rPr/>
        <w:t>ECSO:</w:t>
      </w:r>
      <w:r>
        <w:rPr>
          <w:spacing w:val="-9"/>
        </w:rPr>
        <w:t> </w:t>
      </w:r>
      <w:r>
        <w:rPr/>
        <w:t>79</w:t>
      </w:r>
      <w:r>
        <w:rPr>
          <w:spacing w:val="-9"/>
        </w:rPr>
        <w:t> </w:t>
      </w:r>
      <w:r>
        <w:rPr/>
        <w:t>per</w:t>
      </w:r>
      <w:r>
        <w:rPr>
          <w:spacing w:val="-10"/>
        </w:rPr>
        <w:t> </w:t>
      </w:r>
      <w:r>
        <w:rPr/>
        <w:t>cent</w:t>
      </w:r>
      <w:r>
        <w:rPr>
          <w:spacing w:val="-9"/>
        </w:rPr>
        <w:t> </w:t>
      </w:r>
      <w:r>
        <w:rPr/>
        <w:t>said</w:t>
      </w:r>
      <w:r>
        <w:rPr>
          <w:spacing w:val="-9"/>
        </w:rPr>
        <w:t> </w:t>
      </w:r>
      <w:r>
        <w:rPr/>
        <w:t>they</w:t>
      </w:r>
      <w:r>
        <w:rPr>
          <w:spacing w:val="-9"/>
        </w:rPr>
        <w:t> </w:t>
      </w:r>
      <w:r>
        <w:rPr/>
        <w:t>thought</w:t>
      </w:r>
      <w:r>
        <w:rPr>
          <w:spacing w:val="-10"/>
        </w:rPr>
        <w:t> </w:t>
      </w:r>
      <w:r>
        <w:rPr/>
        <w:t>that</w:t>
      </w:r>
      <w:r>
        <w:rPr>
          <w:spacing w:val="-9"/>
        </w:rPr>
        <w:t> </w:t>
      </w:r>
      <w:r>
        <w:rPr/>
        <w:t>it</w:t>
      </w:r>
      <w:r>
        <w:rPr>
          <w:spacing w:val="-9"/>
        </w:rPr>
        <w:t> </w:t>
      </w:r>
      <w:r>
        <w:rPr/>
        <w:t>sounded suitable (49 per cent said ‘very suitable’ and 30 per cent ‘fairly suitable’) and just eight</w:t>
      </w:r>
      <w:r>
        <w:rPr>
          <w:spacing w:val="-15"/>
        </w:rPr>
        <w:t> </w:t>
      </w:r>
      <w:r>
        <w:rPr/>
        <w:t>per</w:t>
      </w:r>
      <w:r>
        <w:rPr>
          <w:spacing w:val="-16"/>
        </w:rPr>
        <w:t> </w:t>
      </w:r>
      <w:r>
        <w:rPr/>
        <w:t>cent</w:t>
      </w:r>
      <w:r>
        <w:rPr>
          <w:spacing w:val="-15"/>
        </w:rPr>
        <w:t> </w:t>
      </w:r>
      <w:r>
        <w:rPr/>
        <w:t>felt</w:t>
      </w:r>
      <w:r>
        <w:rPr>
          <w:spacing w:val="-15"/>
        </w:rPr>
        <w:t> </w:t>
      </w:r>
      <w:r>
        <w:rPr/>
        <w:t>it</w:t>
      </w:r>
      <w:r>
        <w:rPr>
          <w:spacing w:val="-15"/>
        </w:rPr>
        <w:t> </w:t>
      </w:r>
      <w:r>
        <w:rPr/>
        <w:t>did</w:t>
      </w:r>
      <w:r>
        <w:rPr>
          <w:spacing w:val="-15"/>
        </w:rPr>
        <w:t> </w:t>
      </w:r>
      <w:r>
        <w:rPr/>
        <w:t>not</w:t>
      </w:r>
      <w:r>
        <w:rPr>
          <w:spacing w:val="-15"/>
        </w:rPr>
        <w:t> </w:t>
      </w:r>
      <w:r>
        <w:rPr/>
        <w:t>sound</w:t>
      </w:r>
      <w:r>
        <w:rPr>
          <w:spacing w:val="-15"/>
        </w:rPr>
        <w:t> </w:t>
      </w:r>
      <w:r>
        <w:rPr/>
        <w:t>suitable.</w:t>
      </w:r>
      <w:r>
        <w:rPr>
          <w:spacing w:val="-15"/>
        </w:rPr>
        <w:t> </w:t>
      </w:r>
      <w:r>
        <w:rPr/>
        <w:t>These</w:t>
      </w:r>
      <w:r>
        <w:rPr>
          <w:spacing w:val="-16"/>
        </w:rPr>
        <w:t> </w:t>
      </w:r>
      <w:r>
        <w:rPr/>
        <w:t>findings</w:t>
      </w:r>
      <w:r>
        <w:rPr>
          <w:spacing w:val="-15"/>
        </w:rPr>
        <w:t> </w:t>
      </w:r>
      <w:r>
        <w:rPr/>
        <w:t>are</w:t>
      </w:r>
      <w:r>
        <w:rPr>
          <w:spacing w:val="-16"/>
        </w:rPr>
        <w:t> </w:t>
      </w:r>
      <w:r>
        <w:rPr/>
        <w:t>consistent</w:t>
      </w:r>
      <w:r>
        <w:rPr>
          <w:spacing w:val="-15"/>
        </w:rPr>
        <w:t> </w:t>
      </w:r>
      <w:r>
        <w:rPr/>
        <w:t>with</w:t>
      </w:r>
      <w:r>
        <w:rPr>
          <w:spacing w:val="-15"/>
        </w:rPr>
        <w:t> </w:t>
      </w:r>
      <w:r>
        <w:rPr/>
        <w:t>those from the 2015 survey, when 82 per cent thought EC sounded suitable and eight per cent thought it did not sound suitable.</w:t>
      </w:r>
    </w:p>
    <w:p>
      <w:pPr>
        <w:pStyle w:val="BodyText"/>
        <w:spacing w:before="1"/>
      </w:pPr>
    </w:p>
    <w:p>
      <w:pPr>
        <w:pStyle w:val="Heading4"/>
        <w:numPr>
          <w:ilvl w:val="2"/>
          <w:numId w:val="13"/>
        </w:numPr>
        <w:tabs>
          <w:tab w:pos="2058" w:val="left" w:leader="none"/>
        </w:tabs>
        <w:spacing w:line="240" w:lineRule="auto" w:before="0" w:after="0"/>
        <w:ind w:left="2057" w:right="0" w:hanging="721"/>
        <w:jc w:val="both"/>
        <w:rPr>
          <w:i/>
        </w:rPr>
      </w:pPr>
      <w:bookmarkStart w:name="8.1.6 Understanding of time limits" w:id="54"/>
      <w:bookmarkEnd w:id="54"/>
      <w:r>
        <w:rPr>
          <w:i/>
        </w:rPr>
        <w:t>Un</w:t>
      </w:r>
      <w:r>
        <w:rPr>
          <w:i/>
        </w:rPr>
        <w:t>derstanding</w:t>
      </w:r>
      <w:r>
        <w:rPr>
          <w:i/>
          <w:spacing w:val="-5"/>
        </w:rPr>
        <w:t> </w:t>
      </w:r>
      <w:r>
        <w:rPr>
          <w:i/>
        </w:rPr>
        <w:t>of</w:t>
      </w:r>
      <w:r>
        <w:rPr>
          <w:i/>
          <w:spacing w:val="-4"/>
        </w:rPr>
        <w:t> </w:t>
      </w:r>
      <w:r>
        <w:rPr>
          <w:i/>
        </w:rPr>
        <w:t>time</w:t>
      </w:r>
      <w:r>
        <w:rPr>
          <w:i/>
          <w:spacing w:val="-4"/>
        </w:rPr>
        <w:t> </w:t>
      </w:r>
      <w:r>
        <w:rPr>
          <w:i/>
          <w:spacing w:val="-2"/>
        </w:rPr>
        <w:t>limits</w:t>
      </w:r>
    </w:p>
    <w:p>
      <w:pPr>
        <w:pStyle w:val="BodyText"/>
        <w:spacing w:before="60"/>
        <w:ind w:left="1337" w:right="1473"/>
        <w:jc w:val="both"/>
        <w:rPr>
          <w:sz w:val="13"/>
        </w:rPr>
      </w:pPr>
      <w:r>
        <w:rPr/>
        <w:t>There are strict time limits within which a tribunal claim must be presented. In most</w:t>
      </w:r>
      <w:r>
        <w:rPr>
          <w:spacing w:val="-4"/>
        </w:rPr>
        <w:t> </w:t>
      </w:r>
      <w:r>
        <w:rPr/>
        <w:t>claims,</w:t>
      </w:r>
      <w:r>
        <w:rPr>
          <w:spacing w:val="-5"/>
        </w:rPr>
        <w:t> </w:t>
      </w:r>
      <w:r>
        <w:rPr/>
        <w:t>the</w:t>
      </w:r>
      <w:r>
        <w:rPr>
          <w:spacing w:val="-6"/>
        </w:rPr>
        <w:t> </w:t>
      </w:r>
      <w:r>
        <w:rPr/>
        <w:t>deadline</w:t>
      </w:r>
      <w:r>
        <w:rPr>
          <w:spacing w:val="-5"/>
        </w:rPr>
        <w:t> </w:t>
      </w:r>
      <w:r>
        <w:rPr/>
        <w:t>is</w:t>
      </w:r>
      <w:r>
        <w:rPr>
          <w:spacing w:val="-6"/>
        </w:rPr>
        <w:t> </w:t>
      </w:r>
      <w:r>
        <w:rPr/>
        <w:t>three</w:t>
      </w:r>
      <w:r>
        <w:rPr>
          <w:spacing w:val="-6"/>
        </w:rPr>
        <w:t> </w:t>
      </w:r>
      <w:r>
        <w:rPr/>
        <w:t>months</w:t>
      </w:r>
      <w:r>
        <w:rPr>
          <w:spacing w:val="-6"/>
        </w:rPr>
        <w:t> </w:t>
      </w:r>
      <w:r>
        <w:rPr/>
        <w:t>less</w:t>
      </w:r>
      <w:r>
        <w:rPr>
          <w:spacing w:val="-4"/>
        </w:rPr>
        <w:t> </w:t>
      </w:r>
      <w:r>
        <w:rPr/>
        <w:t>one</w:t>
      </w:r>
      <w:r>
        <w:rPr>
          <w:spacing w:val="-6"/>
        </w:rPr>
        <w:t> </w:t>
      </w:r>
      <w:r>
        <w:rPr/>
        <w:t>day</w:t>
      </w:r>
      <w:r>
        <w:rPr>
          <w:spacing w:val="-5"/>
        </w:rPr>
        <w:t> </w:t>
      </w:r>
      <w:r>
        <w:rPr/>
        <w:t>from</w:t>
      </w:r>
      <w:r>
        <w:rPr>
          <w:spacing w:val="-5"/>
        </w:rPr>
        <w:t> </w:t>
      </w:r>
      <w:r>
        <w:rPr/>
        <w:t>the</w:t>
      </w:r>
      <w:r>
        <w:rPr>
          <w:spacing w:val="-5"/>
        </w:rPr>
        <w:t> </w:t>
      </w:r>
      <w:r>
        <w:rPr/>
        <w:t>date</w:t>
      </w:r>
      <w:r>
        <w:rPr>
          <w:spacing w:val="-7"/>
        </w:rPr>
        <w:t> </w:t>
      </w:r>
      <w:r>
        <w:rPr/>
        <w:t>of</w:t>
      </w:r>
      <w:r>
        <w:rPr>
          <w:spacing w:val="-5"/>
        </w:rPr>
        <w:t> </w:t>
      </w:r>
      <w:r>
        <w:rPr/>
        <w:t>workplace dispute at issue.</w:t>
      </w:r>
      <w:hyperlink w:history="true" w:anchor="_bookmark74">
        <w:r>
          <w:rPr>
            <w:position w:val="7"/>
            <w:sz w:val="13"/>
          </w:rPr>
          <w:t>8</w:t>
        </w:r>
      </w:hyperlink>
    </w:p>
    <w:p>
      <w:pPr>
        <w:pStyle w:val="BodyText"/>
        <w:spacing w:before="10"/>
        <w:rPr>
          <w:sz w:val="19"/>
        </w:rPr>
      </w:pPr>
    </w:p>
    <w:p>
      <w:pPr>
        <w:pStyle w:val="BodyText"/>
        <w:ind w:left="1337" w:right="1474"/>
        <w:jc w:val="both"/>
      </w:pPr>
      <w:r>
        <w:rPr/>
        <w:t>When claimants</w:t>
      </w:r>
      <w:r>
        <w:rPr>
          <w:spacing w:val="-1"/>
        </w:rPr>
        <w:t> </w:t>
      </w:r>
      <w:r>
        <w:rPr/>
        <w:t>were asked</w:t>
      </w:r>
      <w:r>
        <w:rPr>
          <w:spacing w:val="-1"/>
        </w:rPr>
        <w:t> </w:t>
      </w:r>
      <w:r>
        <w:rPr/>
        <w:t>what</w:t>
      </w:r>
      <w:r>
        <w:rPr>
          <w:spacing w:val="-1"/>
        </w:rPr>
        <w:t> </w:t>
      </w:r>
      <w:r>
        <w:rPr/>
        <w:t>they</w:t>
      </w:r>
      <w:r>
        <w:rPr>
          <w:spacing w:val="-1"/>
        </w:rPr>
        <w:t> </w:t>
      </w:r>
      <w:r>
        <w:rPr/>
        <w:t>understood the</w:t>
      </w:r>
      <w:r>
        <w:rPr>
          <w:spacing w:val="-1"/>
        </w:rPr>
        <w:t> </w:t>
      </w:r>
      <w:r>
        <w:rPr/>
        <w:t>time limits for</w:t>
      </w:r>
      <w:r>
        <w:rPr>
          <w:spacing w:val="-1"/>
        </w:rPr>
        <w:t> </w:t>
      </w:r>
      <w:r>
        <w:rPr/>
        <w:t>presenting</w:t>
      </w:r>
      <w:r>
        <w:rPr>
          <w:spacing w:val="-1"/>
        </w:rPr>
        <w:t> </w:t>
      </w:r>
      <w:r>
        <w:rPr/>
        <w:t>a tribunal claim to be there were a range of responses, ranging up to six months, and including a large proportion of ‘don’t knows’. Twelve per cent were correct, giving</w:t>
      </w:r>
      <w:r>
        <w:rPr>
          <w:spacing w:val="-6"/>
        </w:rPr>
        <w:t> </w:t>
      </w:r>
      <w:r>
        <w:rPr/>
        <w:t>the</w:t>
      </w:r>
      <w:r>
        <w:rPr>
          <w:spacing w:val="-6"/>
        </w:rPr>
        <w:t> </w:t>
      </w:r>
      <w:r>
        <w:rPr/>
        <w:t>answer</w:t>
      </w:r>
      <w:r>
        <w:rPr>
          <w:spacing w:val="-6"/>
        </w:rPr>
        <w:t> </w:t>
      </w:r>
      <w:r>
        <w:rPr/>
        <w:t>of</w:t>
      </w:r>
      <w:r>
        <w:rPr>
          <w:spacing w:val="-6"/>
        </w:rPr>
        <w:t> </w:t>
      </w:r>
      <w:r>
        <w:rPr/>
        <w:t>‘three</w:t>
      </w:r>
      <w:r>
        <w:rPr>
          <w:spacing w:val="-6"/>
        </w:rPr>
        <w:t> </w:t>
      </w:r>
      <w:r>
        <w:rPr/>
        <w:t>months</w:t>
      </w:r>
      <w:r>
        <w:rPr>
          <w:spacing w:val="-7"/>
        </w:rPr>
        <w:t> </w:t>
      </w:r>
      <w:r>
        <w:rPr/>
        <w:t>less</w:t>
      </w:r>
      <w:r>
        <w:rPr>
          <w:spacing w:val="-6"/>
        </w:rPr>
        <w:t> </w:t>
      </w:r>
      <w:r>
        <w:rPr/>
        <w:t>one</w:t>
      </w:r>
      <w:r>
        <w:rPr>
          <w:spacing w:val="-6"/>
        </w:rPr>
        <w:t> </w:t>
      </w:r>
      <w:r>
        <w:rPr/>
        <w:t>day’,</w:t>
      </w:r>
      <w:r>
        <w:rPr>
          <w:spacing w:val="-5"/>
        </w:rPr>
        <w:t> </w:t>
      </w:r>
      <w:r>
        <w:rPr/>
        <w:t>an</w:t>
      </w:r>
      <w:r>
        <w:rPr>
          <w:spacing w:val="-6"/>
        </w:rPr>
        <w:t> </w:t>
      </w:r>
      <w:r>
        <w:rPr/>
        <w:t>increase</w:t>
      </w:r>
      <w:r>
        <w:rPr>
          <w:spacing w:val="-6"/>
        </w:rPr>
        <w:t> </w:t>
      </w:r>
      <w:r>
        <w:rPr/>
        <w:t>from</w:t>
      </w:r>
      <w:r>
        <w:rPr>
          <w:spacing w:val="-6"/>
        </w:rPr>
        <w:t> </w:t>
      </w:r>
      <w:r>
        <w:rPr/>
        <w:t>2015</w:t>
      </w:r>
      <w:r>
        <w:rPr>
          <w:spacing w:val="-6"/>
        </w:rPr>
        <w:t> </w:t>
      </w:r>
      <w:r>
        <w:rPr/>
        <w:t>when</w:t>
      </w:r>
      <w:r>
        <w:rPr>
          <w:spacing w:val="-5"/>
        </w:rPr>
        <w:t> </w:t>
      </w:r>
      <w:r>
        <w:rPr/>
        <w:t>five per cent gave this answer.</w:t>
      </w:r>
    </w:p>
    <w:p>
      <w:pPr>
        <w:spacing w:after="0"/>
        <w:jc w:val="both"/>
        <w:sectPr>
          <w:pgSz w:w="11910" w:h="16840"/>
          <w:pgMar w:header="0" w:footer="996" w:top="1340" w:bottom="1180" w:left="460" w:right="320"/>
        </w:sectPr>
      </w:pPr>
    </w:p>
    <w:p>
      <w:pPr>
        <w:pStyle w:val="BodyText"/>
        <w:spacing w:before="82"/>
        <w:ind w:left="1337" w:right="1472"/>
        <w:jc w:val="both"/>
      </w:pPr>
      <w:r>
        <w:rPr/>
        <w:t>Others</w:t>
      </w:r>
      <w:r>
        <w:rPr>
          <w:spacing w:val="-10"/>
        </w:rPr>
        <w:t> </w:t>
      </w:r>
      <w:r>
        <w:rPr/>
        <w:t>gave</w:t>
      </w:r>
      <w:r>
        <w:rPr>
          <w:spacing w:val="-12"/>
        </w:rPr>
        <w:t> </w:t>
      </w:r>
      <w:r>
        <w:rPr/>
        <w:t>answers</w:t>
      </w:r>
      <w:r>
        <w:rPr>
          <w:spacing w:val="-10"/>
        </w:rPr>
        <w:t> </w:t>
      </w:r>
      <w:r>
        <w:rPr/>
        <w:t>shorter</w:t>
      </w:r>
      <w:r>
        <w:rPr>
          <w:spacing w:val="-10"/>
        </w:rPr>
        <w:t> </w:t>
      </w:r>
      <w:r>
        <w:rPr/>
        <w:t>than</w:t>
      </w:r>
      <w:r>
        <w:rPr>
          <w:spacing w:val="-11"/>
        </w:rPr>
        <w:t> </w:t>
      </w:r>
      <w:r>
        <w:rPr/>
        <w:t>the</w:t>
      </w:r>
      <w:r>
        <w:rPr>
          <w:spacing w:val="-11"/>
        </w:rPr>
        <w:t> </w:t>
      </w:r>
      <w:r>
        <w:rPr/>
        <w:t>official</w:t>
      </w:r>
      <w:r>
        <w:rPr>
          <w:spacing w:val="-11"/>
        </w:rPr>
        <w:t> </w:t>
      </w:r>
      <w:r>
        <w:rPr/>
        <w:t>period;</w:t>
      </w:r>
      <w:r>
        <w:rPr>
          <w:spacing w:val="-10"/>
        </w:rPr>
        <w:t> </w:t>
      </w:r>
      <w:r>
        <w:rPr/>
        <w:t>11</w:t>
      </w:r>
      <w:r>
        <w:rPr>
          <w:spacing w:val="-10"/>
        </w:rPr>
        <w:t> </w:t>
      </w:r>
      <w:r>
        <w:rPr/>
        <w:t>per</w:t>
      </w:r>
      <w:r>
        <w:rPr>
          <w:spacing w:val="-10"/>
        </w:rPr>
        <w:t> </w:t>
      </w:r>
      <w:r>
        <w:rPr/>
        <w:t>cent</w:t>
      </w:r>
      <w:r>
        <w:rPr>
          <w:spacing w:val="-10"/>
        </w:rPr>
        <w:t> </w:t>
      </w:r>
      <w:r>
        <w:rPr/>
        <w:t>of</w:t>
      </w:r>
      <w:r>
        <w:rPr>
          <w:spacing w:val="-10"/>
        </w:rPr>
        <w:t> </w:t>
      </w:r>
      <w:r>
        <w:rPr/>
        <w:t>claimants</w:t>
      </w:r>
      <w:r>
        <w:rPr>
          <w:spacing w:val="-10"/>
        </w:rPr>
        <w:t> </w:t>
      </w:r>
      <w:r>
        <w:rPr/>
        <w:t>gave the answer ‘one month’, four per cent said ‘28 days’ and two per cent said ‘two months’. While these are not the correct answer, those working to this deadline would submit their forms within the official time limit.</w:t>
      </w:r>
    </w:p>
    <w:p>
      <w:pPr>
        <w:pStyle w:val="BodyText"/>
        <w:spacing w:before="11"/>
        <w:rPr>
          <w:sz w:val="19"/>
        </w:rPr>
      </w:pPr>
    </w:p>
    <w:p>
      <w:pPr>
        <w:pStyle w:val="BodyText"/>
        <w:ind w:left="1337" w:right="1473"/>
        <w:jc w:val="both"/>
      </w:pPr>
      <w:r>
        <w:rPr/>
        <w:t>The</w:t>
      </w:r>
      <w:r>
        <w:rPr>
          <w:spacing w:val="-1"/>
        </w:rPr>
        <w:t> </w:t>
      </w:r>
      <w:r>
        <w:rPr/>
        <w:t>largest</w:t>
      </w:r>
      <w:r>
        <w:rPr>
          <w:spacing w:val="-2"/>
        </w:rPr>
        <w:t> </w:t>
      </w:r>
      <w:r>
        <w:rPr/>
        <w:t>proportion of claimants</w:t>
      </w:r>
      <w:r>
        <w:rPr>
          <w:spacing w:val="-1"/>
        </w:rPr>
        <w:t> </w:t>
      </w:r>
      <w:r>
        <w:rPr/>
        <w:t>–</w:t>
      </w:r>
      <w:r>
        <w:rPr>
          <w:spacing w:val="-2"/>
        </w:rPr>
        <w:t> </w:t>
      </w:r>
      <w:r>
        <w:rPr/>
        <w:t>37</w:t>
      </w:r>
      <w:r>
        <w:rPr>
          <w:spacing w:val="-2"/>
        </w:rPr>
        <w:t> </w:t>
      </w:r>
      <w:r>
        <w:rPr/>
        <w:t>per</w:t>
      </w:r>
      <w:r>
        <w:rPr>
          <w:spacing w:val="-1"/>
        </w:rPr>
        <w:t> </w:t>
      </w:r>
      <w:r>
        <w:rPr/>
        <w:t>cent</w:t>
      </w:r>
      <w:r>
        <w:rPr>
          <w:spacing w:val="-2"/>
        </w:rPr>
        <w:t> </w:t>
      </w:r>
      <w:r>
        <w:rPr/>
        <w:t>–</w:t>
      </w:r>
      <w:r>
        <w:rPr>
          <w:spacing w:val="-2"/>
        </w:rPr>
        <w:t> </w:t>
      </w:r>
      <w:r>
        <w:rPr/>
        <w:t>said</w:t>
      </w:r>
      <w:r>
        <w:rPr>
          <w:spacing w:val="-1"/>
        </w:rPr>
        <w:t> </w:t>
      </w:r>
      <w:r>
        <w:rPr/>
        <w:t>‘three</w:t>
      </w:r>
      <w:r>
        <w:rPr>
          <w:spacing w:val="-1"/>
        </w:rPr>
        <w:t> </w:t>
      </w:r>
      <w:r>
        <w:rPr/>
        <w:t>months’. While</w:t>
      </w:r>
      <w:r>
        <w:rPr>
          <w:spacing w:val="-1"/>
        </w:rPr>
        <w:t> </w:t>
      </w:r>
      <w:r>
        <w:rPr/>
        <w:t>this is</w:t>
      </w:r>
      <w:r>
        <w:rPr>
          <w:spacing w:val="-3"/>
        </w:rPr>
        <w:t> </w:t>
      </w:r>
      <w:r>
        <w:rPr/>
        <w:t>very</w:t>
      </w:r>
      <w:r>
        <w:rPr>
          <w:spacing w:val="-3"/>
        </w:rPr>
        <w:t> </w:t>
      </w:r>
      <w:r>
        <w:rPr/>
        <w:t>close</w:t>
      </w:r>
      <w:r>
        <w:rPr>
          <w:spacing w:val="-4"/>
        </w:rPr>
        <w:t> </w:t>
      </w:r>
      <w:r>
        <w:rPr/>
        <w:t>to</w:t>
      </w:r>
      <w:r>
        <w:rPr>
          <w:spacing w:val="-4"/>
        </w:rPr>
        <w:t> </w:t>
      </w:r>
      <w:r>
        <w:rPr/>
        <w:t>the</w:t>
      </w:r>
      <w:r>
        <w:rPr>
          <w:spacing w:val="-4"/>
        </w:rPr>
        <w:t> </w:t>
      </w:r>
      <w:r>
        <w:rPr/>
        <w:t>correct</w:t>
      </w:r>
      <w:r>
        <w:rPr>
          <w:spacing w:val="-3"/>
        </w:rPr>
        <w:t> </w:t>
      </w:r>
      <w:r>
        <w:rPr/>
        <w:t>answer,</w:t>
      </w:r>
      <w:r>
        <w:rPr>
          <w:spacing w:val="-3"/>
        </w:rPr>
        <w:t> </w:t>
      </w:r>
      <w:r>
        <w:rPr/>
        <w:t>it</w:t>
      </w:r>
      <w:r>
        <w:rPr>
          <w:spacing w:val="-3"/>
        </w:rPr>
        <w:t> </w:t>
      </w:r>
      <w:r>
        <w:rPr/>
        <w:t>is</w:t>
      </w:r>
      <w:r>
        <w:rPr>
          <w:spacing w:val="-3"/>
        </w:rPr>
        <w:t> </w:t>
      </w:r>
      <w:r>
        <w:rPr/>
        <w:t>incorrect</w:t>
      </w:r>
      <w:r>
        <w:rPr>
          <w:spacing w:val="-3"/>
        </w:rPr>
        <w:t> </w:t>
      </w:r>
      <w:r>
        <w:rPr/>
        <w:t>as</w:t>
      </w:r>
      <w:r>
        <w:rPr>
          <w:spacing w:val="-3"/>
        </w:rPr>
        <w:t> </w:t>
      </w:r>
      <w:r>
        <w:rPr/>
        <w:t>a</w:t>
      </w:r>
      <w:r>
        <w:rPr>
          <w:spacing w:val="-3"/>
        </w:rPr>
        <w:t> </w:t>
      </w:r>
      <w:r>
        <w:rPr/>
        <w:t>claimant</w:t>
      </w:r>
      <w:r>
        <w:rPr>
          <w:spacing w:val="-3"/>
        </w:rPr>
        <w:t> </w:t>
      </w:r>
      <w:r>
        <w:rPr/>
        <w:t>presenting</w:t>
      </w:r>
      <w:r>
        <w:rPr>
          <w:spacing w:val="-4"/>
        </w:rPr>
        <w:t> </w:t>
      </w:r>
      <w:r>
        <w:rPr/>
        <w:t>their</w:t>
      </w:r>
      <w:r>
        <w:rPr>
          <w:spacing w:val="-4"/>
        </w:rPr>
        <w:t> </w:t>
      </w:r>
      <w:r>
        <w:rPr/>
        <w:t>ET claim three months after submitting the form would have missed their deadline. This figure</w:t>
      </w:r>
      <w:r>
        <w:rPr>
          <w:spacing w:val="-1"/>
        </w:rPr>
        <w:t> </w:t>
      </w:r>
      <w:r>
        <w:rPr/>
        <w:t>has decreased slightly since 2015, when 43 per cent gave</w:t>
      </w:r>
      <w:r>
        <w:rPr>
          <w:spacing w:val="-1"/>
        </w:rPr>
        <w:t> </w:t>
      </w:r>
      <w:r>
        <w:rPr/>
        <w:t>this answer.</w:t>
      </w:r>
    </w:p>
    <w:p>
      <w:pPr>
        <w:pStyle w:val="BodyText"/>
        <w:spacing w:before="1"/>
      </w:pPr>
    </w:p>
    <w:p>
      <w:pPr>
        <w:pStyle w:val="BodyText"/>
        <w:ind w:left="1337" w:right="1472"/>
        <w:jc w:val="both"/>
      </w:pPr>
      <w:r>
        <w:rPr/>
        <w:t>In total 28 per cent gave an answer which would allow them to submit a tribunal claim</w:t>
      </w:r>
      <w:r>
        <w:rPr>
          <w:spacing w:val="-2"/>
        </w:rPr>
        <w:t> </w:t>
      </w:r>
      <w:r>
        <w:rPr/>
        <w:t>within</w:t>
      </w:r>
      <w:r>
        <w:rPr>
          <w:spacing w:val="-1"/>
        </w:rPr>
        <w:t> </w:t>
      </w:r>
      <w:r>
        <w:rPr/>
        <w:t>the</w:t>
      </w:r>
      <w:r>
        <w:rPr>
          <w:spacing w:val="-2"/>
        </w:rPr>
        <w:t> </w:t>
      </w:r>
      <w:r>
        <w:rPr/>
        <w:t>deadline,</w:t>
      </w:r>
      <w:r>
        <w:rPr>
          <w:spacing w:val="-2"/>
        </w:rPr>
        <w:t> </w:t>
      </w:r>
      <w:r>
        <w:rPr/>
        <w:t>although</w:t>
      </w:r>
      <w:r>
        <w:rPr>
          <w:spacing w:val="-3"/>
        </w:rPr>
        <w:t> </w:t>
      </w:r>
      <w:r>
        <w:rPr/>
        <w:t>a</w:t>
      </w:r>
      <w:r>
        <w:rPr>
          <w:spacing w:val="-2"/>
        </w:rPr>
        <w:t> </w:t>
      </w:r>
      <w:r>
        <w:rPr/>
        <w:t>further</w:t>
      </w:r>
      <w:r>
        <w:rPr>
          <w:spacing w:val="-2"/>
        </w:rPr>
        <w:t> </w:t>
      </w:r>
      <w:r>
        <w:rPr/>
        <w:t>37</w:t>
      </w:r>
      <w:r>
        <w:rPr>
          <w:spacing w:val="-2"/>
        </w:rPr>
        <w:t> </w:t>
      </w:r>
      <w:r>
        <w:rPr/>
        <w:t>per</w:t>
      </w:r>
      <w:r>
        <w:rPr>
          <w:spacing w:val="-2"/>
        </w:rPr>
        <w:t> </w:t>
      </w:r>
      <w:r>
        <w:rPr/>
        <w:t>cent</w:t>
      </w:r>
      <w:r>
        <w:rPr>
          <w:spacing w:val="-2"/>
        </w:rPr>
        <w:t> </w:t>
      </w:r>
      <w:r>
        <w:rPr/>
        <w:t>were</w:t>
      </w:r>
      <w:r>
        <w:rPr>
          <w:spacing w:val="-2"/>
        </w:rPr>
        <w:t> </w:t>
      </w:r>
      <w:r>
        <w:rPr/>
        <w:t>very</w:t>
      </w:r>
      <w:r>
        <w:rPr>
          <w:spacing w:val="-2"/>
        </w:rPr>
        <w:t> </w:t>
      </w:r>
      <w:r>
        <w:rPr/>
        <w:t>close</w:t>
      </w:r>
      <w:r>
        <w:rPr>
          <w:spacing w:val="-2"/>
        </w:rPr>
        <w:t> </w:t>
      </w:r>
      <w:r>
        <w:rPr/>
        <w:t>to</w:t>
      </w:r>
      <w:r>
        <w:rPr>
          <w:spacing w:val="-2"/>
        </w:rPr>
        <w:t> </w:t>
      </w:r>
      <w:r>
        <w:rPr/>
        <w:t>giving a</w:t>
      </w:r>
      <w:r>
        <w:rPr>
          <w:spacing w:val="-2"/>
        </w:rPr>
        <w:t> </w:t>
      </w:r>
      <w:r>
        <w:rPr/>
        <w:t>correct</w:t>
      </w:r>
      <w:r>
        <w:rPr>
          <w:spacing w:val="-2"/>
        </w:rPr>
        <w:t> </w:t>
      </w:r>
      <w:r>
        <w:rPr/>
        <w:t>response.</w:t>
      </w:r>
      <w:r>
        <w:rPr>
          <w:spacing w:val="-3"/>
        </w:rPr>
        <w:t> </w:t>
      </w:r>
      <w:r>
        <w:rPr/>
        <w:t>Most</w:t>
      </w:r>
      <w:r>
        <w:rPr>
          <w:spacing w:val="-2"/>
        </w:rPr>
        <w:t> </w:t>
      </w:r>
      <w:r>
        <w:rPr/>
        <w:t>notably,</w:t>
      </w:r>
      <w:r>
        <w:rPr>
          <w:spacing w:val="-4"/>
        </w:rPr>
        <w:t> </w:t>
      </w:r>
      <w:r>
        <w:rPr/>
        <w:t>a</w:t>
      </w:r>
      <w:r>
        <w:rPr>
          <w:spacing w:val="-2"/>
        </w:rPr>
        <w:t> </w:t>
      </w:r>
      <w:r>
        <w:rPr/>
        <w:t>substantial</w:t>
      </w:r>
      <w:r>
        <w:rPr>
          <w:spacing w:val="-3"/>
        </w:rPr>
        <w:t> </w:t>
      </w:r>
      <w:r>
        <w:rPr/>
        <w:t>minority</w:t>
      </w:r>
      <w:r>
        <w:rPr>
          <w:spacing w:val="-2"/>
        </w:rPr>
        <w:t> </w:t>
      </w:r>
      <w:r>
        <w:rPr/>
        <w:t>–</w:t>
      </w:r>
      <w:r>
        <w:rPr>
          <w:spacing w:val="-2"/>
        </w:rPr>
        <w:t> </w:t>
      </w:r>
      <w:r>
        <w:rPr/>
        <w:t>one</w:t>
      </w:r>
      <w:r>
        <w:rPr>
          <w:spacing w:val="-3"/>
        </w:rPr>
        <w:t> </w:t>
      </w:r>
      <w:r>
        <w:rPr/>
        <w:t>quarter</w:t>
      </w:r>
      <w:r>
        <w:rPr>
          <w:spacing w:val="-2"/>
        </w:rPr>
        <w:t> </w:t>
      </w:r>
      <w:r>
        <w:rPr/>
        <w:t>(25%)</w:t>
      </w:r>
      <w:r>
        <w:rPr>
          <w:spacing w:val="-2"/>
        </w:rPr>
        <w:t> </w:t>
      </w:r>
      <w:r>
        <w:rPr/>
        <w:t>–</w:t>
      </w:r>
      <w:r>
        <w:rPr>
          <w:spacing w:val="-3"/>
        </w:rPr>
        <w:t> </w:t>
      </w:r>
      <w:r>
        <w:rPr/>
        <w:t>do not know the time limits at all.</w:t>
      </w:r>
    </w:p>
    <w:p>
      <w:pPr>
        <w:pStyle w:val="BodyText"/>
        <w:spacing w:before="1"/>
      </w:pPr>
    </w:p>
    <w:p>
      <w:pPr>
        <w:pStyle w:val="Heading3"/>
        <w:numPr>
          <w:ilvl w:val="1"/>
          <w:numId w:val="2"/>
        </w:numPr>
        <w:tabs>
          <w:tab w:pos="1974" w:val="left" w:leader="none"/>
        </w:tabs>
        <w:spacing w:line="240" w:lineRule="auto" w:before="0" w:after="0"/>
        <w:ind w:left="1973" w:right="0" w:hanging="637"/>
        <w:jc w:val="both"/>
      </w:pPr>
      <w:bookmarkStart w:name="8.2  Employer-initiated EC" w:id="55"/>
      <w:bookmarkEnd w:id="55"/>
      <w:r>
        <w:rPr>
          <w:b w:val="0"/>
        </w:rPr>
      </w:r>
      <w:bookmarkStart w:name="_bookmark13" w:id="56"/>
      <w:bookmarkEnd w:id="56"/>
      <w:r>
        <w:rPr/>
        <w:t>E</w:t>
      </w:r>
      <w:r>
        <w:rPr/>
        <w:t>mployer-initiated</w:t>
      </w:r>
      <w:r>
        <w:rPr>
          <w:spacing w:val="-13"/>
        </w:rPr>
        <w:t> </w:t>
      </w:r>
      <w:r>
        <w:rPr>
          <w:spacing w:val="-5"/>
        </w:rPr>
        <w:t>EC</w:t>
      </w:r>
    </w:p>
    <w:p>
      <w:pPr>
        <w:pStyle w:val="BodyText"/>
        <w:spacing w:before="119"/>
        <w:ind w:left="1337" w:right="1474"/>
        <w:jc w:val="both"/>
      </w:pPr>
      <w:r>
        <w:rPr/>
        <w:t>Although it occurs much less often, employers may initiate EC if they believe that an</w:t>
      </w:r>
      <w:r>
        <w:rPr>
          <w:spacing w:val="-5"/>
        </w:rPr>
        <w:t> </w:t>
      </w:r>
      <w:r>
        <w:rPr/>
        <w:t>employee</w:t>
      </w:r>
      <w:r>
        <w:rPr>
          <w:spacing w:val="-6"/>
        </w:rPr>
        <w:t> </w:t>
      </w:r>
      <w:r>
        <w:rPr/>
        <w:t>will</w:t>
      </w:r>
      <w:r>
        <w:rPr>
          <w:spacing w:val="-6"/>
        </w:rPr>
        <w:t> </w:t>
      </w:r>
      <w:r>
        <w:rPr/>
        <w:t>lodge</w:t>
      </w:r>
      <w:r>
        <w:rPr>
          <w:spacing w:val="-6"/>
        </w:rPr>
        <w:t> </w:t>
      </w:r>
      <w:r>
        <w:rPr/>
        <w:t>an</w:t>
      </w:r>
      <w:r>
        <w:rPr>
          <w:spacing w:val="-5"/>
        </w:rPr>
        <w:t> </w:t>
      </w:r>
      <w:r>
        <w:rPr/>
        <w:t>employment</w:t>
      </w:r>
      <w:r>
        <w:rPr>
          <w:spacing w:val="-5"/>
        </w:rPr>
        <w:t> </w:t>
      </w:r>
      <w:r>
        <w:rPr/>
        <w:t>tribunal</w:t>
      </w:r>
      <w:r>
        <w:rPr>
          <w:spacing w:val="-7"/>
        </w:rPr>
        <w:t> </w:t>
      </w:r>
      <w:r>
        <w:rPr/>
        <w:t>claim</w:t>
      </w:r>
      <w:r>
        <w:rPr>
          <w:spacing w:val="-6"/>
        </w:rPr>
        <w:t> </w:t>
      </w:r>
      <w:r>
        <w:rPr/>
        <w:t>against</w:t>
      </w:r>
      <w:r>
        <w:rPr>
          <w:spacing w:val="-5"/>
        </w:rPr>
        <w:t> </w:t>
      </w:r>
      <w:r>
        <w:rPr/>
        <w:t>them.</w:t>
      </w:r>
      <w:hyperlink w:history="true" w:anchor="_bookmark75">
        <w:r>
          <w:rPr>
            <w:position w:val="7"/>
            <w:sz w:val="13"/>
          </w:rPr>
          <w:t>9</w:t>
        </w:r>
      </w:hyperlink>
      <w:r>
        <w:rPr>
          <w:spacing w:val="18"/>
          <w:position w:val="7"/>
          <w:sz w:val="13"/>
        </w:rPr>
        <w:t> </w:t>
      </w:r>
      <w:r>
        <w:rPr/>
        <w:t>All</w:t>
      </w:r>
      <w:r>
        <w:rPr>
          <w:spacing w:val="-7"/>
        </w:rPr>
        <w:t> </w:t>
      </w:r>
      <w:r>
        <w:rPr/>
        <w:t>employer- side participants were asked whether they or the claimant originally notified Acas about the workplace dispute. Just three per cent of employer-side participants confirmed that they had made the notification, the same proportion as in 2015 (2 </w:t>
      </w:r>
      <w:r>
        <w:rPr>
          <w:spacing w:val="-2"/>
        </w:rPr>
        <w:t>per</w:t>
      </w:r>
      <w:r>
        <w:rPr>
          <w:spacing w:val="-10"/>
        </w:rPr>
        <w:t> </w:t>
      </w:r>
      <w:r>
        <w:rPr>
          <w:spacing w:val="-2"/>
        </w:rPr>
        <w:t>cent)</w:t>
      </w:r>
      <w:r>
        <w:rPr>
          <w:spacing w:val="-5"/>
        </w:rPr>
        <w:t> </w:t>
      </w:r>
      <w:r>
        <w:rPr>
          <w:spacing w:val="-2"/>
        </w:rPr>
        <w:t>and</w:t>
      </w:r>
      <w:r>
        <w:rPr>
          <w:spacing w:val="-6"/>
        </w:rPr>
        <w:t> </w:t>
      </w:r>
      <w:r>
        <w:rPr>
          <w:spacing w:val="-2"/>
        </w:rPr>
        <w:t>matching</w:t>
      </w:r>
      <w:r>
        <w:rPr>
          <w:spacing w:val="-10"/>
        </w:rPr>
        <w:t> </w:t>
      </w:r>
      <w:r>
        <w:rPr>
          <w:spacing w:val="-2"/>
        </w:rPr>
        <w:t>the</w:t>
      </w:r>
      <w:r>
        <w:rPr>
          <w:spacing w:val="-7"/>
        </w:rPr>
        <w:t> </w:t>
      </w:r>
      <w:r>
        <w:rPr>
          <w:spacing w:val="-2"/>
        </w:rPr>
        <w:t>service</w:t>
      </w:r>
      <w:r>
        <w:rPr>
          <w:spacing w:val="-7"/>
        </w:rPr>
        <w:t> </w:t>
      </w:r>
      <w:r>
        <w:rPr>
          <w:spacing w:val="-2"/>
        </w:rPr>
        <w:t>figures</w:t>
      </w:r>
      <w:r>
        <w:rPr>
          <w:spacing w:val="-5"/>
        </w:rPr>
        <w:t> </w:t>
      </w:r>
      <w:r>
        <w:rPr>
          <w:spacing w:val="-2"/>
        </w:rPr>
        <w:t>reported</w:t>
      </w:r>
      <w:r>
        <w:rPr>
          <w:spacing w:val="-6"/>
        </w:rPr>
        <w:t> </w:t>
      </w:r>
      <w:r>
        <w:rPr>
          <w:spacing w:val="-2"/>
        </w:rPr>
        <w:t>in</w:t>
      </w:r>
      <w:r>
        <w:rPr>
          <w:spacing w:val="-6"/>
        </w:rPr>
        <w:t> </w:t>
      </w:r>
      <w:hyperlink r:id="rId20">
        <w:r>
          <w:rPr>
            <w:color w:val="0562C1"/>
            <w:spacing w:val="-2"/>
            <w:u w:val="single" w:color="0562C1"/>
          </w:rPr>
          <w:t>Acas’</w:t>
        </w:r>
        <w:r>
          <w:rPr>
            <w:color w:val="0562C1"/>
            <w:spacing w:val="-9"/>
            <w:u w:val="single" w:color="0562C1"/>
          </w:rPr>
          <w:t> </w:t>
        </w:r>
        <w:r>
          <w:rPr>
            <w:color w:val="0562C1"/>
            <w:spacing w:val="-2"/>
            <w:u w:val="single" w:color="0562C1"/>
          </w:rPr>
          <w:t>2018-19</w:t>
        </w:r>
        <w:r>
          <w:rPr>
            <w:color w:val="0562C1"/>
            <w:spacing w:val="-7"/>
            <w:u w:val="single" w:color="0562C1"/>
          </w:rPr>
          <w:t> </w:t>
        </w:r>
        <w:r>
          <w:rPr>
            <w:color w:val="0562C1"/>
            <w:spacing w:val="-2"/>
            <w:u w:val="single" w:color="0562C1"/>
          </w:rPr>
          <w:t>annual</w:t>
        </w:r>
        <w:r>
          <w:rPr>
            <w:color w:val="0562C1"/>
            <w:spacing w:val="-7"/>
            <w:u w:val="single" w:color="0562C1"/>
          </w:rPr>
          <w:t> </w:t>
        </w:r>
        <w:r>
          <w:rPr>
            <w:color w:val="0562C1"/>
            <w:spacing w:val="-2"/>
            <w:u w:val="single" w:color="0562C1"/>
          </w:rPr>
          <w:t>report</w:t>
        </w:r>
      </w:hyperlink>
      <w:r>
        <w:rPr>
          <w:spacing w:val="-2"/>
        </w:rPr>
        <w:t>.</w:t>
      </w:r>
    </w:p>
    <w:p>
      <w:pPr>
        <w:pStyle w:val="BodyText"/>
      </w:pPr>
    </w:p>
    <w:p>
      <w:pPr>
        <w:pStyle w:val="Heading3"/>
        <w:numPr>
          <w:ilvl w:val="1"/>
          <w:numId w:val="2"/>
        </w:numPr>
        <w:tabs>
          <w:tab w:pos="2058" w:val="left" w:leader="none"/>
        </w:tabs>
        <w:spacing w:line="240" w:lineRule="auto" w:before="0" w:after="0"/>
        <w:ind w:left="2057" w:right="0" w:hanging="721"/>
        <w:jc w:val="both"/>
      </w:pPr>
      <w:bookmarkStart w:name="8.3  Claimant decision-making around par" w:id="57"/>
      <w:bookmarkEnd w:id="57"/>
      <w:r>
        <w:rPr>
          <w:b w:val="0"/>
        </w:rPr>
      </w:r>
      <w:bookmarkStart w:name="_bookmark14" w:id="58"/>
      <w:bookmarkEnd w:id="58"/>
      <w:r>
        <w:rPr/>
        <w:t>C</w:t>
      </w:r>
      <w:r>
        <w:rPr/>
        <w:t>laimant</w:t>
      </w:r>
      <w:r>
        <w:rPr>
          <w:spacing w:val="-9"/>
        </w:rPr>
        <w:t> </w:t>
      </w:r>
      <w:r>
        <w:rPr/>
        <w:t>decision-making</w:t>
      </w:r>
      <w:r>
        <w:rPr>
          <w:spacing w:val="-7"/>
        </w:rPr>
        <w:t> </w:t>
      </w:r>
      <w:r>
        <w:rPr/>
        <w:t>around</w:t>
      </w:r>
      <w:r>
        <w:rPr>
          <w:spacing w:val="-6"/>
        </w:rPr>
        <w:t> </w:t>
      </w:r>
      <w:r>
        <w:rPr/>
        <w:t>participating</w:t>
      </w:r>
      <w:r>
        <w:rPr>
          <w:spacing w:val="-6"/>
        </w:rPr>
        <w:t> </w:t>
      </w:r>
      <w:r>
        <w:rPr/>
        <w:t>in</w:t>
      </w:r>
      <w:r>
        <w:rPr>
          <w:spacing w:val="-6"/>
        </w:rPr>
        <w:t> </w:t>
      </w:r>
      <w:r>
        <w:rPr>
          <w:spacing w:val="-5"/>
        </w:rPr>
        <w:t>EC</w:t>
      </w:r>
    </w:p>
    <w:p>
      <w:pPr>
        <w:pStyle w:val="Heading4"/>
        <w:numPr>
          <w:ilvl w:val="2"/>
          <w:numId w:val="14"/>
        </w:numPr>
        <w:tabs>
          <w:tab w:pos="2126" w:val="left" w:leader="none"/>
        </w:tabs>
        <w:spacing w:line="240" w:lineRule="auto" w:before="120" w:after="0"/>
        <w:ind w:left="2125" w:right="0" w:hanging="789"/>
        <w:jc w:val="both"/>
        <w:rPr>
          <w:i/>
        </w:rPr>
      </w:pPr>
      <w:bookmarkStart w:name="8.3.1  Accepting or declining the offer " w:id="59"/>
      <w:bookmarkEnd w:id="59"/>
      <w:r>
        <w:rPr>
          <w:i/>
        </w:rPr>
        <w:t>A</w:t>
      </w:r>
      <w:r>
        <w:rPr>
          <w:i/>
        </w:rPr>
        <w:t>ccepting</w:t>
      </w:r>
      <w:r>
        <w:rPr>
          <w:i/>
          <w:spacing w:val="-5"/>
        </w:rPr>
        <w:t> </w:t>
      </w:r>
      <w:r>
        <w:rPr>
          <w:i/>
        </w:rPr>
        <w:t>or</w:t>
      </w:r>
      <w:r>
        <w:rPr>
          <w:i/>
          <w:spacing w:val="-3"/>
        </w:rPr>
        <w:t> </w:t>
      </w:r>
      <w:r>
        <w:rPr>
          <w:i/>
        </w:rPr>
        <w:t>declining</w:t>
      </w:r>
      <w:r>
        <w:rPr>
          <w:i/>
          <w:spacing w:val="-3"/>
        </w:rPr>
        <w:t> </w:t>
      </w:r>
      <w:r>
        <w:rPr>
          <w:i/>
        </w:rPr>
        <w:t>the</w:t>
      </w:r>
      <w:r>
        <w:rPr>
          <w:i/>
          <w:spacing w:val="-3"/>
        </w:rPr>
        <w:t> </w:t>
      </w:r>
      <w:r>
        <w:rPr>
          <w:i/>
        </w:rPr>
        <w:t>offer</w:t>
      </w:r>
      <w:r>
        <w:rPr>
          <w:i/>
          <w:spacing w:val="-3"/>
        </w:rPr>
        <w:t> </w:t>
      </w:r>
      <w:r>
        <w:rPr>
          <w:i/>
        </w:rPr>
        <w:t>of</w:t>
      </w:r>
      <w:r>
        <w:rPr>
          <w:i/>
          <w:spacing w:val="-3"/>
        </w:rPr>
        <w:t> </w:t>
      </w:r>
      <w:r>
        <w:rPr>
          <w:i/>
          <w:spacing w:val="-5"/>
        </w:rPr>
        <w:t>EC</w:t>
      </w:r>
    </w:p>
    <w:p>
      <w:pPr>
        <w:pStyle w:val="BodyText"/>
        <w:spacing w:before="59"/>
        <w:ind w:left="1337" w:right="1474"/>
        <w:jc w:val="both"/>
      </w:pPr>
      <w:r>
        <w:rPr/>
        <w:t>Based</w:t>
      </w:r>
      <w:r>
        <w:rPr>
          <w:spacing w:val="-6"/>
        </w:rPr>
        <w:t> </w:t>
      </w:r>
      <w:r>
        <w:rPr/>
        <w:t>on</w:t>
      </w:r>
      <w:r>
        <w:rPr>
          <w:spacing w:val="-7"/>
        </w:rPr>
        <w:t> </w:t>
      </w:r>
      <w:r>
        <w:rPr/>
        <w:t>questions</w:t>
      </w:r>
      <w:r>
        <w:rPr>
          <w:spacing w:val="-6"/>
        </w:rPr>
        <w:t> </w:t>
      </w:r>
      <w:r>
        <w:rPr/>
        <w:t>around</w:t>
      </w:r>
      <w:r>
        <w:rPr>
          <w:spacing w:val="-7"/>
        </w:rPr>
        <w:t> </w:t>
      </w:r>
      <w:r>
        <w:rPr/>
        <w:t>the</w:t>
      </w:r>
      <w:r>
        <w:rPr>
          <w:spacing w:val="-6"/>
        </w:rPr>
        <w:t> </w:t>
      </w:r>
      <w:r>
        <w:rPr/>
        <w:t>events</w:t>
      </w:r>
      <w:r>
        <w:rPr>
          <w:spacing w:val="-7"/>
        </w:rPr>
        <w:t> </w:t>
      </w:r>
      <w:r>
        <w:rPr/>
        <w:t>that</w:t>
      </w:r>
      <w:r>
        <w:rPr>
          <w:spacing w:val="-7"/>
        </w:rPr>
        <w:t> </w:t>
      </w:r>
      <w:r>
        <w:rPr/>
        <w:t>had</w:t>
      </w:r>
      <w:r>
        <w:rPr>
          <w:spacing w:val="-6"/>
        </w:rPr>
        <w:t> </w:t>
      </w:r>
      <w:r>
        <w:rPr/>
        <w:t>happened</w:t>
      </w:r>
      <w:r>
        <w:rPr>
          <w:spacing w:val="-7"/>
        </w:rPr>
        <w:t> </w:t>
      </w:r>
      <w:r>
        <w:rPr/>
        <w:t>after</w:t>
      </w:r>
      <w:r>
        <w:rPr>
          <w:spacing w:val="-7"/>
        </w:rPr>
        <w:t> </w:t>
      </w:r>
      <w:r>
        <w:rPr/>
        <w:t>notifying</w:t>
      </w:r>
      <w:r>
        <w:rPr>
          <w:spacing w:val="-6"/>
        </w:rPr>
        <w:t> </w:t>
      </w:r>
      <w:r>
        <w:rPr/>
        <w:t>Acas,</w:t>
      </w:r>
      <w:r>
        <w:rPr>
          <w:spacing w:val="-7"/>
        </w:rPr>
        <w:t> </w:t>
      </w:r>
      <w:r>
        <w:rPr/>
        <w:t>it</w:t>
      </w:r>
      <w:r>
        <w:rPr>
          <w:spacing w:val="-8"/>
        </w:rPr>
        <w:t> </w:t>
      </w:r>
      <w:r>
        <w:rPr/>
        <w:t>is possible to make a simple binary distinction in the data between those claimant- side participants who agreed to take part in EC and those who did not:</w:t>
      </w:r>
    </w:p>
    <w:p>
      <w:pPr>
        <w:pStyle w:val="BodyText"/>
        <w:spacing w:before="3"/>
      </w:pPr>
    </w:p>
    <w:p>
      <w:pPr>
        <w:pStyle w:val="ListParagraph"/>
        <w:numPr>
          <w:ilvl w:val="3"/>
          <w:numId w:val="14"/>
        </w:numPr>
        <w:tabs>
          <w:tab w:pos="2056" w:val="left" w:leader="none"/>
          <w:tab w:pos="2058" w:val="left" w:leader="none"/>
        </w:tabs>
        <w:spacing w:line="237" w:lineRule="auto" w:before="0" w:after="0"/>
        <w:ind w:left="2057" w:right="1477" w:hanging="360"/>
        <w:jc w:val="left"/>
        <w:rPr>
          <w:sz w:val="13"/>
        </w:rPr>
      </w:pPr>
      <w:r>
        <w:rPr>
          <w:sz w:val="20"/>
        </w:rPr>
        <w:t>Eight in ten (77%) agreed to take part in EC. In 2015, this figure was 81 per cent.</w:t>
      </w:r>
      <w:hyperlink w:history="true" w:anchor="_bookmark76">
        <w:r>
          <w:rPr>
            <w:position w:val="7"/>
            <w:sz w:val="13"/>
          </w:rPr>
          <w:t>10</w:t>
        </w:r>
      </w:hyperlink>
    </w:p>
    <w:p>
      <w:pPr>
        <w:pStyle w:val="ListParagraph"/>
        <w:numPr>
          <w:ilvl w:val="3"/>
          <w:numId w:val="14"/>
        </w:numPr>
        <w:tabs>
          <w:tab w:pos="2057" w:val="left" w:leader="none"/>
          <w:tab w:pos="2058" w:val="left" w:leader="none"/>
        </w:tabs>
        <w:spacing w:line="244" w:lineRule="exact" w:before="1" w:after="0"/>
        <w:ind w:left="2057" w:right="0" w:hanging="361"/>
        <w:jc w:val="left"/>
        <w:rPr>
          <w:sz w:val="20"/>
        </w:rPr>
      </w:pPr>
      <w:r>
        <w:rPr>
          <w:sz w:val="20"/>
        </w:rPr>
        <w:t>Seventeen</w:t>
      </w:r>
      <w:r>
        <w:rPr>
          <w:spacing w:val="-5"/>
          <w:sz w:val="20"/>
        </w:rPr>
        <w:t> </w:t>
      </w:r>
      <w:r>
        <w:rPr>
          <w:sz w:val="20"/>
        </w:rPr>
        <w:t>per</w:t>
      </w:r>
      <w:r>
        <w:rPr>
          <w:spacing w:val="-2"/>
          <w:sz w:val="20"/>
        </w:rPr>
        <w:t> </w:t>
      </w:r>
      <w:r>
        <w:rPr>
          <w:sz w:val="20"/>
        </w:rPr>
        <w:t>cent</w:t>
      </w:r>
      <w:r>
        <w:rPr>
          <w:spacing w:val="-3"/>
          <w:sz w:val="20"/>
        </w:rPr>
        <w:t> </w:t>
      </w:r>
      <w:r>
        <w:rPr>
          <w:sz w:val="20"/>
        </w:rPr>
        <w:t>refused.</w:t>
      </w:r>
      <w:r>
        <w:rPr>
          <w:spacing w:val="-2"/>
          <w:sz w:val="20"/>
        </w:rPr>
        <w:t> </w:t>
      </w:r>
      <w:r>
        <w:rPr>
          <w:sz w:val="20"/>
        </w:rPr>
        <w:t>This</w:t>
      </w:r>
      <w:r>
        <w:rPr>
          <w:spacing w:val="-3"/>
          <w:sz w:val="20"/>
        </w:rPr>
        <w:t> </w:t>
      </w:r>
      <w:r>
        <w:rPr>
          <w:sz w:val="20"/>
        </w:rPr>
        <w:t>was</w:t>
      </w:r>
      <w:r>
        <w:rPr>
          <w:spacing w:val="-2"/>
          <w:sz w:val="20"/>
        </w:rPr>
        <w:t> </w:t>
      </w:r>
      <w:r>
        <w:rPr>
          <w:sz w:val="20"/>
        </w:rPr>
        <w:t>the</w:t>
      </w:r>
      <w:r>
        <w:rPr>
          <w:spacing w:val="-3"/>
          <w:sz w:val="20"/>
        </w:rPr>
        <w:t> </w:t>
      </w:r>
      <w:r>
        <w:rPr>
          <w:sz w:val="20"/>
        </w:rPr>
        <w:t>same</w:t>
      </w:r>
      <w:r>
        <w:rPr>
          <w:spacing w:val="-3"/>
          <w:sz w:val="20"/>
        </w:rPr>
        <w:t> </w:t>
      </w:r>
      <w:r>
        <w:rPr>
          <w:sz w:val="20"/>
        </w:rPr>
        <w:t>in</w:t>
      </w:r>
      <w:r>
        <w:rPr>
          <w:spacing w:val="-2"/>
          <w:sz w:val="20"/>
        </w:rPr>
        <w:t> 2015.</w:t>
      </w:r>
    </w:p>
    <w:p>
      <w:pPr>
        <w:pStyle w:val="ListParagraph"/>
        <w:numPr>
          <w:ilvl w:val="3"/>
          <w:numId w:val="14"/>
        </w:numPr>
        <w:tabs>
          <w:tab w:pos="2057" w:val="left" w:leader="none"/>
          <w:tab w:pos="2058" w:val="left" w:leader="none"/>
        </w:tabs>
        <w:spacing w:line="240" w:lineRule="auto" w:before="0" w:after="0"/>
        <w:ind w:left="2057" w:right="1474" w:hanging="360"/>
        <w:jc w:val="left"/>
        <w:rPr>
          <w:sz w:val="20"/>
        </w:rPr>
      </w:pPr>
      <w:r>
        <w:rPr>
          <w:sz w:val="20"/>
        </w:rPr>
        <w:t>For five per cent it could not be established whether they agreed to take</w:t>
      </w:r>
      <w:r>
        <w:rPr>
          <w:spacing w:val="40"/>
          <w:sz w:val="20"/>
        </w:rPr>
        <w:t> </w:t>
      </w:r>
      <w:r>
        <w:rPr>
          <w:sz w:val="20"/>
        </w:rPr>
        <w:t>part or not. In 2015, this figure was two per cent.</w:t>
      </w:r>
    </w:p>
    <w:p>
      <w:pPr>
        <w:pStyle w:val="BodyText"/>
        <w:spacing w:before="9"/>
        <w:rPr>
          <w:sz w:val="19"/>
        </w:rPr>
      </w:pPr>
    </w:p>
    <w:p>
      <w:pPr>
        <w:pStyle w:val="BodyText"/>
        <w:ind w:left="1337" w:right="1474"/>
        <w:jc w:val="both"/>
      </w:pPr>
      <w:r>
        <w:rPr/>
        <w:t>After refusals to participate in EC from employers were taken into account, the proportion of claimant-side participants who took part in EC stood at 58 per cent, a</w:t>
      </w:r>
      <w:r>
        <w:rPr>
          <w:spacing w:val="-6"/>
        </w:rPr>
        <w:t> </w:t>
      </w:r>
      <w:r>
        <w:rPr/>
        <w:t>significant</w:t>
      </w:r>
      <w:r>
        <w:rPr>
          <w:spacing w:val="-4"/>
        </w:rPr>
        <w:t> </w:t>
      </w:r>
      <w:r>
        <w:rPr/>
        <w:t>decline</w:t>
      </w:r>
      <w:r>
        <w:rPr>
          <w:spacing w:val="-6"/>
        </w:rPr>
        <w:t> </w:t>
      </w:r>
      <w:r>
        <w:rPr/>
        <w:t>from</w:t>
      </w:r>
      <w:r>
        <w:rPr>
          <w:spacing w:val="-5"/>
        </w:rPr>
        <w:t> </w:t>
      </w:r>
      <w:r>
        <w:rPr/>
        <w:t>the</w:t>
      </w:r>
      <w:r>
        <w:rPr>
          <w:spacing w:val="-5"/>
        </w:rPr>
        <w:t> </w:t>
      </w:r>
      <w:r>
        <w:rPr/>
        <w:t>2015,</w:t>
      </w:r>
      <w:r>
        <w:rPr>
          <w:spacing w:val="-5"/>
        </w:rPr>
        <w:t> </w:t>
      </w:r>
      <w:r>
        <w:rPr/>
        <w:t>when</w:t>
      </w:r>
      <w:r>
        <w:rPr>
          <w:spacing w:val="-4"/>
        </w:rPr>
        <w:t> </w:t>
      </w:r>
      <w:r>
        <w:rPr/>
        <w:t>64</w:t>
      </w:r>
      <w:r>
        <w:rPr>
          <w:spacing w:val="-7"/>
        </w:rPr>
        <w:t> </w:t>
      </w:r>
      <w:r>
        <w:rPr/>
        <w:t>per</w:t>
      </w:r>
      <w:r>
        <w:rPr>
          <w:spacing w:val="-5"/>
        </w:rPr>
        <w:t> </w:t>
      </w:r>
      <w:r>
        <w:rPr/>
        <w:t>cent</w:t>
      </w:r>
      <w:r>
        <w:rPr>
          <w:spacing w:val="-5"/>
        </w:rPr>
        <w:t> </w:t>
      </w:r>
      <w:r>
        <w:rPr/>
        <w:t>went</w:t>
      </w:r>
      <w:r>
        <w:rPr>
          <w:spacing w:val="-5"/>
        </w:rPr>
        <w:t> </w:t>
      </w:r>
      <w:r>
        <w:rPr/>
        <w:t>on</w:t>
      </w:r>
      <w:r>
        <w:rPr>
          <w:spacing w:val="-5"/>
        </w:rPr>
        <w:t> </w:t>
      </w:r>
      <w:r>
        <w:rPr/>
        <w:t>to</w:t>
      </w:r>
      <w:r>
        <w:rPr>
          <w:spacing w:val="-6"/>
        </w:rPr>
        <w:t> </w:t>
      </w:r>
      <w:r>
        <w:rPr/>
        <w:t>participate</w:t>
      </w:r>
      <w:r>
        <w:rPr>
          <w:spacing w:val="-5"/>
        </w:rPr>
        <w:t> </w:t>
      </w:r>
      <w:r>
        <w:rPr/>
        <w:t>in</w:t>
      </w:r>
      <w:r>
        <w:rPr>
          <w:spacing w:val="-4"/>
        </w:rPr>
        <w:t> </w:t>
      </w:r>
      <w:r>
        <w:rPr>
          <w:spacing w:val="-5"/>
        </w:rPr>
        <w:t>EC.</w:t>
      </w:r>
    </w:p>
    <w:p>
      <w:pPr>
        <w:pStyle w:val="BodyText"/>
        <w:spacing w:before="1"/>
      </w:pPr>
    </w:p>
    <w:p>
      <w:pPr>
        <w:pStyle w:val="Heading4"/>
        <w:numPr>
          <w:ilvl w:val="2"/>
          <w:numId w:val="14"/>
        </w:numPr>
        <w:tabs>
          <w:tab w:pos="2058" w:val="left" w:leader="none"/>
        </w:tabs>
        <w:spacing w:line="240" w:lineRule="auto" w:before="1" w:after="0"/>
        <w:ind w:left="2057" w:right="0" w:hanging="721"/>
        <w:jc w:val="both"/>
        <w:rPr>
          <w:i/>
        </w:rPr>
      </w:pPr>
      <w:bookmarkStart w:name="8.3.2 Factors determining the acceptance" w:id="60"/>
      <w:bookmarkEnd w:id="60"/>
      <w:r>
        <w:rPr>
          <w:i/>
        </w:rPr>
        <w:t>Fa</w:t>
      </w:r>
      <w:r>
        <w:rPr>
          <w:i/>
        </w:rPr>
        <w:t>ctors</w:t>
      </w:r>
      <w:r>
        <w:rPr>
          <w:i/>
          <w:spacing w:val="-8"/>
        </w:rPr>
        <w:t> </w:t>
      </w:r>
      <w:r>
        <w:rPr>
          <w:i/>
        </w:rPr>
        <w:t>determining</w:t>
      </w:r>
      <w:r>
        <w:rPr>
          <w:i/>
          <w:spacing w:val="-4"/>
        </w:rPr>
        <w:t> </w:t>
      </w:r>
      <w:r>
        <w:rPr>
          <w:i/>
        </w:rPr>
        <w:t>the</w:t>
      </w:r>
      <w:r>
        <w:rPr>
          <w:i/>
          <w:spacing w:val="-3"/>
        </w:rPr>
        <w:t> </w:t>
      </w:r>
      <w:r>
        <w:rPr>
          <w:i/>
        </w:rPr>
        <w:t>acceptance</w:t>
      </w:r>
      <w:r>
        <w:rPr>
          <w:i/>
          <w:spacing w:val="-3"/>
        </w:rPr>
        <w:t> </w:t>
      </w:r>
      <w:r>
        <w:rPr>
          <w:i/>
        </w:rPr>
        <w:t>of</w:t>
      </w:r>
      <w:r>
        <w:rPr>
          <w:i/>
          <w:spacing w:val="-4"/>
        </w:rPr>
        <w:t> </w:t>
      </w:r>
      <w:r>
        <w:rPr>
          <w:i/>
        </w:rPr>
        <w:t>the</w:t>
      </w:r>
      <w:r>
        <w:rPr>
          <w:i/>
          <w:spacing w:val="-3"/>
        </w:rPr>
        <w:t> </w:t>
      </w:r>
      <w:r>
        <w:rPr>
          <w:i/>
        </w:rPr>
        <w:t>offer</w:t>
      </w:r>
      <w:r>
        <w:rPr>
          <w:i/>
          <w:spacing w:val="-3"/>
        </w:rPr>
        <w:t> </w:t>
      </w:r>
      <w:r>
        <w:rPr>
          <w:i/>
        </w:rPr>
        <w:t>of</w:t>
      </w:r>
      <w:r>
        <w:rPr>
          <w:i/>
          <w:spacing w:val="-4"/>
        </w:rPr>
        <w:t> </w:t>
      </w:r>
      <w:r>
        <w:rPr>
          <w:i/>
          <w:spacing w:val="-5"/>
        </w:rPr>
        <w:t>EC</w:t>
      </w:r>
    </w:p>
    <w:p>
      <w:pPr>
        <w:pStyle w:val="BodyText"/>
        <w:spacing w:before="59"/>
        <w:ind w:left="1337" w:right="1472"/>
        <w:jc w:val="both"/>
      </w:pPr>
      <w:r>
        <w:rPr/>
        <w:t>Throughout this report a series of regression analyses have been conducted to understand</w:t>
      </w:r>
      <w:r>
        <w:rPr>
          <w:spacing w:val="-14"/>
        </w:rPr>
        <w:t> </w:t>
      </w:r>
      <w:r>
        <w:rPr/>
        <w:t>the</w:t>
      </w:r>
      <w:r>
        <w:rPr>
          <w:spacing w:val="-13"/>
        </w:rPr>
        <w:t> </w:t>
      </w:r>
      <w:r>
        <w:rPr/>
        <w:t>factors</w:t>
      </w:r>
      <w:r>
        <w:rPr>
          <w:spacing w:val="-14"/>
        </w:rPr>
        <w:t> </w:t>
      </w:r>
      <w:r>
        <w:rPr/>
        <w:t>associated</w:t>
      </w:r>
      <w:r>
        <w:rPr>
          <w:spacing w:val="-12"/>
        </w:rPr>
        <w:t> </w:t>
      </w:r>
      <w:r>
        <w:rPr/>
        <w:t>with</w:t>
      </w:r>
      <w:r>
        <w:rPr>
          <w:spacing w:val="-13"/>
        </w:rPr>
        <w:t> </w:t>
      </w:r>
      <w:r>
        <w:rPr/>
        <w:t>certain</w:t>
      </w:r>
      <w:r>
        <w:rPr>
          <w:spacing w:val="-11"/>
        </w:rPr>
        <w:t> </w:t>
      </w:r>
      <w:r>
        <w:rPr/>
        <w:t>aspects</w:t>
      </w:r>
      <w:r>
        <w:rPr>
          <w:spacing w:val="-13"/>
        </w:rPr>
        <w:t> </w:t>
      </w:r>
      <w:r>
        <w:rPr/>
        <w:t>of</w:t>
      </w:r>
      <w:r>
        <w:rPr>
          <w:spacing w:val="-14"/>
        </w:rPr>
        <w:t> </w:t>
      </w:r>
      <w:r>
        <w:rPr/>
        <w:t>how</w:t>
      </w:r>
      <w:r>
        <w:rPr>
          <w:spacing w:val="-13"/>
        </w:rPr>
        <w:t> </w:t>
      </w:r>
      <w:r>
        <w:rPr/>
        <w:t>service</w:t>
      </w:r>
      <w:r>
        <w:rPr>
          <w:spacing w:val="-12"/>
        </w:rPr>
        <w:t> </w:t>
      </w:r>
      <w:r>
        <w:rPr/>
        <w:t>users</w:t>
      </w:r>
      <w:r>
        <w:rPr>
          <w:spacing w:val="-13"/>
        </w:rPr>
        <w:t> </w:t>
      </w:r>
      <w:r>
        <w:rPr/>
        <w:t>engage with</w:t>
      </w:r>
      <w:r>
        <w:rPr>
          <w:spacing w:val="-11"/>
        </w:rPr>
        <w:t> </w:t>
      </w:r>
      <w:r>
        <w:rPr/>
        <w:t>EC.</w:t>
      </w:r>
      <w:r>
        <w:rPr>
          <w:spacing w:val="-10"/>
        </w:rPr>
        <w:t> </w:t>
      </w:r>
      <w:r>
        <w:rPr/>
        <w:t>This</w:t>
      </w:r>
      <w:r>
        <w:rPr>
          <w:spacing w:val="-10"/>
        </w:rPr>
        <w:t> </w:t>
      </w:r>
      <w:r>
        <w:rPr/>
        <w:t>first</w:t>
      </w:r>
      <w:r>
        <w:rPr>
          <w:spacing w:val="-10"/>
        </w:rPr>
        <w:t> </w:t>
      </w:r>
      <w:r>
        <w:rPr/>
        <w:t>model</w:t>
      </w:r>
      <w:r>
        <w:rPr>
          <w:spacing w:val="-11"/>
        </w:rPr>
        <w:t> </w:t>
      </w:r>
      <w:r>
        <w:rPr/>
        <w:t>examines</w:t>
      </w:r>
      <w:r>
        <w:rPr>
          <w:spacing w:val="-10"/>
        </w:rPr>
        <w:t> </w:t>
      </w:r>
      <w:r>
        <w:rPr/>
        <w:t>the</w:t>
      </w:r>
      <w:r>
        <w:rPr>
          <w:spacing w:val="-11"/>
        </w:rPr>
        <w:t> </w:t>
      </w:r>
      <w:r>
        <w:rPr/>
        <w:t>factors</w:t>
      </w:r>
      <w:r>
        <w:rPr>
          <w:spacing w:val="-12"/>
        </w:rPr>
        <w:t> </w:t>
      </w:r>
      <w:r>
        <w:rPr/>
        <w:t>‘driving’</w:t>
      </w:r>
      <w:r>
        <w:rPr>
          <w:spacing w:val="-10"/>
        </w:rPr>
        <w:t> </w:t>
      </w:r>
      <w:r>
        <w:rPr/>
        <w:t>whether</w:t>
      </w:r>
      <w:r>
        <w:rPr>
          <w:spacing w:val="-11"/>
        </w:rPr>
        <w:t> </w:t>
      </w:r>
      <w:r>
        <w:rPr/>
        <w:t>claimants</w:t>
      </w:r>
      <w:r>
        <w:rPr>
          <w:spacing w:val="-10"/>
        </w:rPr>
        <w:t> </w:t>
      </w:r>
      <w:r>
        <w:rPr/>
        <w:t>accepted the</w:t>
      </w:r>
      <w:r>
        <w:rPr>
          <w:spacing w:val="-10"/>
        </w:rPr>
        <w:t> </w:t>
      </w:r>
      <w:r>
        <w:rPr/>
        <w:t>offer</w:t>
      </w:r>
      <w:r>
        <w:rPr>
          <w:spacing w:val="-10"/>
        </w:rPr>
        <w:t> </w:t>
      </w:r>
      <w:r>
        <w:rPr/>
        <w:t>to</w:t>
      </w:r>
      <w:r>
        <w:rPr>
          <w:spacing w:val="-11"/>
        </w:rPr>
        <w:t> </w:t>
      </w:r>
      <w:r>
        <w:rPr/>
        <w:t>participate</w:t>
      </w:r>
      <w:r>
        <w:rPr>
          <w:spacing w:val="-10"/>
        </w:rPr>
        <w:t> </w:t>
      </w:r>
      <w:r>
        <w:rPr/>
        <w:t>in</w:t>
      </w:r>
      <w:r>
        <w:rPr>
          <w:spacing w:val="-10"/>
        </w:rPr>
        <w:t> </w:t>
      </w:r>
      <w:r>
        <w:rPr/>
        <w:t>EC</w:t>
      </w:r>
      <w:r>
        <w:rPr>
          <w:spacing w:val="-10"/>
        </w:rPr>
        <w:t> </w:t>
      </w:r>
      <w:r>
        <w:rPr/>
        <w:t>(Please</w:t>
      </w:r>
      <w:r>
        <w:rPr>
          <w:spacing w:val="-9"/>
        </w:rPr>
        <w:t> </w:t>
      </w:r>
      <w:r>
        <w:rPr/>
        <w:t>note:</w:t>
      </w:r>
      <w:r>
        <w:rPr>
          <w:spacing w:val="-10"/>
        </w:rPr>
        <w:t> </w:t>
      </w:r>
      <w:r>
        <w:rPr/>
        <w:t>representatives</w:t>
      </w:r>
      <w:r>
        <w:rPr>
          <w:spacing w:val="-10"/>
        </w:rPr>
        <w:t> </w:t>
      </w:r>
      <w:r>
        <w:rPr/>
        <w:t>were</w:t>
      </w:r>
      <w:r>
        <w:rPr>
          <w:spacing w:val="-9"/>
        </w:rPr>
        <w:t> </w:t>
      </w:r>
      <w:r>
        <w:rPr/>
        <w:t>not</w:t>
      </w:r>
      <w:r>
        <w:rPr>
          <w:spacing w:val="-9"/>
        </w:rPr>
        <w:t> </w:t>
      </w:r>
      <w:r>
        <w:rPr/>
        <w:t>included</w:t>
      </w:r>
      <w:r>
        <w:rPr>
          <w:spacing w:val="-9"/>
        </w:rPr>
        <w:t> </w:t>
      </w:r>
      <w:r>
        <w:rPr/>
        <w:t>in</w:t>
      </w:r>
      <w:r>
        <w:rPr>
          <w:spacing w:val="-10"/>
        </w:rPr>
        <w:t> </w:t>
      </w:r>
      <w:r>
        <w:rPr/>
        <w:t>the </w:t>
      </w:r>
      <w:r>
        <w:rPr>
          <w:spacing w:val="-2"/>
        </w:rPr>
        <w:t>model).</w:t>
      </w:r>
    </w:p>
    <w:p>
      <w:pPr>
        <w:pStyle w:val="BodyText"/>
      </w:pPr>
    </w:p>
    <w:p>
      <w:pPr>
        <w:pStyle w:val="BodyText"/>
        <w:ind w:left="1337" w:right="1473"/>
        <w:jc w:val="both"/>
      </w:pPr>
      <w:r>
        <w:rPr/>
        <w:t>A binary logistic regression analysis was</w:t>
      </w:r>
      <w:r>
        <w:rPr>
          <w:spacing w:val="-1"/>
        </w:rPr>
        <w:t> </w:t>
      </w:r>
      <w:r>
        <w:rPr/>
        <w:t>used: this is a technique</w:t>
      </w:r>
      <w:r>
        <w:rPr>
          <w:spacing w:val="-1"/>
        </w:rPr>
        <w:t> </w:t>
      </w:r>
      <w:r>
        <w:rPr/>
        <w:t>which examines the relationships between a ‘dependent’ variable (in this case, whether someone accepts</w:t>
      </w:r>
      <w:r>
        <w:rPr>
          <w:spacing w:val="-10"/>
        </w:rPr>
        <w:t> </w:t>
      </w:r>
      <w:r>
        <w:rPr/>
        <w:t>the</w:t>
      </w:r>
      <w:r>
        <w:rPr>
          <w:spacing w:val="-12"/>
        </w:rPr>
        <w:t> </w:t>
      </w:r>
      <w:r>
        <w:rPr/>
        <w:t>offer</w:t>
      </w:r>
      <w:r>
        <w:rPr>
          <w:spacing w:val="-11"/>
        </w:rPr>
        <w:t> </w:t>
      </w:r>
      <w:r>
        <w:rPr/>
        <w:t>to</w:t>
      </w:r>
      <w:r>
        <w:rPr>
          <w:spacing w:val="-11"/>
        </w:rPr>
        <w:t> </w:t>
      </w:r>
      <w:r>
        <w:rPr/>
        <w:t>participate</w:t>
      </w:r>
      <w:r>
        <w:rPr>
          <w:spacing w:val="-10"/>
        </w:rPr>
        <w:t> </w:t>
      </w:r>
      <w:r>
        <w:rPr/>
        <w:t>in</w:t>
      </w:r>
      <w:r>
        <w:rPr>
          <w:spacing w:val="-10"/>
        </w:rPr>
        <w:t> </w:t>
      </w:r>
      <w:r>
        <w:rPr/>
        <w:t>EC)</w:t>
      </w:r>
      <w:r>
        <w:rPr>
          <w:spacing w:val="-10"/>
        </w:rPr>
        <w:t> </w:t>
      </w:r>
      <w:r>
        <w:rPr/>
        <w:t>with</w:t>
      </w:r>
      <w:r>
        <w:rPr>
          <w:spacing w:val="-10"/>
        </w:rPr>
        <w:t> </w:t>
      </w:r>
      <w:r>
        <w:rPr/>
        <w:t>multiple</w:t>
      </w:r>
      <w:r>
        <w:rPr>
          <w:spacing w:val="-11"/>
        </w:rPr>
        <w:t> </w:t>
      </w:r>
      <w:r>
        <w:rPr/>
        <w:t>‘independent’</w:t>
      </w:r>
      <w:r>
        <w:rPr>
          <w:spacing w:val="-10"/>
        </w:rPr>
        <w:t> </w:t>
      </w:r>
      <w:r>
        <w:rPr/>
        <w:t>variables</w:t>
      </w:r>
      <w:r>
        <w:rPr>
          <w:spacing w:val="-8"/>
        </w:rPr>
        <w:t> </w:t>
      </w:r>
      <w:r>
        <w:rPr/>
        <w:t>(factors which might influence the dependent variable, such as the track of a claimant’s dispute) to identify the most influential factors. It is important to note that regression analysis such as this measures association between variables rather than causation, meaning it is not possible to infer a causal relationship between linked variables. Further detail is available in the technical appendices.</w:t>
      </w:r>
    </w:p>
    <w:p>
      <w:pPr>
        <w:spacing w:after="0"/>
        <w:jc w:val="both"/>
        <w:sectPr>
          <w:pgSz w:w="11910" w:h="16840"/>
          <w:pgMar w:header="0" w:footer="996" w:top="1340" w:bottom="1180" w:left="460" w:right="320"/>
        </w:sectPr>
      </w:pPr>
    </w:p>
    <w:p>
      <w:pPr>
        <w:pStyle w:val="BodyText"/>
        <w:spacing w:before="82"/>
        <w:ind w:left="1337" w:right="1473"/>
        <w:jc w:val="both"/>
      </w:pPr>
      <w:r>
        <w:rPr/>
        <w:t>The independent variables which were found to be determinants of whether claimants</w:t>
      </w:r>
      <w:r>
        <w:rPr>
          <w:spacing w:val="-5"/>
        </w:rPr>
        <w:t> </w:t>
      </w:r>
      <w:r>
        <w:rPr/>
        <w:t>accepted</w:t>
      </w:r>
      <w:r>
        <w:rPr>
          <w:spacing w:val="-5"/>
        </w:rPr>
        <w:t> </w:t>
      </w:r>
      <w:r>
        <w:rPr/>
        <w:t>the</w:t>
      </w:r>
      <w:r>
        <w:rPr>
          <w:spacing w:val="-7"/>
        </w:rPr>
        <w:t> </w:t>
      </w:r>
      <w:r>
        <w:rPr/>
        <w:t>offer</w:t>
      </w:r>
      <w:r>
        <w:rPr>
          <w:spacing w:val="-7"/>
        </w:rPr>
        <w:t> </w:t>
      </w:r>
      <w:r>
        <w:rPr/>
        <w:t>to</w:t>
      </w:r>
      <w:r>
        <w:rPr>
          <w:spacing w:val="-6"/>
        </w:rPr>
        <w:t> </w:t>
      </w:r>
      <w:r>
        <w:rPr/>
        <w:t>engage</w:t>
      </w:r>
      <w:r>
        <w:rPr>
          <w:spacing w:val="-6"/>
        </w:rPr>
        <w:t> </w:t>
      </w:r>
      <w:r>
        <w:rPr/>
        <w:t>in</w:t>
      </w:r>
      <w:r>
        <w:rPr>
          <w:spacing w:val="-6"/>
        </w:rPr>
        <w:t> </w:t>
      </w:r>
      <w:r>
        <w:rPr/>
        <w:t>EC</w:t>
      </w:r>
      <w:r>
        <w:rPr>
          <w:spacing w:val="-7"/>
        </w:rPr>
        <w:t> </w:t>
      </w:r>
      <w:r>
        <w:rPr/>
        <w:t>are</w:t>
      </w:r>
      <w:r>
        <w:rPr>
          <w:spacing w:val="-6"/>
        </w:rPr>
        <w:t> </w:t>
      </w:r>
      <w:r>
        <w:rPr/>
        <w:t>listed</w:t>
      </w:r>
      <w:r>
        <w:rPr>
          <w:spacing w:val="-5"/>
        </w:rPr>
        <w:t> </w:t>
      </w:r>
      <w:r>
        <w:rPr/>
        <w:t>below</w:t>
      </w:r>
      <w:r>
        <w:rPr>
          <w:spacing w:val="-5"/>
        </w:rPr>
        <w:t> </w:t>
      </w:r>
      <w:r>
        <w:rPr/>
        <w:t>in</w:t>
      </w:r>
      <w:r>
        <w:rPr>
          <w:spacing w:val="-5"/>
        </w:rPr>
        <w:t> </w:t>
      </w:r>
      <w:r>
        <w:rPr/>
        <w:t>order</w:t>
      </w:r>
      <w:r>
        <w:rPr>
          <w:spacing w:val="-6"/>
        </w:rPr>
        <w:t> </w:t>
      </w:r>
      <w:r>
        <w:rPr/>
        <w:t>of</w:t>
      </w:r>
      <w:r>
        <w:rPr>
          <w:spacing w:val="-5"/>
        </w:rPr>
        <w:t> </w:t>
      </w:r>
      <w:r>
        <w:rPr/>
        <w:t>predictive </w:t>
      </w:r>
      <w:r>
        <w:rPr>
          <w:spacing w:val="-2"/>
        </w:rPr>
        <w:t>strength:</w:t>
      </w:r>
    </w:p>
    <w:p>
      <w:pPr>
        <w:pStyle w:val="BodyText"/>
      </w:pPr>
    </w:p>
    <w:p>
      <w:pPr>
        <w:pStyle w:val="ListParagraph"/>
        <w:numPr>
          <w:ilvl w:val="3"/>
          <w:numId w:val="14"/>
        </w:numPr>
        <w:tabs>
          <w:tab w:pos="2058" w:val="left" w:leader="none"/>
        </w:tabs>
        <w:spacing w:line="240" w:lineRule="auto" w:before="0" w:after="0"/>
        <w:ind w:left="2057" w:right="1472" w:hanging="360"/>
        <w:jc w:val="both"/>
        <w:rPr>
          <w:sz w:val="20"/>
        </w:rPr>
      </w:pPr>
      <w:r>
        <w:rPr>
          <w:i/>
          <w:sz w:val="20"/>
        </w:rPr>
        <w:t>Motivation for the EC form submission</w:t>
      </w:r>
      <w:r>
        <w:rPr>
          <w:sz w:val="20"/>
        </w:rPr>
        <w:t>: Those who did </w:t>
      </w:r>
      <w:r>
        <w:rPr>
          <w:i/>
          <w:sz w:val="20"/>
        </w:rPr>
        <w:t>not </w:t>
      </w:r>
      <w:r>
        <w:rPr>
          <w:sz w:val="20"/>
        </w:rPr>
        <w:t>say that they submitted</w:t>
      </w:r>
      <w:r>
        <w:rPr>
          <w:spacing w:val="-10"/>
          <w:sz w:val="20"/>
        </w:rPr>
        <w:t> </w:t>
      </w:r>
      <w:r>
        <w:rPr>
          <w:sz w:val="20"/>
        </w:rPr>
        <w:t>an</w:t>
      </w:r>
      <w:r>
        <w:rPr>
          <w:spacing w:val="-10"/>
          <w:sz w:val="20"/>
        </w:rPr>
        <w:t> </w:t>
      </w:r>
      <w:r>
        <w:rPr>
          <w:sz w:val="20"/>
        </w:rPr>
        <w:t>EC</w:t>
      </w:r>
      <w:r>
        <w:rPr>
          <w:spacing w:val="-10"/>
          <w:sz w:val="20"/>
        </w:rPr>
        <w:t> </w:t>
      </w:r>
      <w:r>
        <w:rPr>
          <w:sz w:val="20"/>
        </w:rPr>
        <w:t>form</w:t>
      </w:r>
      <w:r>
        <w:rPr>
          <w:spacing w:val="-11"/>
          <w:sz w:val="20"/>
        </w:rPr>
        <w:t> </w:t>
      </w:r>
      <w:r>
        <w:rPr>
          <w:sz w:val="20"/>
        </w:rPr>
        <w:t>simply</w:t>
      </w:r>
      <w:r>
        <w:rPr>
          <w:spacing w:val="-10"/>
          <w:sz w:val="20"/>
        </w:rPr>
        <w:t> </w:t>
      </w:r>
      <w:r>
        <w:rPr>
          <w:sz w:val="20"/>
        </w:rPr>
        <w:t>to</w:t>
      </w:r>
      <w:r>
        <w:rPr>
          <w:spacing w:val="-11"/>
          <w:sz w:val="20"/>
        </w:rPr>
        <w:t> </w:t>
      </w:r>
      <w:r>
        <w:rPr>
          <w:sz w:val="20"/>
        </w:rPr>
        <w:t>take</w:t>
      </w:r>
      <w:r>
        <w:rPr>
          <w:spacing w:val="-11"/>
          <w:sz w:val="20"/>
        </w:rPr>
        <w:t> </w:t>
      </w:r>
      <w:r>
        <w:rPr>
          <w:sz w:val="20"/>
        </w:rPr>
        <w:t>their</w:t>
      </w:r>
      <w:r>
        <w:rPr>
          <w:spacing w:val="-11"/>
          <w:sz w:val="20"/>
        </w:rPr>
        <w:t> </w:t>
      </w:r>
      <w:r>
        <w:rPr>
          <w:sz w:val="20"/>
        </w:rPr>
        <w:t>employer</w:t>
      </w:r>
      <w:r>
        <w:rPr>
          <w:spacing w:val="-11"/>
          <w:sz w:val="20"/>
        </w:rPr>
        <w:t> </w:t>
      </w:r>
      <w:r>
        <w:rPr>
          <w:sz w:val="20"/>
        </w:rPr>
        <w:t>to</w:t>
      </w:r>
      <w:r>
        <w:rPr>
          <w:spacing w:val="-11"/>
          <w:sz w:val="20"/>
        </w:rPr>
        <w:t> </w:t>
      </w:r>
      <w:r>
        <w:rPr>
          <w:sz w:val="20"/>
        </w:rPr>
        <w:t>a</w:t>
      </w:r>
      <w:r>
        <w:rPr>
          <w:spacing w:val="-11"/>
          <w:sz w:val="20"/>
        </w:rPr>
        <w:t> </w:t>
      </w:r>
      <w:r>
        <w:rPr>
          <w:sz w:val="20"/>
        </w:rPr>
        <w:t>tribunal</w:t>
      </w:r>
      <w:r>
        <w:rPr>
          <w:spacing w:val="-11"/>
          <w:sz w:val="20"/>
        </w:rPr>
        <w:t> </w:t>
      </w:r>
      <w:r>
        <w:rPr>
          <w:sz w:val="20"/>
        </w:rPr>
        <w:t>were</w:t>
      </w:r>
      <w:r>
        <w:rPr>
          <w:spacing w:val="-11"/>
          <w:sz w:val="20"/>
        </w:rPr>
        <w:t> </w:t>
      </w:r>
      <w:r>
        <w:rPr>
          <w:sz w:val="20"/>
        </w:rPr>
        <w:t>more likely to accept the offer of EC.</w:t>
      </w:r>
    </w:p>
    <w:p>
      <w:pPr>
        <w:pStyle w:val="ListParagraph"/>
        <w:numPr>
          <w:ilvl w:val="3"/>
          <w:numId w:val="14"/>
        </w:numPr>
        <w:tabs>
          <w:tab w:pos="2058" w:val="left" w:leader="none"/>
        </w:tabs>
        <w:spacing w:line="240" w:lineRule="auto" w:before="0" w:after="0"/>
        <w:ind w:left="2057" w:right="1473" w:hanging="360"/>
        <w:jc w:val="both"/>
        <w:rPr>
          <w:sz w:val="20"/>
        </w:rPr>
      </w:pPr>
      <w:r>
        <w:rPr>
          <w:i/>
          <w:sz w:val="20"/>
        </w:rPr>
        <w:t>Information provided about the EC process by the notification form</w:t>
      </w:r>
      <w:r>
        <w:rPr>
          <w:sz w:val="20"/>
        </w:rPr>
        <w:t>: Claimants who agreed that the EC form provided information which was helpful in understanding the process were more likely to accept the offer.</w:t>
      </w:r>
    </w:p>
    <w:p>
      <w:pPr>
        <w:pStyle w:val="ListParagraph"/>
        <w:numPr>
          <w:ilvl w:val="3"/>
          <w:numId w:val="14"/>
        </w:numPr>
        <w:tabs>
          <w:tab w:pos="2058" w:val="left" w:leader="none"/>
        </w:tabs>
        <w:spacing w:line="240" w:lineRule="auto" w:before="0" w:after="0"/>
        <w:ind w:left="2057" w:right="1473" w:hanging="360"/>
        <w:jc w:val="both"/>
        <w:rPr>
          <w:sz w:val="20"/>
        </w:rPr>
      </w:pPr>
      <w:r>
        <w:rPr>
          <w:i/>
          <w:sz w:val="20"/>
        </w:rPr>
        <w:t>Whether the claimant is still working for the employer</w:t>
      </w:r>
      <w:r>
        <w:rPr>
          <w:sz w:val="20"/>
        </w:rPr>
        <w:t>: Claimants who are still working for the employer against whom they raised an EC claim were significantly less likely to accept the offer.</w:t>
      </w:r>
    </w:p>
    <w:p>
      <w:pPr>
        <w:pStyle w:val="BodyText"/>
        <w:rPr>
          <w:sz w:val="24"/>
        </w:rPr>
      </w:pPr>
    </w:p>
    <w:p>
      <w:pPr>
        <w:pStyle w:val="Heading3"/>
        <w:spacing w:before="189"/>
        <w:ind w:left="1336" w:right="1474"/>
      </w:pPr>
      <w:r>
        <w:rPr/>
        <w:t>Figure 6. Logistic regression results of factors determining claimant acceptance of EC</w:t>
      </w:r>
    </w:p>
    <w:p>
      <w:pPr>
        <w:pStyle w:val="BodyText"/>
        <w:rPr>
          <w:b/>
          <w:sz w:val="17"/>
        </w:rPr>
      </w:pPr>
    </w:p>
    <w:p>
      <w:pPr>
        <w:spacing w:before="103"/>
        <w:ind w:left="6947" w:right="0" w:firstLine="0"/>
        <w:jc w:val="left"/>
        <w:rPr>
          <w:b/>
          <w:i/>
          <w:sz w:val="11"/>
        </w:rPr>
      </w:pPr>
      <w:r>
        <w:rPr>
          <w:b/>
          <w:i/>
          <w:color w:val="74AA50"/>
          <w:sz w:val="11"/>
        </w:rPr>
        <w:t>Claimant</w:t>
      </w:r>
      <w:r>
        <w:rPr>
          <w:b/>
          <w:i/>
          <w:color w:val="74AA50"/>
          <w:spacing w:val="-2"/>
          <w:sz w:val="11"/>
        </w:rPr>
        <w:t> </w:t>
      </w:r>
      <w:r>
        <w:rPr>
          <w:b/>
          <w:i/>
          <w:color w:val="74AA50"/>
          <w:sz w:val="11"/>
          <w:u w:val="single" w:color="74AA50"/>
        </w:rPr>
        <w:t>more</w:t>
      </w:r>
      <w:r>
        <w:rPr>
          <w:b/>
          <w:i/>
          <w:color w:val="74AA50"/>
          <w:spacing w:val="-10"/>
          <w:sz w:val="11"/>
        </w:rPr>
        <w:t> </w:t>
      </w:r>
      <w:r>
        <w:rPr>
          <w:b/>
          <w:i/>
          <w:color w:val="74AA50"/>
          <w:sz w:val="11"/>
        </w:rPr>
        <w:t>likely</w:t>
      </w:r>
      <w:r>
        <w:rPr>
          <w:b/>
          <w:i/>
          <w:color w:val="74AA50"/>
          <w:spacing w:val="6"/>
          <w:sz w:val="11"/>
        </w:rPr>
        <w:t> </w:t>
      </w:r>
      <w:r>
        <w:rPr>
          <w:b/>
          <w:i/>
          <w:color w:val="74AA50"/>
          <w:sz w:val="11"/>
        </w:rPr>
        <w:t>to</w:t>
      </w:r>
      <w:r>
        <w:rPr>
          <w:b/>
          <w:i/>
          <w:color w:val="74AA50"/>
          <w:spacing w:val="-9"/>
          <w:sz w:val="11"/>
        </w:rPr>
        <w:t> </w:t>
      </w:r>
      <w:r>
        <w:rPr>
          <w:b/>
          <w:i/>
          <w:color w:val="74AA50"/>
          <w:spacing w:val="-2"/>
          <w:sz w:val="11"/>
        </w:rPr>
        <w:t>accept</w:t>
      </w:r>
    </w:p>
    <w:p>
      <w:pPr>
        <w:pStyle w:val="BodyText"/>
        <w:spacing w:before="7"/>
        <w:rPr>
          <w:b/>
          <w:i/>
          <w:sz w:val="21"/>
        </w:rPr>
      </w:pPr>
    </w:p>
    <w:p>
      <w:pPr>
        <w:spacing w:line="228" w:lineRule="auto" w:before="108"/>
        <w:ind w:left="1881" w:right="6429" w:hanging="226"/>
        <w:jc w:val="left"/>
        <w:rPr>
          <w:sz w:val="11"/>
        </w:rPr>
      </w:pPr>
      <w:r>
        <w:rPr/>
        <w:pict>
          <v:group style="position:absolute;margin-left:286.904053pt;margin-top:-10.886365pt;width:165.85pt;height:106.15pt;mso-position-horizontal-relative:page;mso-position-vertical-relative:paragraph;z-index:15735296" id="docshapegroup7" coordorigin="5738,-218" coordsize="3317,2123">
            <v:rect style="position:absolute;left:5738;top:1376;width:1595;height:353" id="docshape8" filled="true" fillcolor="#ff575d" stroked="false">
              <v:fill type="solid"/>
            </v:rect>
            <v:shape style="position:absolute;left:7332;top:-42;width:1723;height:1066" id="docshape9" coordorigin="7333,-41" coordsize="1723,1066" path="m8461,664l7333,664,7333,1024,8461,1024,8461,664xm9055,-41l7333,-41,7333,311,9055,311,9055,-41xe" filled="true" fillcolor="#74aa50" stroked="false">
              <v:path arrowok="t"/>
              <v:fill type="solid"/>
            </v:shape>
            <v:line style="position:absolute" from="7336,-218" to="7336,1905" stroked="true" strokeweight=".376431pt" strokecolor="#ddddde">
              <v:stroke dashstyle="solid"/>
            </v:line>
            <w10:wrap type="none"/>
          </v:group>
        </w:pict>
      </w:r>
      <w:r>
        <w:rPr>
          <w:sz w:val="11"/>
        </w:rPr>
        <w:t>Does</w:t>
      </w:r>
      <w:r>
        <w:rPr>
          <w:spacing w:val="-5"/>
          <w:sz w:val="11"/>
        </w:rPr>
        <w:t> </w:t>
      </w:r>
      <w:r>
        <w:rPr>
          <w:sz w:val="11"/>
        </w:rPr>
        <w:t>not</w:t>
      </w:r>
      <w:r>
        <w:rPr>
          <w:spacing w:val="-5"/>
          <w:sz w:val="11"/>
        </w:rPr>
        <w:t> </w:t>
      </w:r>
      <w:r>
        <w:rPr>
          <w:sz w:val="11"/>
        </w:rPr>
        <w:t>say</w:t>
      </w:r>
      <w:r>
        <w:rPr>
          <w:spacing w:val="-5"/>
          <w:sz w:val="11"/>
        </w:rPr>
        <w:t> </w:t>
      </w:r>
      <w:r>
        <w:rPr>
          <w:sz w:val="11"/>
        </w:rPr>
        <w:t>they had to accept</w:t>
      </w:r>
      <w:r>
        <w:rPr>
          <w:spacing w:val="-5"/>
          <w:sz w:val="11"/>
        </w:rPr>
        <w:t> </w:t>
      </w:r>
      <w:r>
        <w:rPr>
          <w:sz w:val="11"/>
        </w:rPr>
        <w:t>the offer</w:t>
      </w:r>
      <w:r>
        <w:rPr>
          <w:spacing w:val="-9"/>
          <w:sz w:val="11"/>
        </w:rPr>
        <w:t> </w:t>
      </w:r>
      <w:r>
        <w:rPr>
          <w:sz w:val="11"/>
        </w:rPr>
        <w:t>of EC</w:t>
      </w:r>
      <w:r>
        <w:rPr>
          <w:spacing w:val="-1"/>
          <w:sz w:val="11"/>
        </w:rPr>
        <w:t> </w:t>
      </w:r>
      <w:r>
        <w:rPr>
          <w:sz w:val="11"/>
        </w:rPr>
        <w:t>solely</w:t>
      </w:r>
      <w:r>
        <w:rPr>
          <w:spacing w:val="40"/>
          <w:sz w:val="11"/>
        </w:rPr>
        <w:t> </w:t>
      </w:r>
      <w:r>
        <w:rPr>
          <w:sz w:val="11"/>
        </w:rPr>
        <w:t>to take</w:t>
      </w:r>
      <w:r>
        <w:rPr>
          <w:spacing w:val="-7"/>
          <w:sz w:val="11"/>
        </w:rPr>
        <w:t> </w:t>
      </w:r>
      <w:r>
        <w:rPr>
          <w:sz w:val="11"/>
        </w:rPr>
        <w:t>their</w:t>
      </w:r>
      <w:r>
        <w:rPr>
          <w:spacing w:val="5"/>
          <w:sz w:val="11"/>
        </w:rPr>
        <w:t> </w:t>
      </w:r>
      <w:r>
        <w:rPr>
          <w:sz w:val="11"/>
        </w:rPr>
        <w:t>employer</w:t>
      </w:r>
      <w:r>
        <w:rPr>
          <w:spacing w:val="-10"/>
          <w:sz w:val="11"/>
        </w:rPr>
        <w:t> </w:t>
      </w:r>
      <w:r>
        <w:rPr>
          <w:sz w:val="11"/>
        </w:rPr>
        <w:t>to</w:t>
      </w:r>
      <w:r>
        <w:rPr>
          <w:spacing w:val="1"/>
          <w:sz w:val="11"/>
        </w:rPr>
        <w:t> </w:t>
      </w:r>
      <w:r>
        <w:rPr>
          <w:sz w:val="11"/>
        </w:rPr>
        <w:t>an</w:t>
      </w:r>
      <w:r>
        <w:rPr>
          <w:spacing w:val="-3"/>
          <w:sz w:val="11"/>
        </w:rPr>
        <w:t> </w:t>
      </w:r>
      <w:r>
        <w:rPr>
          <w:sz w:val="11"/>
        </w:rPr>
        <w:t>Employment</w:t>
      </w:r>
      <w:r>
        <w:rPr>
          <w:spacing w:val="-6"/>
          <w:sz w:val="11"/>
        </w:rPr>
        <w:t> </w:t>
      </w:r>
      <w:r>
        <w:rPr>
          <w:spacing w:val="-2"/>
          <w:sz w:val="11"/>
        </w:rPr>
        <w:t>Tribunal</w:t>
      </w:r>
    </w:p>
    <w:p>
      <w:pPr>
        <w:pStyle w:val="BodyText"/>
        <w:spacing w:before="6"/>
        <w:rPr>
          <w:sz w:val="16"/>
        </w:rPr>
      </w:pPr>
    </w:p>
    <w:p>
      <w:pPr>
        <w:spacing w:line="228" w:lineRule="auto" w:before="108"/>
        <w:ind w:left="1852" w:right="6363" w:hanging="173"/>
        <w:jc w:val="right"/>
        <w:rPr>
          <w:sz w:val="11"/>
        </w:rPr>
      </w:pPr>
      <w:r>
        <w:rPr>
          <w:sz w:val="11"/>
        </w:rPr>
        <w:t>Agrees that</w:t>
      </w:r>
      <w:r>
        <w:rPr>
          <w:spacing w:val="-1"/>
          <w:sz w:val="11"/>
        </w:rPr>
        <w:t> </w:t>
      </w:r>
      <w:r>
        <w:rPr>
          <w:sz w:val="11"/>
        </w:rPr>
        <w:t>the</w:t>
      </w:r>
      <w:r>
        <w:rPr>
          <w:spacing w:val="-1"/>
          <w:sz w:val="11"/>
        </w:rPr>
        <w:t> </w:t>
      </w:r>
      <w:r>
        <w:rPr>
          <w:sz w:val="11"/>
        </w:rPr>
        <w:t>information</w:t>
      </w:r>
      <w:r>
        <w:rPr>
          <w:spacing w:val="-5"/>
          <w:sz w:val="11"/>
        </w:rPr>
        <w:t> </w:t>
      </w:r>
      <w:r>
        <w:rPr>
          <w:sz w:val="11"/>
        </w:rPr>
        <w:t>provided</w:t>
      </w:r>
      <w:r>
        <w:rPr>
          <w:spacing w:val="-4"/>
          <w:sz w:val="11"/>
        </w:rPr>
        <w:t> </w:t>
      </w:r>
      <w:r>
        <w:rPr>
          <w:sz w:val="11"/>
        </w:rPr>
        <w:t>by</w:t>
      </w:r>
      <w:r>
        <w:rPr>
          <w:spacing w:val="-1"/>
          <w:sz w:val="11"/>
        </w:rPr>
        <w:t> </w:t>
      </w:r>
      <w:r>
        <w:rPr>
          <w:sz w:val="11"/>
        </w:rPr>
        <w:t>Acas</w:t>
      </w:r>
      <w:r>
        <w:rPr>
          <w:spacing w:val="-8"/>
          <w:sz w:val="11"/>
        </w:rPr>
        <w:t> </w:t>
      </w:r>
      <w:r>
        <w:rPr>
          <w:sz w:val="11"/>
        </w:rPr>
        <w:t>at</w:t>
      </w:r>
      <w:r>
        <w:rPr>
          <w:spacing w:val="-1"/>
          <w:sz w:val="11"/>
        </w:rPr>
        <w:t> </w:t>
      </w:r>
      <w:r>
        <w:rPr>
          <w:sz w:val="11"/>
        </w:rPr>
        <w:t>the</w:t>
      </w:r>
      <w:r>
        <w:rPr>
          <w:spacing w:val="-1"/>
          <w:sz w:val="11"/>
        </w:rPr>
        <w:t> </w:t>
      </w:r>
      <w:r>
        <w:rPr>
          <w:sz w:val="11"/>
        </w:rPr>
        <w:t>EC</w:t>
      </w:r>
      <w:r>
        <w:rPr>
          <w:spacing w:val="40"/>
          <w:sz w:val="11"/>
        </w:rPr>
        <w:t> </w:t>
      </w:r>
      <w:r>
        <w:rPr>
          <w:sz w:val="11"/>
        </w:rPr>
        <w:t>Form</w:t>
      </w:r>
      <w:r>
        <w:rPr>
          <w:spacing w:val="-14"/>
          <w:sz w:val="11"/>
        </w:rPr>
        <w:t> </w:t>
      </w:r>
      <w:r>
        <w:rPr>
          <w:sz w:val="11"/>
        </w:rPr>
        <w:t>submission</w:t>
      </w:r>
      <w:r>
        <w:rPr>
          <w:spacing w:val="-10"/>
          <w:sz w:val="11"/>
        </w:rPr>
        <w:t> </w:t>
      </w:r>
      <w:r>
        <w:rPr>
          <w:sz w:val="11"/>
        </w:rPr>
        <w:t>stage</w:t>
      </w:r>
      <w:r>
        <w:rPr>
          <w:spacing w:val="-9"/>
          <w:sz w:val="11"/>
        </w:rPr>
        <w:t> </w:t>
      </w:r>
      <w:r>
        <w:rPr>
          <w:sz w:val="11"/>
        </w:rPr>
        <w:t>was</w:t>
      </w:r>
      <w:r>
        <w:rPr>
          <w:spacing w:val="-15"/>
          <w:sz w:val="11"/>
        </w:rPr>
        <w:t> </w:t>
      </w:r>
      <w:r>
        <w:rPr>
          <w:sz w:val="11"/>
        </w:rPr>
        <w:t>helpful</w:t>
      </w:r>
      <w:r>
        <w:rPr>
          <w:spacing w:val="7"/>
          <w:sz w:val="11"/>
        </w:rPr>
        <w:t> </w:t>
      </w:r>
      <w:r>
        <w:rPr>
          <w:sz w:val="11"/>
        </w:rPr>
        <w:t>in</w:t>
      </w:r>
      <w:r>
        <w:rPr>
          <w:spacing w:val="5"/>
          <w:sz w:val="11"/>
        </w:rPr>
        <w:t> </w:t>
      </w:r>
      <w:r>
        <w:rPr>
          <w:sz w:val="11"/>
        </w:rPr>
        <w:t>explaining</w:t>
      </w:r>
      <w:r>
        <w:rPr>
          <w:spacing w:val="11"/>
          <w:sz w:val="11"/>
        </w:rPr>
        <w:t> </w:t>
      </w:r>
      <w:r>
        <w:rPr>
          <w:spacing w:val="-5"/>
          <w:sz w:val="11"/>
        </w:rPr>
        <w:t>the</w:t>
      </w:r>
    </w:p>
    <w:p>
      <w:pPr>
        <w:spacing w:before="3"/>
        <w:ind w:left="0" w:right="6361" w:firstLine="0"/>
        <w:jc w:val="right"/>
        <w:rPr>
          <w:sz w:val="11"/>
        </w:rPr>
      </w:pPr>
      <w:r>
        <w:rPr>
          <w:spacing w:val="-2"/>
          <w:sz w:val="11"/>
        </w:rPr>
        <w:t>process</w:t>
      </w:r>
    </w:p>
    <w:p>
      <w:pPr>
        <w:pStyle w:val="BodyText"/>
        <w:spacing w:before="8"/>
        <w:rPr>
          <w:sz w:val="19"/>
        </w:rPr>
      </w:pPr>
    </w:p>
    <w:p>
      <w:pPr>
        <w:spacing w:line="131" w:lineRule="exact" w:before="103"/>
        <w:ind w:left="0" w:right="6358" w:firstLine="0"/>
        <w:jc w:val="right"/>
        <w:rPr>
          <w:sz w:val="11"/>
        </w:rPr>
      </w:pPr>
      <w:r>
        <w:rPr>
          <w:sz w:val="11"/>
        </w:rPr>
        <w:t>Still</w:t>
      </w:r>
      <w:r>
        <w:rPr>
          <w:spacing w:val="15"/>
          <w:sz w:val="11"/>
        </w:rPr>
        <w:t> </w:t>
      </w:r>
      <w:r>
        <w:rPr>
          <w:sz w:val="11"/>
        </w:rPr>
        <w:t>works</w:t>
      </w:r>
      <w:r>
        <w:rPr>
          <w:spacing w:val="-14"/>
          <w:sz w:val="11"/>
        </w:rPr>
        <w:t> </w:t>
      </w:r>
      <w:r>
        <w:rPr>
          <w:sz w:val="11"/>
        </w:rPr>
        <w:t>with</w:t>
      </w:r>
      <w:r>
        <w:rPr>
          <w:spacing w:val="-4"/>
          <w:sz w:val="11"/>
        </w:rPr>
        <w:t> </w:t>
      </w:r>
      <w:r>
        <w:rPr>
          <w:sz w:val="11"/>
        </w:rPr>
        <w:t>the employer</w:t>
      </w:r>
      <w:r>
        <w:rPr>
          <w:spacing w:val="-10"/>
          <w:sz w:val="11"/>
        </w:rPr>
        <w:t> </w:t>
      </w:r>
      <w:r>
        <w:rPr>
          <w:sz w:val="11"/>
        </w:rPr>
        <w:t>against</w:t>
      </w:r>
      <w:r>
        <w:rPr>
          <w:spacing w:val="8"/>
          <w:sz w:val="11"/>
        </w:rPr>
        <w:t> </w:t>
      </w:r>
      <w:r>
        <w:rPr>
          <w:sz w:val="11"/>
        </w:rPr>
        <w:t>whom</w:t>
      </w:r>
      <w:r>
        <w:rPr>
          <w:spacing w:val="-13"/>
          <w:sz w:val="11"/>
        </w:rPr>
        <w:t> </w:t>
      </w:r>
      <w:r>
        <w:rPr>
          <w:spacing w:val="-4"/>
          <w:sz w:val="11"/>
        </w:rPr>
        <w:t>they</w:t>
      </w:r>
    </w:p>
    <w:p>
      <w:pPr>
        <w:spacing w:line="131" w:lineRule="exact" w:before="0"/>
        <w:ind w:left="0" w:right="6353" w:firstLine="0"/>
        <w:jc w:val="right"/>
        <w:rPr>
          <w:sz w:val="11"/>
        </w:rPr>
      </w:pPr>
      <w:r>
        <w:rPr>
          <w:sz w:val="11"/>
        </w:rPr>
        <w:t>made</w:t>
      </w:r>
      <w:r>
        <w:rPr>
          <w:spacing w:val="-8"/>
          <w:sz w:val="11"/>
        </w:rPr>
        <w:t> </w:t>
      </w:r>
      <w:r>
        <w:rPr>
          <w:sz w:val="11"/>
        </w:rPr>
        <w:t>the EC</w:t>
      </w:r>
      <w:r>
        <w:rPr>
          <w:spacing w:val="3"/>
          <w:sz w:val="11"/>
        </w:rPr>
        <w:t> </w:t>
      </w:r>
      <w:r>
        <w:rPr>
          <w:spacing w:val="-2"/>
          <w:sz w:val="11"/>
        </w:rPr>
        <w:t>notification</w:t>
      </w:r>
    </w:p>
    <w:p>
      <w:pPr>
        <w:pStyle w:val="BodyText"/>
        <w:spacing w:before="10"/>
        <w:rPr>
          <w:sz w:val="19"/>
        </w:rPr>
      </w:pPr>
    </w:p>
    <w:p>
      <w:pPr>
        <w:spacing w:before="102"/>
        <w:ind w:left="837" w:right="183" w:firstLine="0"/>
        <w:jc w:val="center"/>
        <w:rPr>
          <w:b/>
          <w:i/>
          <w:sz w:val="11"/>
        </w:rPr>
      </w:pPr>
      <w:r>
        <w:rPr>
          <w:b/>
          <w:i/>
          <w:color w:val="FF575D"/>
          <w:sz w:val="11"/>
        </w:rPr>
        <w:t>Claimant</w:t>
      </w:r>
      <w:r>
        <w:rPr>
          <w:b/>
          <w:i/>
          <w:color w:val="FF575D"/>
          <w:spacing w:val="-3"/>
          <w:sz w:val="11"/>
        </w:rPr>
        <w:t> </w:t>
      </w:r>
      <w:r>
        <w:rPr>
          <w:b/>
          <w:i/>
          <w:color w:val="FF575D"/>
          <w:sz w:val="11"/>
        </w:rPr>
        <w:t>less</w:t>
      </w:r>
      <w:r>
        <w:rPr>
          <w:b/>
          <w:i/>
          <w:color w:val="FF575D"/>
          <w:spacing w:val="-7"/>
          <w:sz w:val="11"/>
        </w:rPr>
        <w:t> </w:t>
      </w:r>
      <w:r>
        <w:rPr>
          <w:b/>
          <w:i/>
          <w:color w:val="FF575D"/>
          <w:sz w:val="11"/>
        </w:rPr>
        <w:t>likely</w:t>
      </w:r>
      <w:r>
        <w:rPr>
          <w:b/>
          <w:i/>
          <w:color w:val="FF575D"/>
          <w:spacing w:val="5"/>
          <w:sz w:val="11"/>
        </w:rPr>
        <w:t> </w:t>
      </w:r>
      <w:r>
        <w:rPr>
          <w:b/>
          <w:i/>
          <w:color w:val="FF575D"/>
          <w:sz w:val="11"/>
        </w:rPr>
        <w:t>to</w:t>
      </w:r>
      <w:r>
        <w:rPr>
          <w:b/>
          <w:i/>
          <w:color w:val="FF575D"/>
          <w:spacing w:val="-10"/>
          <w:sz w:val="11"/>
        </w:rPr>
        <w:t> </w:t>
      </w:r>
      <w:r>
        <w:rPr>
          <w:b/>
          <w:i/>
          <w:color w:val="FF575D"/>
          <w:spacing w:val="-2"/>
          <w:sz w:val="11"/>
        </w:rPr>
        <w:t>accept</w:t>
      </w:r>
    </w:p>
    <w:p>
      <w:pPr>
        <w:pStyle w:val="BodyText"/>
        <w:spacing w:line="20" w:lineRule="exact"/>
        <w:ind w:left="5571"/>
        <w:rPr>
          <w:sz w:val="2"/>
        </w:rPr>
      </w:pPr>
      <w:r>
        <w:rPr>
          <w:sz w:val="2"/>
        </w:rPr>
        <w:pict>
          <v:group style="width:12.05pt;height:.75pt;mso-position-horizontal-relative:char;mso-position-vertical-relative:line" id="docshapegroup10" coordorigin="0,0" coordsize="241,15">
            <v:shape style="position:absolute;left:-1;top:0;width:241;height:15" id="docshape11" coordorigin="0,0" coordsize="241,15" path="m241,0l30,0,0,0,0,15,30,15,241,15,241,0xe" filled="true" fillcolor="#ff575d" stroked="false">
              <v:path arrowok="t"/>
              <v:fill type="solid"/>
            </v:shape>
          </v:group>
        </w:pict>
      </w:r>
      <w:r>
        <w:rPr>
          <w:sz w:val="2"/>
        </w:rPr>
      </w:r>
    </w:p>
    <w:p>
      <w:pPr>
        <w:pStyle w:val="BodyText"/>
        <w:spacing w:before="11"/>
        <w:rPr>
          <w:b/>
          <w:i/>
          <w:sz w:val="15"/>
        </w:rPr>
      </w:pPr>
    </w:p>
    <w:p>
      <w:pPr>
        <w:pStyle w:val="Heading4"/>
        <w:numPr>
          <w:ilvl w:val="2"/>
          <w:numId w:val="14"/>
        </w:numPr>
        <w:tabs>
          <w:tab w:pos="2058" w:val="left" w:leader="none"/>
        </w:tabs>
        <w:spacing w:line="240" w:lineRule="auto" w:before="100" w:after="0"/>
        <w:ind w:left="2057" w:right="0" w:hanging="721"/>
        <w:jc w:val="both"/>
        <w:rPr>
          <w:i/>
        </w:rPr>
      </w:pPr>
      <w:bookmarkStart w:name="8.3.3 Timeline for claimants deciding no" w:id="61"/>
      <w:bookmarkEnd w:id="61"/>
      <w:r>
        <w:rPr>
          <w:i/>
        </w:rPr>
        <w:t>T</w:t>
      </w:r>
      <w:r>
        <w:rPr>
          <w:i/>
        </w:rPr>
        <w:t>imeline</w:t>
      </w:r>
      <w:r>
        <w:rPr>
          <w:i/>
          <w:spacing w:val="-7"/>
        </w:rPr>
        <w:t> </w:t>
      </w:r>
      <w:r>
        <w:rPr>
          <w:i/>
        </w:rPr>
        <w:t>for</w:t>
      </w:r>
      <w:r>
        <w:rPr>
          <w:i/>
          <w:spacing w:val="-3"/>
        </w:rPr>
        <w:t> </w:t>
      </w:r>
      <w:r>
        <w:rPr>
          <w:i/>
        </w:rPr>
        <w:t>claimants</w:t>
      </w:r>
      <w:r>
        <w:rPr>
          <w:i/>
          <w:spacing w:val="-4"/>
        </w:rPr>
        <w:t> </w:t>
      </w:r>
      <w:r>
        <w:rPr>
          <w:i/>
        </w:rPr>
        <w:t>deciding</w:t>
      </w:r>
      <w:r>
        <w:rPr>
          <w:i/>
          <w:spacing w:val="-4"/>
        </w:rPr>
        <w:t> </w:t>
      </w:r>
      <w:r>
        <w:rPr>
          <w:i/>
        </w:rPr>
        <w:t>not</w:t>
      </w:r>
      <w:r>
        <w:rPr>
          <w:i/>
          <w:spacing w:val="-4"/>
        </w:rPr>
        <w:t> </w:t>
      </w:r>
      <w:r>
        <w:rPr>
          <w:i/>
        </w:rPr>
        <w:t>to</w:t>
      </w:r>
      <w:r>
        <w:rPr>
          <w:i/>
          <w:spacing w:val="-4"/>
        </w:rPr>
        <w:t> </w:t>
      </w:r>
      <w:r>
        <w:rPr>
          <w:i/>
        </w:rPr>
        <w:t>take</w:t>
      </w:r>
      <w:r>
        <w:rPr>
          <w:i/>
          <w:spacing w:val="-3"/>
        </w:rPr>
        <w:t> </w:t>
      </w:r>
      <w:r>
        <w:rPr>
          <w:i/>
        </w:rPr>
        <w:t>part</w:t>
      </w:r>
      <w:r>
        <w:rPr>
          <w:i/>
          <w:spacing w:val="-4"/>
        </w:rPr>
        <w:t> </w:t>
      </w:r>
      <w:r>
        <w:rPr>
          <w:i/>
        </w:rPr>
        <w:t>in</w:t>
      </w:r>
      <w:r>
        <w:rPr>
          <w:i/>
          <w:spacing w:val="-3"/>
        </w:rPr>
        <w:t> </w:t>
      </w:r>
      <w:r>
        <w:rPr>
          <w:i/>
          <w:spacing w:val="-5"/>
        </w:rPr>
        <w:t>EC</w:t>
      </w:r>
    </w:p>
    <w:p>
      <w:pPr>
        <w:pStyle w:val="BodyText"/>
        <w:spacing w:before="60"/>
        <w:ind w:left="1336" w:right="1475"/>
        <w:jc w:val="both"/>
      </w:pPr>
      <w:r>
        <w:rPr/>
        <w:t>For</w:t>
      </w:r>
      <w:r>
        <w:rPr>
          <w:spacing w:val="-4"/>
        </w:rPr>
        <w:t> </w:t>
      </w:r>
      <w:r>
        <w:rPr/>
        <w:t>claimant-side</w:t>
      </w:r>
      <w:r>
        <w:rPr>
          <w:spacing w:val="-4"/>
        </w:rPr>
        <w:t> </w:t>
      </w:r>
      <w:r>
        <w:rPr/>
        <w:t>participants</w:t>
      </w:r>
      <w:r>
        <w:rPr>
          <w:spacing w:val="-4"/>
        </w:rPr>
        <w:t> </w:t>
      </w:r>
      <w:r>
        <w:rPr/>
        <w:t>who</w:t>
      </w:r>
      <w:r>
        <w:rPr>
          <w:spacing w:val="-6"/>
        </w:rPr>
        <w:t> </w:t>
      </w:r>
      <w:r>
        <w:rPr/>
        <w:t>chose</w:t>
      </w:r>
      <w:r>
        <w:rPr>
          <w:spacing w:val="-5"/>
        </w:rPr>
        <w:t> </w:t>
      </w:r>
      <w:r>
        <w:rPr/>
        <w:t>not</w:t>
      </w:r>
      <w:r>
        <w:rPr>
          <w:spacing w:val="-4"/>
        </w:rPr>
        <w:t> </w:t>
      </w:r>
      <w:r>
        <w:rPr/>
        <w:t>to</w:t>
      </w:r>
      <w:r>
        <w:rPr>
          <w:spacing w:val="-4"/>
        </w:rPr>
        <w:t> </w:t>
      </w:r>
      <w:r>
        <w:rPr/>
        <w:t>take</w:t>
      </w:r>
      <w:r>
        <w:rPr>
          <w:spacing w:val="-5"/>
        </w:rPr>
        <w:t> </w:t>
      </w:r>
      <w:r>
        <w:rPr/>
        <w:t>part</w:t>
      </w:r>
      <w:r>
        <w:rPr>
          <w:spacing w:val="-4"/>
        </w:rPr>
        <w:t> </w:t>
      </w:r>
      <w:r>
        <w:rPr/>
        <w:t>in</w:t>
      </w:r>
      <w:r>
        <w:rPr>
          <w:spacing w:val="-4"/>
        </w:rPr>
        <w:t> </w:t>
      </w:r>
      <w:r>
        <w:rPr/>
        <w:t>EC</w:t>
      </w:r>
      <w:r>
        <w:rPr>
          <w:spacing w:val="-3"/>
        </w:rPr>
        <w:t> </w:t>
      </w:r>
      <w:r>
        <w:rPr/>
        <w:t>–</w:t>
      </w:r>
      <w:r>
        <w:rPr>
          <w:spacing w:val="-5"/>
        </w:rPr>
        <w:t> </w:t>
      </w:r>
      <w:r>
        <w:rPr/>
        <w:t>17</w:t>
      </w:r>
      <w:r>
        <w:rPr>
          <w:spacing w:val="-5"/>
        </w:rPr>
        <w:t> </w:t>
      </w:r>
      <w:r>
        <w:rPr/>
        <w:t>per</w:t>
      </w:r>
      <w:r>
        <w:rPr>
          <w:spacing w:val="-4"/>
        </w:rPr>
        <w:t> </w:t>
      </w:r>
      <w:r>
        <w:rPr/>
        <w:t>cent</w:t>
      </w:r>
      <w:r>
        <w:rPr>
          <w:spacing w:val="-4"/>
        </w:rPr>
        <w:t> </w:t>
      </w:r>
      <w:r>
        <w:rPr/>
        <w:t>of</w:t>
      </w:r>
      <w:r>
        <w:rPr>
          <w:spacing w:val="-4"/>
        </w:rPr>
        <w:t> </w:t>
      </w:r>
      <w:r>
        <w:rPr/>
        <w:t>all claimant-side participants – there were three stages in the process at which this could occur:</w:t>
      </w:r>
    </w:p>
    <w:p>
      <w:pPr>
        <w:pStyle w:val="BodyText"/>
      </w:pPr>
    </w:p>
    <w:p>
      <w:pPr>
        <w:pStyle w:val="ListParagraph"/>
        <w:numPr>
          <w:ilvl w:val="0"/>
          <w:numId w:val="15"/>
        </w:numPr>
        <w:tabs>
          <w:tab w:pos="1697" w:val="left" w:leader="none"/>
        </w:tabs>
        <w:spacing w:line="240" w:lineRule="auto" w:before="0" w:after="0"/>
        <w:ind w:left="1696" w:right="1473" w:hanging="361"/>
        <w:jc w:val="both"/>
        <w:rPr>
          <w:sz w:val="20"/>
        </w:rPr>
      </w:pPr>
      <w:r>
        <w:rPr>
          <w:sz w:val="20"/>
        </w:rPr>
        <w:t>Three quarters (76 per cent) of those who decided not to take part said they made this decision known during their initial conversation with the ECSO. In 2015,</w:t>
      </w:r>
      <w:r>
        <w:rPr>
          <w:spacing w:val="-3"/>
          <w:sz w:val="20"/>
        </w:rPr>
        <w:t> </w:t>
      </w:r>
      <w:r>
        <w:rPr>
          <w:sz w:val="20"/>
        </w:rPr>
        <w:t>52</w:t>
      </w:r>
      <w:r>
        <w:rPr>
          <w:spacing w:val="-5"/>
          <w:sz w:val="20"/>
        </w:rPr>
        <w:t> </w:t>
      </w:r>
      <w:r>
        <w:rPr>
          <w:sz w:val="20"/>
        </w:rPr>
        <w:t>per</w:t>
      </w:r>
      <w:r>
        <w:rPr>
          <w:spacing w:val="-4"/>
          <w:sz w:val="20"/>
        </w:rPr>
        <w:t> </w:t>
      </w:r>
      <w:r>
        <w:rPr>
          <w:sz w:val="20"/>
        </w:rPr>
        <w:t>cent</w:t>
      </w:r>
      <w:r>
        <w:rPr>
          <w:spacing w:val="-4"/>
          <w:sz w:val="20"/>
        </w:rPr>
        <w:t> </w:t>
      </w:r>
      <w:r>
        <w:rPr>
          <w:sz w:val="20"/>
        </w:rPr>
        <w:t>of</w:t>
      </w:r>
      <w:r>
        <w:rPr>
          <w:spacing w:val="-4"/>
          <w:sz w:val="20"/>
        </w:rPr>
        <w:t> </w:t>
      </w:r>
      <w:r>
        <w:rPr>
          <w:sz w:val="20"/>
        </w:rPr>
        <w:t>claimants</w:t>
      </w:r>
      <w:r>
        <w:rPr>
          <w:spacing w:val="-3"/>
          <w:sz w:val="20"/>
        </w:rPr>
        <w:t> </w:t>
      </w:r>
      <w:r>
        <w:rPr>
          <w:sz w:val="20"/>
        </w:rPr>
        <w:t>who</w:t>
      </w:r>
      <w:r>
        <w:rPr>
          <w:spacing w:val="-6"/>
          <w:sz w:val="20"/>
        </w:rPr>
        <w:t> </w:t>
      </w:r>
      <w:r>
        <w:rPr>
          <w:sz w:val="20"/>
        </w:rPr>
        <w:t>decided</w:t>
      </w:r>
      <w:r>
        <w:rPr>
          <w:spacing w:val="-3"/>
          <w:sz w:val="20"/>
        </w:rPr>
        <w:t> </w:t>
      </w:r>
      <w:r>
        <w:rPr>
          <w:sz w:val="20"/>
        </w:rPr>
        <w:t>not</w:t>
      </w:r>
      <w:r>
        <w:rPr>
          <w:spacing w:val="-4"/>
          <w:sz w:val="20"/>
        </w:rPr>
        <w:t> </w:t>
      </w:r>
      <w:r>
        <w:rPr>
          <w:sz w:val="20"/>
        </w:rPr>
        <w:t>to</w:t>
      </w:r>
      <w:r>
        <w:rPr>
          <w:spacing w:val="-5"/>
          <w:sz w:val="20"/>
        </w:rPr>
        <w:t> </w:t>
      </w:r>
      <w:r>
        <w:rPr>
          <w:sz w:val="20"/>
        </w:rPr>
        <w:t>take</w:t>
      </w:r>
      <w:r>
        <w:rPr>
          <w:spacing w:val="-5"/>
          <w:sz w:val="20"/>
        </w:rPr>
        <w:t> </w:t>
      </w:r>
      <w:r>
        <w:rPr>
          <w:sz w:val="20"/>
        </w:rPr>
        <w:t>part</w:t>
      </w:r>
      <w:r>
        <w:rPr>
          <w:spacing w:val="-3"/>
          <w:sz w:val="20"/>
        </w:rPr>
        <w:t> </w:t>
      </w:r>
      <w:r>
        <w:rPr>
          <w:sz w:val="20"/>
        </w:rPr>
        <w:t>in</w:t>
      </w:r>
      <w:r>
        <w:rPr>
          <w:spacing w:val="-4"/>
          <w:sz w:val="20"/>
        </w:rPr>
        <w:t> </w:t>
      </w:r>
      <w:r>
        <w:rPr>
          <w:sz w:val="20"/>
        </w:rPr>
        <w:t>EC</w:t>
      </w:r>
      <w:r>
        <w:rPr>
          <w:spacing w:val="-4"/>
          <w:sz w:val="20"/>
        </w:rPr>
        <w:t> </w:t>
      </w:r>
      <w:r>
        <w:rPr>
          <w:sz w:val="20"/>
        </w:rPr>
        <w:t>decided</w:t>
      </w:r>
      <w:r>
        <w:rPr>
          <w:spacing w:val="-3"/>
          <w:sz w:val="20"/>
        </w:rPr>
        <w:t> </w:t>
      </w:r>
      <w:r>
        <w:rPr>
          <w:sz w:val="20"/>
        </w:rPr>
        <w:t>that at this stage.</w:t>
      </w:r>
    </w:p>
    <w:p>
      <w:pPr>
        <w:pStyle w:val="ListParagraph"/>
        <w:numPr>
          <w:ilvl w:val="0"/>
          <w:numId w:val="15"/>
        </w:numPr>
        <w:tabs>
          <w:tab w:pos="1698" w:val="left" w:leader="none"/>
        </w:tabs>
        <w:spacing w:line="240" w:lineRule="auto" w:before="1" w:after="0"/>
        <w:ind w:left="1697" w:right="1474" w:hanging="361"/>
        <w:jc w:val="both"/>
        <w:rPr>
          <w:sz w:val="20"/>
        </w:rPr>
      </w:pPr>
      <w:r>
        <w:rPr>
          <w:sz w:val="20"/>
        </w:rPr>
        <w:t>For seven per cent of those who did not want to take part, no further contact was established after speaking to an ECSO. In 2015, 25 per cent of claimants who decided not to take part in EC fell into this category.</w:t>
      </w:r>
    </w:p>
    <w:p>
      <w:pPr>
        <w:pStyle w:val="ListParagraph"/>
        <w:numPr>
          <w:ilvl w:val="0"/>
          <w:numId w:val="15"/>
        </w:numPr>
        <w:tabs>
          <w:tab w:pos="1698" w:val="left" w:leader="none"/>
        </w:tabs>
        <w:spacing w:line="240" w:lineRule="auto" w:before="0" w:after="0"/>
        <w:ind w:left="1696" w:right="1475" w:hanging="360"/>
        <w:jc w:val="both"/>
        <w:rPr>
          <w:sz w:val="20"/>
        </w:rPr>
      </w:pPr>
      <w:r>
        <w:rPr>
          <w:sz w:val="20"/>
        </w:rPr>
        <w:t>One in six (16 per cent) of those who did want to take part made this known when</w:t>
      </w:r>
      <w:r>
        <w:rPr>
          <w:spacing w:val="-5"/>
          <w:sz w:val="20"/>
        </w:rPr>
        <w:t> </w:t>
      </w:r>
      <w:r>
        <w:rPr>
          <w:sz w:val="20"/>
        </w:rPr>
        <w:t>they</w:t>
      </w:r>
      <w:r>
        <w:rPr>
          <w:spacing w:val="-5"/>
          <w:sz w:val="20"/>
        </w:rPr>
        <w:t> </w:t>
      </w:r>
      <w:r>
        <w:rPr>
          <w:sz w:val="20"/>
        </w:rPr>
        <w:t>were</w:t>
      </w:r>
      <w:r>
        <w:rPr>
          <w:spacing w:val="-4"/>
          <w:sz w:val="20"/>
        </w:rPr>
        <w:t> </w:t>
      </w:r>
      <w:r>
        <w:rPr>
          <w:sz w:val="20"/>
        </w:rPr>
        <w:t>subsequently</w:t>
      </w:r>
      <w:r>
        <w:rPr>
          <w:spacing w:val="-4"/>
          <w:sz w:val="20"/>
        </w:rPr>
        <w:t> </w:t>
      </w:r>
      <w:r>
        <w:rPr>
          <w:sz w:val="20"/>
        </w:rPr>
        <w:t>speaking</w:t>
      </w:r>
      <w:r>
        <w:rPr>
          <w:spacing w:val="-3"/>
          <w:sz w:val="20"/>
        </w:rPr>
        <w:t> </w:t>
      </w:r>
      <w:r>
        <w:rPr>
          <w:sz w:val="20"/>
        </w:rPr>
        <w:t>to</w:t>
      </w:r>
      <w:r>
        <w:rPr>
          <w:spacing w:val="-5"/>
          <w:sz w:val="20"/>
        </w:rPr>
        <w:t> </w:t>
      </w:r>
      <w:r>
        <w:rPr>
          <w:sz w:val="20"/>
        </w:rPr>
        <w:t>the</w:t>
      </w:r>
      <w:r>
        <w:rPr>
          <w:spacing w:val="-5"/>
          <w:sz w:val="20"/>
        </w:rPr>
        <w:t> </w:t>
      </w:r>
      <w:r>
        <w:rPr>
          <w:sz w:val="20"/>
        </w:rPr>
        <w:t>conciliator.</w:t>
      </w:r>
      <w:r>
        <w:rPr>
          <w:spacing w:val="-3"/>
          <w:sz w:val="20"/>
        </w:rPr>
        <w:t> </w:t>
      </w:r>
      <w:r>
        <w:rPr>
          <w:sz w:val="20"/>
        </w:rPr>
        <w:t>In</w:t>
      </w:r>
      <w:r>
        <w:rPr>
          <w:spacing w:val="-4"/>
          <w:sz w:val="20"/>
        </w:rPr>
        <w:t> </w:t>
      </w:r>
      <w:r>
        <w:rPr>
          <w:sz w:val="20"/>
        </w:rPr>
        <w:t>2015,</w:t>
      </w:r>
      <w:r>
        <w:rPr>
          <w:spacing w:val="-4"/>
          <w:sz w:val="20"/>
        </w:rPr>
        <w:t> </w:t>
      </w:r>
      <w:r>
        <w:rPr>
          <w:sz w:val="20"/>
        </w:rPr>
        <w:t>23</w:t>
      </w:r>
      <w:r>
        <w:rPr>
          <w:spacing w:val="-3"/>
          <w:sz w:val="20"/>
        </w:rPr>
        <w:t> </w:t>
      </w:r>
      <w:r>
        <w:rPr>
          <w:sz w:val="20"/>
        </w:rPr>
        <w:t>per</w:t>
      </w:r>
      <w:r>
        <w:rPr>
          <w:spacing w:val="-5"/>
          <w:sz w:val="20"/>
        </w:rPr>
        <w:t> </w:t>
      </w:r>
      <w:r>
        <w:rPr>
          <w:sz w:val="20"/>
        </w:rPr>
        <w:t>cent of claimants who decided not to take part in EC decided that at this stage.</w:t>
      </w:r>
    </w:p>
    <w:p>
      <w:pPr>
        <w:pStyle w:val="BodyText"/>
        <w:spacing w:before="12"/>
        <w:rPr>
          <w:sz w:val="19"/>
        </w:rPr>
      </w:pPr>
    </w:p>
    <w:p>
      <w:pPr>
        <w:pStyle w:val="BodyText"/>
        <w:ind w:left="1336" w:right="1474"/>
        <w:jc w:val="both"/>
      </w:pPr>
      <w:r>
        <w:rPr/>
        <w:t>Among those who decided not to take part in EC, claimants from all tracks were most likely to decide not to take part when initially speaking to the ECSO (87 per cent</w:t>
      </w:r>
      <w:r>
        <w:rPr>
          <w:spacing w:val="-8"/>
        </w:rPr>
        <w:t> </w:t>
      </w:r>
      <w:r>
        <w:rPr/>
        <w:t>of</w:t>
      </w:r>
      <w:r>
        <w:rPr>
          <w:spacing w:val="-8"/>
        </w:rPr>
        <w:t> </w:t>
      </w:r>
      <w:r>
        <w:rPr/>
        <w:t>those</w:t>
      </w:r>
      <w:r>
        <w:rPr>
          <w:spacing w:val="-7"/>
        </w:rPr>
        <w:t> </w:t>
      </w:r>
      <w:r>
        <w:rPr/>
        <w:t>involved</w:t>
      </w:r>
      <w:r>
        <w:rPr>
          <w:spacing w:val="-7"/>
        </w:rPr>
        <w:t> </w:t>
      </w:r>
      <w:r>
        <w:rPr/>
        <w:t>in</w:t>
      </w:r>
      <w:r>
        <w:rPr>
          <w:spacing w:val="-8"/>
        </w:rPr>
        <w:t> </w:t>
      </w:r>
      <w:r>
        <w:rPr/>
        <w:t>fast</w:t>
      </w:r>
      <w:r>
        <w:rPr>
          <w:spacing w:val="-8"/>
        </w:rPr>
        <w:t> </w:t>
      </w:r>
      <w:r>
        <w:rPr/>
        <w:t>track</w:t>
      </w:r>
      <w:r>
        <w:rPr>
          <w:spacing w:val="-9"/>
        </w:rPr>
        <w:t> </w:t>
      </w:r>
      <w:r>
        <w:rPr/>
        <w:t>disputes,</w:t>
      </w:r>
      <w:r>
        <w:rPr>
          <w:spacing w:val="-8"/>
        </w:rPr>
        <w:t> </w:t>
      </w:r>
      <w:r>
        <w:rPr/>
        <w:t>56</w:t>
      </w:r>
      <w:r>
        <w:rPr>
          <w:spacing w:val="-7"/>
        </w:rPr>
        <w:t> </w:t>
      </w:r>
      <w:r>
        <w:rPr/>
        <w:t>per</w:t>
      </w:r>
      <w:r>
        <w:rPr>
          <w:spacing w:val="-8"/>
        </w:rPr>
        <w:t> </w:t>
      </w:r>
      <w:r>
        <w:rPr/>
        <w:t>cent</w:t>
      </w:r>
      <w:r>
        <w:rPr>
          <w:spacing w:val="-8"/>
        </w:rPr>
        <w:t> </w:t>
      </w:r>
      <w:r>
        <w:rPr/>
        <w:t>involved</w:t>
      </w:r>
      <w:r>
        <w:rPr>
          <w:spacing w:val="-7"/>
        </w:rPr>
        <w:t> </w:t>
      </w:r>
      <w:r>
        <w:rPr/>
        <w:t>in</w:t>
      </w:r>
      <w:r>
        <w:rPr>
          <w:spacing w:val="-8"/>
        </w:rPr>
        <w:t> </w:t>
      </w:r>
      <w:r>
        <w:rPr/>
        <w:t>standard</w:t>
      </w:r>
      <w:r>
        <w:rPr>
          <w:spacing w:val="-8"/>
        </w:rPr>
        <w:t> </w:t>
      </w:r>
      <w:r>
        <w:rPr/>
        <w:t>track disputes</w:t>
      </w:r>
      <w:r>
        <w:rPr>
          <w:spacing w:val="-4"/>
        </w:rPr>
        <w:t> </w:t>
      </w:r>
      <w:r>
        <w:rPr/>
        <w:t>and</w:t>
      </w:r>
      <w:r>
        <w:rPr>
          <w:spacing w:val="-4"/>
        </w:rPr>
        <w:t> </w:t>
      </w:r>
      <w:r>
        <w:rPr/>
        <w:t>55</w:t>
      </w:r>
      <w:r>
        <w:rPr>
          <w:spacing w:val="-6"/>
        </w:rPr>
        <w:t> </w:t>
      </w:r>
      <w:r>
        <w:rPr/>
        <w:t>per</w:t>
      </w:r>
      <w:r>
        <w:rPr>
          <w:spacing w:val="-6"/>
        </w:rPr>
        <w:t> </w:t>
      </w:r>
      <w:r>
        <w:rPr/>
        <w:t>cent</w:t>
      </w:r>
      <w:r>
        <w:rPr>
          <w:spacing w:val="-5"/>
        </w:rPr>
        <w:t> </w:t>
      </w:r>
      <w:r>
        <w:rPr/>
        <w:t>involved</w:t>
      </w:r>
      <w:r>
        <w:rPr>
          <w:spacing w:val="-5"/>
        </w:rPr>
        <w:t> </w:t>
      </w:r>
      <w:r>
        <w:rPr/>
        <w:t>in</w:t>
      </w:r>
      <w:r>
        <w:rPr>
          <w:spacing w:val="-4"/>
        </w:rPr>
        <w:t> </w:t>
      </w:r>
      <w:r>
        <w:rPr/>
        <w:t>open</w:t>
      </w:r>
      <w:r>
        <w:rPr>
          <w:spacing w:val="-5"/>
        </w:rPr>
        <w:t> </w:t>
      </w:r>
      <w:r>
        <w:rPr/>
        <w:t>track</w:t>
      </w:r>
      <w:r>
        <w:rPr>
          <w:spacing w:val="-4"/>
        </w:rPr>
        <w:t> </w:t>
      </w:r>
      <w:r>
        <w:rPr/>
        <w:t>disputes).</w:t>
      </w:r>
      <w:r>
        <w:rPr>
          <w:spacing w:val="-5"/>
        </w:rPr>
        <w:t> </w:t>
      </w:r>
      <w:r>
        <w:rPr/>
        <w:t>In</w:t>
      </w:r>
      <w:r>
        <w:rPr>
          <w:spacing w:val="-5"/>
        </w:rPr>
        <w:t> </w:t>
      </w:r>
      <w:r>
        <w:rPr/>
        <w:t>2015,</w:t>
      </w:r>
      <w:r>
        <w:rPr>
          <w:spacing w:val="-5"/>
        </w:rPr>
        <w:t> </w:t>
      </w:r>
      <w:r>
        <w:rPr/>
        <w:t>those</w:t>
      </w:r>
      <w:r>
        <w:rPr>
          <w:spacing w:val="-5"/>
        </w:rPr>
        <w:t> </w:t>
      </w:r>
      <w:r>
        <w:rPr/>
        <w:t>involved in open track disputes were most likely to decide not to take part in EC when speaking</w:t>
      </w:r>
      <w:r>
        <w:rPr>
          <w:spacing w:val="-16"/>
        </w:rPr>
        <w:t> </w:t>
      </w:r>
      <w:r>
        <w:rPr/>
        <w:t>to</w:t>
      </w:r>
      <w:r>
        <w:rPr>
          <w:spacing w:val="-18"/>
        </w:rPr>
        <w:t> </w:t>
      </w:r>
      <w:r>
        <w:rPr/>
        <w:t>the</w:t>
      </w:r>
      <w:r>
        <w:rPr>
          <w:spacing w:val="-17"/>
        </w:rPr>
        <w:t> </w:t>
      </w:r>
      <w:r>
        <w:rPr/>
        <w:t>conciliator,</w:t>
      </w:r>
      <w:r>
        <w:rPr>
          <w:spacing w:val="-16"/>
        </w:rPr>
        <w:t> </w:t>
      </w:r>
      <w:r>
        <w:rPr/>
        <w:t>rather</w:t>
      </w:r>
      <w:r>
        <w:rPr>
          <w:spacing w:val="-17"/>
        </w:rPr>
        <w:t> </w:t>
      </w:r>
      <w:r>
        <w:rPr/>
        <w:t>than</w:t>
      </w:r>
      <w:r>
        <w:rPr>
          <w:spacing w:val="-16"/>
        </w:rPr>
        <w:t> </w:t>
      </w:r>
      <w:r>
        <w:rPr/>
        <w:t>when</w:t>
      </w:r>
      <w:r>
        <w:rPr>
          <w:spacing w:val="-17"/>
        </w:rPr>
        <w:t> </w:t>
      </w:r>
      <w:r>
        <w:rPr/>
        <w:t>having</w:t>
      </w:r>
      <w:r>
        <w:rPr>
          <w:spacing w:val="-16"/>
        </w:rPr>
        <w:t> </w:t>
      </w:r>
      <w:r>
        <w:rPr/>
        <w:t>preliminary</w:t>
      </w:r>
      <w:r>
        <w:rPr>
          <w:spacing w:val="-16"/>
        </w:rPr>
        <w:t> </w:t>
      </w:r>
      <w:r>
        <w:rPr/>
        <w:t>conversations</w:t>
      </w:r>
      <w:r>
        <w:rPr>
          <w:spacing w:val="-16"/>
        </w:rPr>
        <w:t> </w:t>
      </w:r>
      <w:r>
        <w:rPr/>
        <w:t>with the ECSO (44 per cent).</w:t>
      </w:r>
    </w:p>
    <w:p>
      <w:pPr>
        <w:pStyle w:val="BodyText"/>
        <w:spacing w:before="1"/>
      </w:pPr>
    </w:p>
    <w:p>
      <w:pPr>
        <w:pStyle w:val="BodyText"/>
        <w:ind w:left="1336" w:right="1474"/>
        <w:jc w:val="both"/>
      </w:pPr>
      <w:r>
        <w:rPr/>
        <w:t>It is important to note that differences between the findings in 2019 and 2015 outlined in this chapter are unlikely to be significant given the small base sizes. It</w:t>
      </w:r>
    </w:p>
    <w:p>
      <w:pPr>
        <w:spacing w:after="0"/>
        <w:jc w:val="both"/>
        <w:sectPr>
          <w:pgSz w:w="11910" w:h="16840"/>
          <w:pgMar w:header="0" w:footer="996" w:top="1340" w:bottom="1180" w:left="460" w:right="320"/>
        </w:sectPr>
      </w:pPr>
    </w:p>
    <w:p>
      <w:pPr>
        <w:pStyle w:val="BodyText"/>
        <w:spacing w:before="82"/>
        <w:ind w:left="1337" w:right="1474"/>
        <w:jc w:val="both"/>
      </w:pPr>
      <w:r>
        <w:rPr/>
        <w:t>is unlikely that all participants distinguish between ECSOs and Conciliators, which may</w:t>
      </w:r>
      <w:r>
        <w:rPr>
          <w:spacing w:val="-6"/>
        </w:rPr>
        <w:t> </w:t>
      </w:r>
      <w:r>
        <w:rPr/>
        <w:t>make</w:t>
      </w:r>
      <w:r>
        <w:rPr>
          <w:spacing w:val="-6"/>
        </w:rPr>
        <w:t> </w:t>
      </w:r>
      <w:r>
        <w:rPr/>
        <w:t>recall</w:t>
      </w:r>
      <w:r>
        <w:rPr>
          <w:spacing w:val="-6"/>
        </w:rPr>
        <w:t> </w:t>
      </w:r>
      <w:r>
        <w:rPr/>
        <w:t>difficult.</w:t>
      </w:r>
      <w:r>
        <w:rPr>
          <w:spacing w:val="-6"/>
        </w:rPr>
        <w:t> </w:t>
      </w:r>
      <w:r>
        <w:rPr/>
        <w:t>Therefore,</w:t>
      </w:r>
      <w:r>
        <w:rPr>
          <w:spacing w:val="-6"/>
        </w:rPr>
        <w:t> </w:t>
      </w:r>
      <w:r>
        <w:rPr/>
        <w:t>these</w:t>
      </w:r>
      <w:r>
        <w:rPr>
          <w:spacing w:val="-6"/>
        </w:rPr>
        <w:t> </w:t>
      </w:r>
      <w:r>
        <w:rPr/>
        <w:t>comparisons</w:t>
      </w:r>
      <w:r>
        <w:rPr>
          <w:spacing w:val="-6"/>
        </w:rPr>
        <w:t> </w:t>
      </w:r>
      <w:r>
        <w:rPr/>
        <w:t>should</w:t>
      </w:r>
      <w:r>
        <w:rPr>
          <w:spacing w:val="-6"/>
        </w:rPr>
        <w:t> </w:t>
      </w:r>
      <w:r>
        <w:rPr/>
        <w:t>be</w:t>
      </w:r>
      <w:r>
        <w:rPr>
          <w:spacing w:val="-6"/>
        </w:rPr>
        <w:t> </w:t>
      </w:r>
      <w:r>
        <w:rPr/>
        <w:t>interpreted</w:t>
      </w:r>
      <w:r>
        <w:rPr>
          <w:spacing w:val="-6"/>
        </w:rPr>
        <w:t> </w:t>
      </w:r>
      <w:r>
        <w:rPr/>
        <w:t>with </w:t>
      </w:r>
      <w:r>
        <w:rPr>
          <w:spacing w:val="-2"/>
        </w:rPr>
        <w:t>caution.</w:t>
      </w:r>
    </w:p>
    <w:p>
      <w:pPr>
        <w:pStyle w:val="BodyText"/>
      </w:pPr>
    </w:p>
    <w:p>
      <w:pPr>
        <w:pStyle w:val="Heading4"/>
        <w:numPr>
          <w:ilvl w:val="2"/>
          <w:numId w:val="14"/>
        </w:numPr>
        <w:tabs>
          <w:tab w:pos="2058" w:val="left" w:leader="none"/>
        </w:tabs>
        <w:spacing w:line="240" w:lineRule="auto" w:before="0" w:after="0"/>
        <w:ind w:left="2057" w:right="0" w:hanging="721"/>
        <w:jc w:val="both"/>
        <w:rPr>
          <w:i/>
        </w:rPr>
      </w:pPr>
      <w:bookmarkStart w:name="8.3.4 Reasons for EC not taking place" w:id="62"/>
      <w:bookmarkEnd w:id="62"/>
      <w:r>
        <w:rPr>
          <w:i/>
        </w:rPr>
        <w:t>R</w:t>
      </w:r>
      <w:r>
        <w:rPr>
          <w:i/>
        </w:rPr>
        <w:t>easons</w:t>
      </w:r>
      <w:r>
        <w:rPr>
          <w:i/>
          <w:spacing w:val="-5"/>
        </w:rPr>
        <w:t> </w:t>
      </w:r>
      <w:r>
        <w:rPr>
          <w:i/>
        </w:rPr>
        <w:t>for</w:t>
      </w:r>
      <w:r>
        <w:rPr>
          <w:i/>
          <w:spacing w:val="-3"/>
        </w:rPr>
        <w:t> </w:t>
      </w:r>
      <w:r>
        <w:rPr>
          <w:i/>
        </w:rPr>
        <w:t>EC</w:t>
      </w:r>
      <w:r>
        <w:rPr>
          <w:i/>
          <w:spacing w:val="-3"/>
        </w:rPr>
        <w:t> </w:t>
      </w:r>
      <w:r>
        <w:rPr>
          <w:i/>
        </w:rPr>
        <w:t>not</w:t>
      </w:r>
      <w:r>
        <w:rPr>
          <w:i/>
          <w:spacing w:val="-4"/>
        </w:rPr>
        <w:t> </w:t>
      </w:r>
      <w:r>
        <w:rPr>
          <w:i/>
        </w:rPr>
        <w:t>taking</w:t>
      </w:r>
      <w:r>
        <w:rPr>
          <w:i/>
          <w:spacing w:val="-2"/>
        </w:rPr>
        <w:t> </w:t>
      </w:r>
      <w:r>
        <w:rPr>
          <w:i/>
          <w:spacing w:val="-4"/>
        </w:rPr>
        <w:t>place</w:t>
      </w:r>
    </w:p>
    <w:p>
      <w:pPr>
        <w:pStyle w:val="BodyText"/>
        <w:spacing w:before="59"/>
        <w:ind w:left="1337" w:right="1472"/>
        <w:jc w:val="both"/>
      </w:pPr>
      <w:r>
        <w:rPr/>
        <w:t>Claimant-side participants who decided not to use EC were asked why they made this</w:t>
      </w:r>
      <w:r>
        <w:rPr>
          <w:spacing w:val="-7"/>
        </w:rPr>
        <w:t> </w:t>
      </w:r>
      <w:r>
        <w:rPr/>
        <w:t>decision</w:t>
      </w:r>
      <w:r>
        <w:rPr>
          <w:spacing w:val="-6"/>
        </w:rPr>
        <w:t> </w:t>
      </w:r>
      <w:r>
        <w:rPr/>
        <w:t>–</w:t>
      </w:r>
      <w:r>
        <w:rPr>
          <w:spacing w:val="-7"/>
        </w:rPr>
        <w:t> </w:t>
      </w:r>
      <w:r>
        <w:rPr/>
        <w:t>this</w:t>
      </w:r>
      <w:r>
        <w:rPr>
          <w:spacing w:val="-7"/>
        </w:rPr>
        <w:t> </w:t>
      </w:r>
      <w:r>
        <w:rPr/>
        <w:t>question</w:t>
      </w:r>
      <w:r>
        <w:rPr>
          <w:spacing w:val="-6"/>
        </w:rPr>
        <w:t> </w:t>
      </w:r>
      <w:r>
        <w:rPr/>
        <w:t>revealed</w:t>
      </w:r>
      <w:r>
        <w:rPr>
          <w:spacing w:val="-7"/>
        </w:rPr>
        <w:t> </w:t>
      </w:r>
      <w:r>
        <w:rPr/>
        <w:t>a</w:t>
      </w:r>
      <w:r>
        <w:rPr>
          <w:spacing w:val="-7"/>
        </w:rPr>
        <w:t> </w:t>
      </w:r>
      <w:r>
        <w:rPr/>
        <w:t>wide</w:t>
      </w:r>
      <w:r>
        <w:rPr>
          <w:spacing w:val="-7"/>
        </w:rPr>
        <w:t> </w:t>
      </w:r>
      <w:r>
        <w:rPr/>
        <w:t>variety</w:t>
      </w:r>
      <w:r>
        <w:rPr>
          <w:spacing w:val="-6"/>
        </w:rPr>
        <w:t> </w:t>
      </w:r>
      <w:r>
        <w:rPr/>
        <w:t>of</w:t>
      </w:r>
      <w:r>
        <w:rPr>
          <w:spacing w:val="-6"/>
        </w:rPr>
        <w:t> </w:t>
      </w:r>
      <w:r>
        <w:rPr/>
        <w:t>reasons,</w:t>
      </w:r>
      <w:r>
        <w:rPr>
          <w:spacing w:val="-7"/>
        </w:rPr>
        <w:t> </w:t>
      </w:r>
      <w:r>
        <w:rPr/>
        <w:t>with</w:t>
      </w:r>
      <w:r>
        <w:rPr>
          <w:spacing w:val="-8"/>
        </w:rPr>
        <w:t> </w:t>
      </w:r>
      <w:r>
        <w:rPr/>
        <w:t>no</w:t>
      </w:r>
      <w:r>
        <w:rPr>
          <w:spacing w:val="-7"/>
        </w:rPr>
        <w:t> </w:t>
      </w:r>
      <w:r>
        <w:rPr/>
        <w:t>single</w:t>
      </w:r>
      <w:r>
        <w:rPr>
          <w:spacing w:val="-7"/>
        </w:rPr>
        <w:t> </w:t>
      </w:r>
      <w:r>
        <w:rPr/>
        <w:t>pre- eminent rationale.</w:t>
      </w:r>
    </w:p>
    <w:p>
      <w:pPr>
        <w:pStyle w:val="BodyText"/>
        <w:spacing w:before="1"/>
      </w:pPr>
    </w:p>
    <w:p>
      <w:pPr>
        <w:pStyle w:val="BodyText"/>
        <w:spacing w:before="1"/>
        <w:ind w:left="1337" w:right="1473"/>
        <w:jc w:val="both"/>
      </w:pPr>
      <w:r>
        <w:rPr/>
        <w:t>As</w:t>
      </w:r>
      <w:r>
        <w:rPr>
          <w:spacing w:val="-3"/>
        </w:rPr>
        <w:t> </w:t>
      </w:r>
      <w:r>
        <w:rPr/>
        <w:t>in</w:t>
      </w:r>
      <w:r>
        <w:rPr>
          <w:spacing w:val="-3"/>
        </w:rPr>
        <w:t> </w:t>
      </w:r>
      <w:r>
        <w:rPr/>
        <w:t>2015,</w:t>
      </w:r>
      <w:r>
        <w:rPr>
          <w:spacing w:val="-5"/>
        </w:rPr>
        <w:t> </w:t>
      </w:r>
      <w:r>
        <w:rPr/>
        <w:t>this</w:t>
      </w:r>
      <w:r>
        <w:rPr>
          <w:spacing w:val="-3"/>
        </w:rPr>
        <w:t> </w:t>
      </w:r>
      <w:r>
        <w:rPr/>
        <w:t>year,</w:t>
      </w:r>
      <w:r>
        <w:rPr>
          <w:spacing w:val="-3"/>
        </w:rPr>
        <w:t> </w:t>
      </w:r>
      <w:r>
        <w:rPr/>
        <w:t>a</w:t>
      </w:r>
      <w:r>
        <w:rPr>
          <w:spacing w:val="-5"/>
        </w:rPr>
        <w:t> </w:t>
      </w:r>
      <w:r>
        <w:rPr/>
        <w:t>range</w:t>
      </w:r>
      <w:r>
        <w:rPr>
          <w:spacing w:val="-4"/>
        </w:rPr>
        <w:t> </w:t>
      </w:r>
      <w:r>
        <w:rPr/>
        <w:t>of</w:t>
      </w:r>
      <w:r>
        <w:rPr>
          <w:spacing w:val="-3"/>
        </w:rPr>
        <w:t> </w:t>
      </w:r>
      <w:r>
        <w:rPr/>
        <w:t>reasons</w:t>
      </w:r>
      <w:r>
        <w:rPr>
          <w:spacing w:val="-4"/>
        </w:rPr>
        <w:t> </w:t>
      </w:r>
      <w:r>
        <w:rPr/>
        <w:t>were</w:t>
      </w:r>
      <w:r>
        <w:rPr>
          <w:spacing w:val="-4"/>
        </w:rPr>
        <w:t> </w:t>
      </w:r>
      <w:r>
        <w:rPr/>
        <w:t>offered</w:t>
      </w:r>
      <w:r>
        <w:rPr>
          <w:spacing w:val="-3"/>
        </w:rPr>
        <w:t> </w:t>
      </w:r>
      <w:r>
        <w:rPr/>
        <w:t>to</w:t>
      </w:r>
      <w:r>
        <w:rPr>
          <w:spacing w:val="-4"/>
        </w:rPr>
        <w:t> </w:t>
      </w:r>
      <w:r>
        <w:rPr/>
        <w:t>participants,</w:t>
      </w:r>
      <w:r>
        <w:rPr>
          <w:spacing w:val="-4"/>
        </w:rPr>
        <w:t> </w:t>
      </w:r>
      <w:r>
        <w:rPr/>
        <w:t>with</w:t>
      </w:r>
      <w:r>
        <w:rPr>
          <w:spacing w:val="-3"/>
        </w:rPr>
        <w:t> </w:t>
      </w:r>
      <w:r>
        <w:rPr/>
        <w:t>the</w:t>
      </w:r>
      <w:r>
        <w:rPr>
          <w:spacing w:val="-4"/>
        </w:rPr>
        <w:t> </w:t>
      </w:r>
      <w:r>
        <w:rPr/>
        <w:t>top five being cited by between 10 and 20 per cent of claimant-side participants. In 2019, the</w:t>
      </w:r>
      <w:r>
        <w:rPr>
          <w:spacing w:val="-2"/>
        </w:rPr>
        <w:t> </w:t>
      </w:r>
      <w:r>
        <w:rPr/>
        <w:t>most commonly cited</w:t>
      </w:r>
      <w:r>
        <w:rPr>
          <w:spacing w:val="-1"/>
        </w:rPr>
        <w:t> </w:t>
      </w:r>
      <w:r>
        <w:rPr/>
        <w:t>reason was</w:t>
      </w:r>
      <w:r>
        <w:rPr>
          <w:spacing w:val="-2"/>
        </w:rPr>
        <w:t> </w:t>
      </w:r>
      <w:r>
        <w:rPr/>
        <w:t>‘I/claimant felt that</w:t>
      </w:r>
      <w:r>
        <w:rPr>
          <w:spacing w:val="-1"/>
        </w:rPr>
        <w:t> </w:t>
      </w:r>
      <w:r>
        <w:rPr/>
        <w:t>conciliation would not resolve the issues / would be a waste of time’ (19 per cent). Other reasons included knowing that the employer would not be willing to engage (18 per cent), deciding</w:t>
      </w:r>
      <w:r>
        <w:rPr>
          <w:spacing w:val="-2"/>
        </w:rPr>
        <w:t> </w:t>
      </w:r>
      <w:r>
        <w:rPr/>
        <w:t>not</w:t>
      </w:r>
      <w:r>
        <w:rPr>
          <w:spacing w:val="-2"/>
        </w:rPr>
        <w:t> </w:t>
      </w:r>
      <w:r>
        <w:rPr/>
        <w:t>to</w:t>
      </w:r>
      <w:r>
        <w:rPr>
          <w:spacing w:val="-4"/>
        </w:rPr>
        <w:t> </w:t>
      </w:r>
      <w:r>
        <w:rPr/>
        <w:t>proceed</w:t>
      </w:r>
      <w:r>
        <w:rPr>
          <w:spacing w:val="-2"/>
        </w:rPr>
        <w:t> </w:t>
      </w:r>
      <w:r>
        <w:rPr/>
        <w:t>after</w:t>
      </w:r>
      <w:r>
        <w:rPr>
          <w:spacing w:val="-4"/>
        </w:rPr>
        <w:t> </w:t>
      </w:r>
      <w:r>
        <w:rPr/>
        <w:t>speaking</w:t>
      </w:r>
      <w:r>
        <w:rPr>
          <w:spacing w:val="-2"/>
        </w:rPr>
        <w:t> </w:t>
      </w:r>
      <w:r>
        <w:rPr/>
        <w:t>to</w:t>
      </w:r>
      <w:r>
        <w:rPr>
          <w:spacing w:val="-4"/>
        </w:rPr>
        <w:t> </w:t>
      </w:r>
      <w:r>
        <w:rPr/>
        <w:t>Acas</w:t>
      </w:r>
      <w:r>
        <w:rPr>
          <w:spacing w:val="-3"/>
        </w:rPr>
        <w:t> </w:t>
      </w:r>
      <w:r>
        <w:rPr/>
        <w:t>(14</w:t>
      </w:r>
      <w:r>
        <w:rPr>
          <w:spacing w:val="-2"/>
        </w:rPr>
        <w:t> </w:t>
      </w:r>
      <w:r>
        <w:rPr/>
        <w:t>per</w:t>
      </w:r>
      <w:r>
        <w:rPr>
          <w:spacing w:val="-4"/>
        </w:rPr>
        <w:t> </w:t>
      </w:r>
      <w:r>
        <w:rPr/>
        <w:t>cent)</w:t>
      </w:r>
      <w:r>
        <w:rPr>
          <w:spacing w:val="-2"/>
        </w:rPr>
        <w:t> </w:t>
      </w:r>
      <w:r>
        <w:rPr/>
        <w:t>and</w:t>
      </w:r>
      <w:r>
        <w:rPr>
          <w:spacing w:val="-3"/>
        </w:rPr>
        <w:t> </w:t>
      </w:r>
      <w:r>
        <w:rPr/>
        <w:t>the</w:t>
      </w:r>
      <w:r>
        <w:rPr>
          <w:spacing w:val="-4"/>
        </w:rPr>
        <w:t> </w:t>
      </w:r>
      <w:r>
        <w:rPr/>
        <w:t>issue</w:t>
      </w:r>
      <w:r>
        <w:rPr>
          <w:spacing w:val="-3"/>
        </w:rPr>
        <w:t> </w:t>
      </w:r>
      <w:r>
        <w:rPr/>
        <w:t>already having been resolved or time running out (both 13 per cent). As we can see from these</w:t>
      </w:r>
      <w:r>
        <w:rPr>
          <w:spacing w:val="-4"/>
        </w:rPr>
        <w:t> </w:t>
      </w:r>
      <w:r>
        <w:rPr/>
        <w:t>numbers,</w:t>
      </w:r>
      <w:r>
        <w:rPr>
          <w:spacing w:val="-3"/>
        </w:rPr>
        <w:t> </w:t>
      </w:r>
      <w:r>
        <w:rPr/>
        <w:t>there</w:t>
      </w:r>
      <w:r>
        <w:rPr>
          <w:spacing w:val="-5"/>
        </w:rPr>
        <w:t> </w:t>
      </w:r>
      <w:r>
        <w:rPr/>
        <w:t>was</w:t>
      </w:r>
      <w:r>
        <w:rPr>
          <w:spacing w:val="-3"/>
        </w:rPr>
        <w:t> </w:t>
      </w:r>
      <w:r>
        <w:rPr/>
        <w:t>no</w:t>
      </w:r>
      <w:r>
        <w:rPr>
          <w:spacing w:val="-3"/>
        </w:rPr>
        <w:t> </w:t>
      </w:r>
      <w:r>
        <w:rPr/>
        <w:t>single</w:t>
      </w:r>
      <w:r>
        <w:rPr>
          <w:spacing w:val="-4"/>
        </w:rPr>
        <w:t> </w:t>
      </w:r>
      <w:r>
        <w:rPr/>
        <w:t>stand</w:t>
      </w:r>
      <w:r>
        <w:rPr>
          <w:spacing w:val="-3"/>
        </w:rPr>
        <w:t> </w:t>
      </w:r>
      <w:r>
        <w:rPr/>
        <w:t>out</w:t>
      </w:r>
      <w:r>
        <w:rPr>
          <w:spacing w:val="-3"/>
        </w:rPr>
        <w:t> </w:t>
      </w:r>
      <w:r>
        <w:rPr/>
        <w:t>factor</w:t>
      </w:r>
      <w:r>
        <w:rPr>
          <w:spacing w:val="-3"/>
        </w:rPr>
        <w:t> </w:t>
      </w:r>
      <w:r>
        <w:rPr/>
        <w:t>explaining</w:t>
      </w:r>
      <w:r>
        <w:rPr>
          <w:spacing w:val="-3"/>
        </w:rPr>
        <w:t> </w:t>
      </w:r>
      <w:r>
        <w:rPr/>
        <w:t>the</w:t>
      </w:r>
      <w:r>
        <w:rPr>
          <w:spacing w:val="-4"/>
        </w:rPr>
        <w:t> </w:t>
      </w:r>
      <w:r>
        <w:rPr/>
        <w:t>decision</w:t>
      </w:r>
      <w:r>
        <w:rPr>
          <w:spacing w:val="-3"/>
        </w:rPr>
        <w:t> </w:t>
      </w:r>
      <w:r>
        <w:rPr/>
        <w:t>not</w:t>
      </w:r>
      <w:r>
        <w:rPr>
          <w:spacing w:val="-3"/>
        </w:rPr>
        <w:t> </w:t>
      </w:r>
      <w:r>
        <w:rPr/>
        <w:t>to proceed here, as was the case in 2015. In 2015, the most commonly cited reason was</w:t>
      </w:r>
      <w:r>
        <w:rPr>
          <w:spacing w:val="-13"/>
        </w:rPr>
        <w:t> </w:t>
      </w:r>
      <w:r>
        <w:rPr/>
        <w:t>‘the</w:t>
      </w:r>
      <w:r>
        <w:rPr>
          <w:spacing w:val="-11"/>
        </w:rPr>
        <w:t> </w:t>
      </w:r>
      <w:r>
        <w:rPr/>
        <w:t>issue</w:t>
      </w:r>
      <w:r>
        <w:rPr>
          <w:spacing w:val="-11"/>
        </w:rPr>
        <w:t> </w:t>
      </w:r>
      <w:r>
        <w:rPr/>
        <w:t>was</w:t>
      </w:r>
      <w:r>
        <w:rPr>
          <w:spacing w:val="-12"/>
        </w:rPr>
        <w:t> </w:t>
      </w:r>
      <w:r>
        <w:rPr/>
        <w:t>resolved</w:t>
      </w:r>
      <w:r>
        <w:rPr>
          <w:spacing w:val="-10"/>
        </w:rPr>
        <w:t> </w:t>
      </w:r>
      <w:r>
        <w:rPr/>
        <w:t>by</w:t>
      </w:r>
      <w:r>
        <w:rPr>
          <w:spacing w:val="-10"/>
        </w:rPr>
        <w:t> </w:t>
      </w:r>
      <w:r>
        <w:rPr/>
        <w:t>the</w:t>
      </w:r>
      <w:r>
        <w:rPr>
          <w:spacing w:val="-12"/>
        </w:rPr>
        <w:t> </w:t>
      </w:r>
      <w:r>
        <w:rPr/>
        <w:t>time</w:t>
      </w:r>
      <w:r>
        <w:rPr>
          <w:spacing w:val="-12"/>
        </w:rPr>
        <w:t> </w:t>
      </w:r>
      <w:r>
        <w:rPr/>
        <w:t>Acas</w:t>
      </w:r>
      <w:r>
        <w:rPr>
          <w:spacing w:val="-10"/>
        </w:rPr>
        <w:t> </w:t>
      </w:r>
      <w:r>
        <w:rPr/>
        <w:t>assistance</w:t>
      </w:r>
      <w:r>
        <w:rPr>
          <w:spacing w:val="-11"/>
        </w:rPr>
        <w:t> </w:t>
      </w:r>
      <w:r>
        <w:rPr/>
        <w:t>was</w:t>
      </w:r>
      <w:r>
        <w:rPr>
          <w:spacing w:val="-10"/>
        </w:rPr>
        <w:t> </w:t>
      </w:r>
      <w:r>
        <w:rPr/>
        <w:t>offered’</w:t>
      </w:r>
      <w:r>
        <w:rPr>
          <w:spacing w:val="-12"/>
        </w:rPr>
        <w:t> </w:t>
      </w:r>
      <w:r>
        <w:rPr/>
        <w:t>(14</w:t>
      </w:r>
      <w:r>
        <w:rPr>
          <w:spacing w:val="-11"/>
        </w:rPr>
        <w:t> </w:t>
      </w:r>
      <w:r>
        <w:rPr/>
        <w:t>per</w:t>
      </w:r>
      <w:r>
        <w:rPr>
          <w:spacing w:val="-11"/>
        </w:rPr>
        <w:t> </w:t>
      </w:r>
      <w:r>
        <w:rPr>
          <w:spacing w:val="-2"/>
        </w:rPr>
        <w:t>cent).</w:t>
      </w:r>
    </w:p>
    <w:p>
      <w:pPr>
        <w:pStyle w:val="BodyText"/>
      </w:pPr>
    </w:p>
    <w:p>
      <w:pPr>
        <w:pStyle w:val="BodyText"/>
        <w:ind w:left="1337" w:right="1474"/>
        <w:jc w:val="both"/>
      </w:pPr>
      <w:r>
        <w:rPr/>
        <w:t>Where</w:t>
      </w:r>
      <w:r>
        <w:rPr>
          <w:spacing w:val="-2"/>
        </w:rPr>
        <w:t> </w:t>
      </w:r>
      <w:r>
        <w:rPr/>
        <w:t>claimant-side</w:t>
      </w:r>
      <w:r>
        <w:rPr>
          <w:spacing w:val="-3"/>
        </w:rPr>
        <w:t> </w:t>
      </w:r>
      <w:r>
        <w:rPr/>
        <w:t>participants</w:t>
      </w:r>
      <w:r>
        <w:rPr>
          <w:spacing w:val="-2"/>
        </w:rPr>
        <w:t> </w:t>
      </w:r>
      <w:r>
        <w:rPr/>
        <w:t>reported</w:t>
      </w:r>
      <w:r>
        <w:rPr>
          <w:spacing w:val="-2"/>
        </w:rPr>
        <w:t> </w:t>
      </w:r>
      <w:r>
        <w:rPr/>
        <w:t>that</w:t>
      </w:r>
      <w:r>
        <w:rPr>
          <w:spacing w:val="-2"/>
        </w:rPr>
        <w:t> </w:t>
      </w:r>
      <w:r>
        <w:rPr/>
        <w:t>EC</w:t>
      </w:r>
      <w:r>
        <w:rPr>
          <w:spacing w:val="-2"/>
        </w:rPr>
        <w:t> </w:t>
      </w:r>
      <w:r>
        <w:rPr/>
        <w:t>did</w:t>
      </w:r>
      <w:r>
        <w:rPr>
          <w:spacing w:val="-3"/>
        </w:rPr>
        <w:t> </w:t>
      </w:r>
      <w:r>
        <w:rPr/>
        <w:t>not</w:t>
      </w:r>
      <w:r>
        <w:rPr>
          <w:spacing w:val="-3"/>
        </w:rPr>
        <w:t> </w:t>
      </w:r>
      <w:r>
        <w:rPr/>
        <w:t>take</w:t>
      </w:r>
      <w:r>
        <w:rPr>
          <w:spacing w:val="-3"/>
        </w:rPr>
        <w:t> </w:t>
      </w:r>
      <w:r>
        <w:rPr/>
        <w:t>place</w:t>
      </w:r>
      <w:r>
        <w:rPr>
          <w:spacing w:val="-4"/>
        </w:rPr>
        <w:t> </w:t>
      </w:r>
      <w:r>
        <w:rPr/>
        <w:t>as</w:t>
      </w:r>
      <w:r>
        <w:rPr>
          <w:spacing w:val="-2"/>
        </w:rPr>
        <w:t> </w:t>
      </w:r>
      <w:r>
        <w:rPr/>
        <w:t>a</w:t>
      </w:r>
      <w:r>
        <w:rPr>
          <w:spacing w:val="-2"/>
        </w:rPr>
        <w:t> </w:t>
      </w:r>
      <w:r>
        <w:rPr/>
        <w:t>result</w:t>
      </w:r>
      <w:r>
        <w:rPr>
          <w:spacing w:val="-3"/>
        </w:rPr>
        <w:t> </w:t>
      </w:r>
      <w:r>
        <w:rPr/>
        <w:t>of the</w:t>
      </w:r>
      <w:r>
        <w:rPr>
          <w:spacing w:val="-12"/>
        </w:rPr>
        <w:t> </w:t>
      </w:r>
      <w:r>
        <w:rPr/>
        <w:t>employer</w:t>
      </w:r>
      <w:r>
        <w:rPr>
          <w:spacing w:val="-12"/>
        </w:rPr>
        <w:t> </w:t>
      </w:r>
      <w:r>
        <w:rPr/>
        <w:t>being</w:t>
      </w:r>
      <w:r>
        <w:rPr>
          <w:spacing w:val="-13"/>
        </w:rPr>
        <w:t> </w:t>
      </w:r>
      <w:r>
        <w:rPr/>
        <w:t>unwilling</w:t>
      </w:r>
      <w:r>
        <w:rPr>
          <w:spacing w:val="-12"/>
        </w:rPr>
        <w:t> </w:t>
      </w:r>
      <w:r>
        <w:rPr/>
        <w:t>to</w:t>
      </w:r>
      <w:r>
        <w:rPr>
          <w:spacing w:val="-13"/>
        </w:rPr>
        <w:t> </w:t>
      </w:r>
      <w:r>
        <w:rPr/>
        <w:t>take</w:t>
      </w:r>
      <w:r>
        <w:rPr>
          <w:spacing w:val="-12"/>
        </w:rPr>
        <w:t> </w:t>
      </w:r>
      <w:r>
        <w:rPr/>
        <w:t>part</w:t>
      </w:r>
      <w:r>
        <w:rPr>
          <w:spacing w:val="-13"/>
        </w:rPr>
        <w:t> </w:t>
      </w:r>
      <w:r>
        <w:rPr/>
        <w:t>(in</w:t>
      </w:r>
      <w:r>
        <w:rPr>
          <w:spacing w:val="-13"/>
        </w:rPr>
        <w:t> </w:t>
      </w:r>
      <w:r>
        <w:rPr/>
        <w:t>their</w:t>
      </w:r>
      <w:r>
        <w:rPr>
          <w:spacing w:val="-12"/>
        </w:rPr>
        <w:t> </w:t>
      </w:r>
      <w:r>
        <w:rPr/>
        <w:t>view),</w:t>
      </w:r>
      <w:r>
        <w:rPr>
          <w:spacing w:val="-13"/>
        </w:rPr>
        <w:t> </w:t>
      </w:r>
      <w:r>
        <w:rPr/>
        <w:t>they</w:t>
      </w:r>
      <w:r>
        <w:rPr>
          <w:spacing w:val="-13"/>
        </w:rPr>
        <w:t> </w:t>
      </w:r>
      <w:r>
        <w:rPr/>
        <w:t>were</w:t>
      </w:r>
      <w:r>
        <w:rPr>
          <w:spacing w:val="-12"/>
        </w:rPr>
        <w:t> </w:t>
      </w:r>
      <w:r>
        <w:rPr/>
        <w:t>asked</w:t>
      </w:r>
      <w:r>
        <w:rPr>
          <w:spacing w:val="-13"/>
        </w:rPr>
        <w:t> </w:t>
      </w:r>
      <w:r>
        <w:rPr/>
        <w:t>why</w:t>
      </w:r>
      <w:r>
        <w:rPr>
          <w:spacing w:val="-13"/>
        </w:rPr>
        <w:t> </w:t>
      </w:r>
      <w:r>
        <w:rPr/>
        <w:t>they felt this was the case and a similar pattern emerged to that seen in 2015:</w:t>
      </w:r>
    </w:p>
    <w:p>
      <w:pPr>
        <w:pStyle w:val="BodyText"/>
        <w:spacing w:before="2"/>
      </w:pPr>
    </w:p>
    <w:p>
      <w:pPr>
        <w:pStyle w:val="ListParagraph"/>
        <w:numPr>
          <w:ilvl w:val="3"/>
          <w:numId w:val="14"/>
        </w:numPr>
        <w:tabs>
          <w:tab w:pos="2058" w:val="left" w:leader="none"/>
        </w:tabs>
        <w:spacing w:line="237" w:lineRule="auto" w:before="0" w:after="0"/>
        <w:ind w:left="2057" w:right="1474" w:hanging="360"/>
        <w:jc w:val="both"/>
        <w:rPr>
          <w:sz w:val="20"/>
        </w:rPr>
      </w:pPr>
      <w:r>
        <w:rPr>
          <w:sz w:val="20"/>
        </w:rPr>
        <w:t>The most common answer given was ‘don’t know’ (28 per cent). In 2015, this was the second most common answer (17 per cent).</w:t>
      </w:r>
    </w:p>
    <w:p>
      <w:pPr>
        <w:pStyle w:val="ListParagraph"/>
        <w:numPr>
          <w:ilvl w:val="3"/>
          <w:numId w:val="14"/>
        </w:numPr>
        <w:tabs>
          <w:tab w:pos="2058" w:val="left" w:leader="none"/>
        </w:tabs>
        <w:spacing w:line="240" w:lineRule="auto" w:before="1" w:after="0"/>
        <w:ind w:left="2057" w:right="1472" w:hanging="360"/>
        <w:jc w:val="both"/>
        <w:rPr>
          <w:sz w:val="20"/>
        </w:rPr>
      </w:pPr>
      <w:r>
        <w:rPr>
          <w:sz w:val="20"/>
        </w:rPr>
        <w:t>The next most common answer was that the employer was ‘not willing to negotiate’ (27 per cent). In 2015, this was the most common answer (32 per cent).</w:t>
      </w:r>
    </w:p>
    <w:p>
      <w:pPr>
        <w:pStyle w:val="ListParagraph"/>
        <w:numPr>
          <w:ilvl w:val="3"/>
          <w:numId w:val="14"/>
        </w:numPr>
        <w:tabs>
          <w:tab w:pos="2058" w:val="left" w:leader="none"/>
        </w:tabs>
        <w:spacing w:line="240" w:lineRule="auto" w:before="0" w:after="0"/>
        <w:ind w:left="2057" w:right="1473" w:hanging="360"/>
        <w:jc w:val="both"/>
        <w:rPr>
          <w:sz w:val="20"/>
        </w:rPr>
      </w:pPr>
      <w:r>
        <w:rPr>
          <w:sz w:val="20"/>
        </w:rPr>
        <w:t>This was followed by ‘the employer felt they had no case to answer to’ (22 per cent). In 2015, this was also the third most common answer (16 per </w:t>
      </w:r>
      <w:r>
        <w:rPr>
          <w:spacing w:val="-2"/>
          <w:sz w:val="20"/>
        </w:rPr>
        <w:t>cent).</w:t>
      </w:r>
    </w:p>
    <w:p>
      <w:pPr>
        <w:pStyle w:val="BodyText"/>
        <w:spacing w:before="9"/>
        <w:rPr>
          <w:sz w:val="19"/>
        </w:rPr>
      </w:pPr>
    </w:p>
    <w:p>
      <w:pPr>
        <w:pStyle w:val="Heading4"/>
        <w:numPr>
          <w:ilvl w:val="2"/>
          <w:numId w:val="14"/>
        </w:numPr>
        <w:tabs>
          <w:tab w:pos="2058" w:val="left" w:leader="none"/>
        </w:tabs>
        <w:spacing w:line="240" w:lineRule="auto" w:before="0" w:after="0"/>
        <w:ind w:left="2057" w:right="0" w:hanging="721"/>
        <w:jc w:val="both"/>
        <w:rPr>
          <w:i/>
        </w:rPr>
      </w:pPr>
      <w:bookmarkStart w:name="8.3.5 Decision-making around taking part" w:id="63"/>
      <w:bookmarkEnd w:id="63"/>
      <w:r>
        <w:rPr>
          <w:i/>
        </w:rPr>
        <w:t>De</w:t>
      </w:r>
      <w:r>
        <w:rPr>
          <w:i/>
        </w:rPr>
        <w:t>cision-making</w:t>
      </w:r>
      <w:r>
        <w:rPr>
          <w:i/>
          <w:spacing w:val="-8"/>
        </w:rPr>
        <w:t> </w:t>
      </w:r>
      <w:r>
        <w:rPr>
          <w:i/>
        </w:rPr>
        <w:t>around</w:t>
      </w:r>
      <w:r>
        <w:rPr>
          <w:i/>
          <w:spacing w:val="-4"/>
        </w:rPr>
        <w:t> </w:t>
      </w:r>
      <w:r>
        <w:rPr>
          <w:i/>
        </w:rPr>
        <w:t>taking</w:t>
      </w:r>
      <w:r>
        <w:rPr>
          <w:i/>
          <w:spacing w:val="-5"/>
        </w:rPr>
        <w:t> </w:t>
      </w:r>
      <w:r>
        <w:rPr>
          <w:i/>
        </w:rPr>
        <w:t>part</w:t>
      </w:r>
      <w:r>
        <w:rPr>
          <w:i/>
          <w:spacing w:val="-5"/>
        </w:rPr>
        <w:t> </w:t>
      </w:r>
      <w:r>
        <w:rPr>
          <w:i/>
        </w:rPr>
        <w:t>in</w:t>
      </w:r>
      <w:r>
        <w:rPr>
          <w:i/>
          <w:spacing w:val="-4"/>
        </w:rPr>
        <w:t> </w:t>
      </w:r>
      <w:r>
        <w:rPr>
          <w:i/>
          <w:spacing w:val="-5"/>
        </w:rPr>
        <w:t>EC</w:t>
      </w:r>
    </w:p>
    <w:p>
      <w:pPr>
        <w:pStyle w:val="BodyText"/>
        <w:spacing w:before="60"/>
        <w:ind w:left="1337" w:right="1474"/>
        <w:jc w:val="both"/>
      </w:pPr>
      <w:r>
        <w:rPr/>
        <w:t>The</w:t>
      </w:r>
      <w:r>
        <w:rPr>
          <w:spacing w:val="-9"/>
        </w:rPr>
        <w:t> </w:t>
      </w:r>
      <w:r>
        <w:rPr/>
        <w:t>top</w:t>
      </w:r>
      <w:r>
        <w:rPr>
          <w:spacing w:val="-10"/>
        </w:rPr>
        <w:t> </w:t>
      </w:r>
      <w:r>
        <w:rPr/>
        <w:t>three</w:t>
      </w:r>
      <w:r>
        <w:rPr>
          <w:spacing w:val="-9"/>
        </w:rPr>
        <w:t> </w:t>
      </w:r>
      <w:r>
        <w:rPr/>
        <w:t>reasons</w:t>
      </w:r>
      <w:r>
        <w:rPr>
          <w:spacing w:val="-9"/>
        </w:rPr>
        <w:t> </w:t>
      </w:r>
      <w:r>
        <w:rPr/>
        <w:t>cited</w:t>
      </w:r>
      <w:r>
        <w:rPr>
          <w:spacing w:val="-9"/>
        </w:rPr>
        <w:t> </w:t>
      </w:r>
      <w:r>
        <w:rPr/>
        <w:t>by</w:t>
      </w:r>
      <w:r>
        <w:rPr>
          <w:spacing w:val="-9"/>
        </w:rPr>
        <w:t> </w:t>
      </w:r>
      <w:r>
        <w:rPr/>
        <w:t>claimant-side</w:t>
      </w:r>
      <w:r>
        <w:rPr>
          <w:spacing w:val="-10"/>
        </w:rPr>
        <w:t> </w:t>
      </w:r>
      <w:r>
        <w:rPr/>
        <w:t>participants</w:t>
      </w:r>
      <w:r>
        <w:rPr>
          <w:spacing w:val="-9"/>
        </w:rPr>
        <w:t> </w:t>
      </w:r>
      <w:r>
        <w:rPr/>
        <w:t>for</w:t>
      </w:r>
      <w:r>
        <w:rPr>
          <w:spacing w:val="-9"/>
        </w:rPr>
        <w:t> </w:t>
      </w:r>
      <w:r>
        <w:rPr/>
        <w:t>deciding</w:t>
      </w:r>
      <w:r>
        <w:rPr>
          <w:spacing w:val="-9"/>
        </w:rPr>
        <w:t> </w:t>
      </w:r>
      <w:r>
        <w:rPr/>
        <w:t>to</w:t>
      </w:r>
      <w:r>
        <w:rPr>
          <w:spacing w:val="-9"/>
        </w:rPr>
        <w:t> </w:t>
      </w:r>
      <w:r>
        <w:rPr/>
        <w:t>accept</w:t>
      </w:r>
      <w:r>
        <w:rPr>
          <w:spacing w:val="-10"/>
        </w:rPr>
        <w:t> </w:t>
      </w:r>
      <w:r>
        <w:rPr/>
        <w:t>the offer of EC were ‘to reach a resolution’ (41 per cent), ‘because we had to’ (28 per cent) and ‘to avoid an employment tribunal’ (18 per cent). These trends largely follow the findings from the 2015 survey.</w:t>
      </w:r>
    </w:p>
    <w:p>
      <w:pPr>
        <w:pStyle w:val="BodyText"/>
      </w:pPr>
    </w:p>
    <w:p>
      <w:pPr>
        <w:pStyle w:val="BodyText"/>
        <w:ind w:left="1337" w:right="1472"/>
        <w:jc w:val="both"/>
      </w:pPr>
      <w:r>
        <w:rPr/>
        <w:t>There were no significant differences between claimant-side participants from different dispute tracks. However, there were some differences between the reasons cited by claimants and their representatives for agreeing to participate in </w:t>
      </w:r>
      <w:r>
        <w:rPr>
          <w:spacing w:val="-4"/>
        </w:rPr>
        <w:t>EC:</w:t>
      </w:r>
    </w:p>
    <w:p>
      <w:pPr>
        <w:pStyle w:val="BodyText"/>
        <w:spacing w:before="10"/>
        <w:rPr>
          <w:sz w:val="11"/>
        </w:rPr>
      </w:pPr>
    </w:p>
    <w:p>
      <w:pPr>
        <w:pStyle w:val="ListParagraph"/>
        <w:numPr>
          <w:ilvl w:val="3"/>
          <w:numId w:val="14"/>
        </w:numPr>
        <w:tabs>
          <w:tab w:pos="2058" w:val="left" w:leader="none"/>
        </w:tabs>
        <w:spacing w:line="240" w:lineRule="auto" w:before="100" w:after="0"/>
        <w:ind w:left="2057" w:right="1473" w:hanging="360"/>
        <w:jc w:val="both"/>
        <w:rPr>
          <w:sz w:val="20"/>
        </w:rPr>
      </w:pPr>
      <w:r>
        <w:rPr>
          <w:sz w:val="20"/>
        </w:rPr>
        <w:t>Claimants were significantly less likely than representatives to cite the reason ‘because we/I had to’ (25 per cent compared with 34 per cent of </w:t>
      </w:r>
      <w:r>
        <w:rPr>
          <w:spacing w:val="-2"/>
          <w:sz w:val="20"/>
        </w:rPr>
        <w:t>representatives);</w:t>
      </w:r>
    </w:p>
    <w:p>
      <w:pPr>
        <w:pStyle w:val="ListParagraph"/>
        <w:numPr>
          <w:ilvl w:val="3"/>
          <w:numId w:val="14"/>
        </w:numPr>
        <w:tabs>
          <w:tab w:pos="2058" w:val="left" w:leader="none"/>
        </w:tabs>
        <w:spacing w:line="240" w:lineRule="auto" w:before="0" w:after="0"/>
        <w:ind w:left="2057" w:right="1472" w:hanging="360"/>
        <w:jc w:val="both"/>
        <w:rPr>
          <w:sz w:val="20"/>
        </w:rPr>
      </w:pPr>
      <w:r>
        <w:rPr>
          <w:sz w:val="20"/>
        </w:rPr>
        <w:t>Claimants were significantly more likely than representatives to cite the reason ‘it was the best approach’ (15 per cent of claimants compared with eight per cent of representatives).</w:t>
      </w:r>
    </w:p>
    <w:p>
      <w:pPr>
        <w:pStyle w:val="BodyText"/>
        <w:spacing w:before="9"/>
        <w:rPr>
          <w:sz w:val="19"/>
        </w:rPr>
      </w:pPr>
    </w:p>
    <w:p>
      <w:pPr>
        <w:pStyle w:val="Heading3"/>
        <w:numPr>
          <w:ilvl w:val="1"/>
          <w:numId w:val="2"/>
        </w:numPr>
        <w:tabs>
          <w:tab w:pos="1973" w:val="left" w:leader="none"/>
          <w:tab w:pos="1974" w:val="left" w:leader="none"/>
        </w:tabs>
        <w:spacing w:line="240" w:lineRule="auto" w:before="0" w:after="0"/>
        <w:ind w:left="1973" w:right="0" w:hanging="637"/>
        <w:jc w:val="left"/>
      </w:pPr>
      <w:bookmarkStart w:name="8.4  Employer decision-making around tak" w:id="64"/>
      <w:bookmarkEnd w:id="64"/>
      <w:r>
        <w:rPr>
          <w:b w:val="0"/>
        </w:rPr>
      </w:r>
      <w:bookmarkStart w:name="_bookmark15" w:id="65"/>
      <w:bookmarkEnd w:id="65"/>
      <w:r>
        <w:rPr/>
        <w:t>E</w:t>
      </w:r>
      <w:r>
        <w:rPr/>
        <w:t>mployer</w:t>
      </w:r>
      <w:r>
        <w:rPr>
          <w:spacing w:val="-9"/>
        </w:rPr>
        <w:t> </w:t>
      </w:r>
      <w:r>
        <w:rPr/>
        <w:t>decision-making</w:t>
      </w:r>
      <w:r>
        <w:rPr>
          <w:spacing w:val="-5"/>
        </w:rPr>
        <w:t> </w:t>
      </w:r>
      <w:r>
        <w:rPr/>
        <w:t>around</w:t>
      </w:r>
      <w:r>
        <w:rPr>
          <w:spacing w:val="-4"/>
        </w:rPr>
        <w:t> </w:t>
      </w:r>
      <w:r>
        <w:rPr/>
        <w:t>taking</w:t>
      </w:r>
      <w:r>
        <w:rPr>
          <w:spacing w:val="-5"/>
        </w:rPr>
        <w:t> </w:t>
      </w:r>
      <w:r>
        <w:rPr/>
        <w:t>part</w:t>
      </w:r>
      <w:r>
        <w:rPr>
          <w:spacing w:val="-5"/>
        </w:rPr>
        <w:t> </w:t>
      </w:r>
      <w:r>
        <w:rPr/>
        <w:t>in</w:t>
      </w:r>
      <w:r>
        <w:rPr>
          <w:spacing w:val="-4"/>
        </w:rPr>
        <w:t> </w:t>
      </w:r>
      <w:r>
        <w:rPr>
          <w:spacing w:val="-5"/>
        </w:rPr>
        <w:t>EC</w:t>
      </w:r>
    </w:p>
    <w:p>
      <w:pPr>
        <w:pStyle w:val="Heading4"/>
        <w:numPr>
          <w:ilvl w:val="2"/>
          <w:numId w:val="16"/>
        </w:numPr>
        <w:tabs>
          <w:tab w:pos="2058" w:val="left" w:leader="none"/>
        </w:tabs>
        <w:spacing w:line="240" w:lineRule="auto" w:before="121" w:after="0"/>
        <w:ind w:left="2057" w:right="0" w:hanging="721"/>
        <w:jc w:val="left"/>
        <w:rPr>
          <w:i/>
        </w:rPr>
      </w:pPr>
      <w:bookmarkStart w:name="8.4.1 Whether employers engaged with EC" w:id="66"/>
      <w:bookmarkEnd w:id="66"/>
      <w:r>
        <w:rPr>
          <w:i/>
        </w:rPr>
        <w:t>W</w:t>
      </w:r>
      <w:r>
        <w:rPr>
          <w:i/>
        </w:rPr>
        <w:t>hether</w:t>
      </w:r>
      <w:r>
        <w:rPr>
          <w:i/>
          <w:spacing w:val="-8"/>
        </w:rPr>
        <w:t> </w:t>
      </w:r>
      <w:r>
        <w:rPr>
          <w:i/>
        </w:rPr>
        <w:t>employers</w:t>
      </w:r>
      <w:r>
        <w:rPr>
          <w:i/>
          <w:spacing w:val="-5"/>
        </w:rPr>
        <w:t> </w:t>
      </w:r>
      <w:r>
        <w:rPr>
          <w:i/>
        </w:rPr>
        <w:t>engaged</w:t>
      </w:r>
      <w:r>
        <w:rPr>
          <w:i/>
          <w:spacing w:val="-5"/>
        </w:rPr>
        <w:t> </w:t>
      </w:r>
      <w:r>
        <w:rPr>
          <w:i/>
        </w:rPr>
        <w:t>with</w:t>
      </w:r>
      <w:r>
        <w:rPr>
          <w:i/>
          <w:spacing w:val="-3"/>
        </w:rPr>
        <w:t> </w:t>
      </w:r>
      <w:r>
        <w:rPr>
          <w:i/>
          <w:spacing w:val="-5"/>
        </w:rPr>
        <w:t>EC</w:t>
      </w:r>
    </w:p>
    <w:p>
      <w:pPr>
        <w:pStyle w:val="BodyText"/>
        <w:spacing w:before="59"/>
        <w:ind w:left="1337" w:right="1472"/>
      </w:pPr>
      <w:r>
        <w:rPr/>
        <w:t>The</w:t>
      </w:r>
      <w:r>
        <w:rPr>
          <w:spacing w:val="-4"/>
        </w:rPr>
        <w:t> </w:t>
      </w:r>
      <w:r>
        <w:rPr/>
        <w:t>level</w:t>
      </w:r>
      <w:r>
        <w:rPr>
          <w:spacing w:val="-4"/>
        </w:rPr>
        <w:t> </w:t>
      </w:r>
      <w:r>
        <w:rPr/>
        <w:t>of</w:t>
      </w:r>
      <w:r>
        <w:rPr>
          <w:spacing w:val="-4"/>
        </w:rPr>
        <w:t> </w:t>
      </w:r>
      <w:r>
        <w:rPr/>
        <w:t>participation</w:t>
      </w:r>
      <w:r>
        <w:rPr>
          <w:spacing w:val="-3"/>
        </w:rPr>
        <w:t> </w:t>
      </w:r>
      <w:r>
        <w:rPr/>
        <w:t>in</w:t>
      </w:r>
      <w:r>
        <w:rPr>
          <w:spacing w:val="-4"/>
        </w:rPr>
        <w:t> </w:t>
      </w:r>
      <w:r>
        <w:rPr/>
        <w:t>EC</w:t>
      </w:r>
      <w:r>
        <w:rPr>
          <w:spacing w:val="-4"/>
        </w:rPr>
        <w:t> </w:t>
      </w:r>
      <w:r>
        <w:rPr/>
        <w:t>by</w:t>
      </w:r>
      <w:r>
        <w:rPr>
          <w:spacing w:val="-4"/>
        </w:rPr>
        <w:t> </w:t>
      </w:r>
      <w:r>
        <w:rPr/>
        <w:t>employer-side</w:t>
      </w:r>
      <w:r>
        <w:rPr>
          <w:spacing w:val="-4"/>
        </w:rPr>
        <w:t> </w:t>
      </w:r>
      <w:r>
        <w:rPr/>
        <w:t>participants</w:t>
      </w:r>
      <w:r>
        <w:rPr>
          <w:spacing w:val="-4"/>
        </w:rPr>
        <w:t> </w:t>
      </w:r>
      <w:r>
        <w:rPr/>
        <w:t>was</w:t>
      </w:r>
      <w:r>
        <w:rPr>
          <w:spacing w:val="-4"/>
        </w:rPr>
        <w:t> </w:t>
      </w:r>
      <w:r>
        <w:rPr/>
        <w:t>high</w:t>
      </w:r>
      <w:r>
        <w:rPr>
          <w:spacing w:val="-4"/>
        </w:rPr>
        <w:t> </w:t>
      </w:r>
      <w:r>
        <w:rPr/>
        <w:t>with</w:t>
      </w:r>
      <w:r>
        <w:rPr>
          <w:spacing w:val="-4"/>
        </w:rPr>
        <w:t> </w:t>
      </w:r>
      <w:r>
        <w:rPr/>
        <w:t>78</w:t>
      </w:r>
      <w:r>
        <w:rPr>
          <w:spacing w:val="-3"/>
        </w:rPr>
        <w:t> </w:t>
      </w:r>
      <w:r>
        <w:rPr/>
        <w:t>per cent</w:t>
      </w:r>
      <w:r>
        <w:rPr>
          <w:spacing w:val="43"/>
        </w:rPr>
        <w:t> </w:t>
      </w:r>
      <w:r>
        <w:rPr/>
        <w:t>of</w:t>
      </w:r>
      <w:r>
        <w:rPr>
          <w:spacing w:val="46"/>
        </w:rPr>
        <w:t> </w:t>
      </w:r>
      <w:r>
        <w:rPr/>
        <w:t>those</w:t>
      </w:r>
      <w:r>
        <w:rPr>
          <w:spacing w:val="45"/>
        </w:rPr>
        <w:t> </w:t>
      </w:r>
      <w:r>
        <w:rPr/>
        <w:t>interviewed</w:t>
      </w:r>
      <w:r>
        <w:rPr>
          <w:spacing w:val="46"/>
        </w:rPr>
        <w:t> </w:t>
      </w:r>
      <w:r>
        <w:rPr/>
        <w:t>saying</w:t>
      </w:r>
      <w:r>
        <w:rPr>
          <w:spacing w:val="45"/>
        </w:rPr>
        <w:t> </w:t>
      </w:r>
      <w:r>
        <w:rPr/>
        <w:t>that</w:t>
      </w:r>
      <w:r>
        <w:rPr>
          <w:spacing w:val="45"/>
        </w:rPr>
        <w:t> </w:t>
      </w:r>
      <w:r>
        <w:rPr/>
        <w:t>they</w:t>
      </w:r>
      <w:r>
        <w:rPr>
          <w:spacing w:val="45"/>
        </w:rPr>
        <w:t> </w:t>
      </w:r>
      <w:r>
        <w:rPr/>
        <w:t>had</w:t>
      </w:r>
      <w:r>
        <w:rPr>
          <w:spacing w:val="46"/>
        </w:rPr>
        <w:t> </w:t>
      </w:r>
      <w:r>
        <w:rPr/>
        <w:t>taken</w:t>
      </w:r>
      <w:r>
        <w:rPr>
          <w:spacing w:val="45"/>
        </w:rPr>
        <w:t> </w:t>
      </w:r>
      <w:r>
        <w:rPr/>
        <w:t>part,</w:t>
      </w:r>
      <w:r>
        <w:rPr>
          <w:spacing w:val="46"/>
        </w:rPr>
        <w:t> </w:t>
      </w:r>
      <w:r>
        <w:rPr/>
        <w:t>and</w:t>
      </w:r>
      <w:r>
        <w:rPr>
          <w:spacing w:val="45"/>
        </w:rPr>
        <w:t> </w:t>
      </w:r>
      <w:r>
        <w:rPr/>
        <w:t>no</w:t>
      </w:r>
      <w:r>
        <w:rPr>
          <w:spacing w:val="45"/>
        </w:rPr>
        <w:t> </w:t>
      </w:r>
      <w:r>
        <w:rPr>
          <w:spacing w:val="-2"/>
        </w:rPr>
        <w:t>significant</w:t>
      </w:r>
    </w:p>
    <w:p>
      <w:pPr>
        <w:spacing w:after="0"/>
        <w:sectPr>
          <w:pgSz w:w="11910" w:h="16840"/>
          <w:pgMar w:header="0" w:footer="996" w:top="1340" w:bottom="1180" w:left="460" w:right="320"/>
        </w:sectPr>
      </w:pPr>
    </w:p>
    <w:p>
      <w:pPr>
        <w:pStyle w:val="BodyText"/>
        <w:spacing w:before="82"/>
        <w:ind w:left="1337" w:right="1473"/>
        <w:jc w:val="both"/>
      </w:pPr>
      <w:r>
        <w:rPr/>
        <w:t>differences</w:t>
      </w:r>
      <w:r>
        <w:rPr>
          <w:spacing w:val="-8"/>
        </w:rPr>
        <w:t> </w:t>
      </w:r>
      <w:r>
        <w:rPr/>
        <w:t>by</w:t>
      </w:r>
      <w:r>
        <w:rPr>
          <w:spacing w:val="-8"/>
        </w:rPr>
        <w:t> </w:t>
      </w:r>
      <w:r>
        <w:rPr/>
        <w:t>case</w:t>
      </w:r>
      <w:r>
        <w:rPr>
          <w:spacing w:val="-7"/>
        </w:rPr>
        <w:t> </w:t>
      </w:r>
      <w:r>
        <w:rPr/>
        <w:t>track.</w:t>
      </w:r>
      <w:r>
        <w:rPr>
          <w:spacing w:val="-8"/>
        </w:rPr>
        <w:t> </w:t>
      </w:r>
      <w:r>
        <w:rPr/>
        <w:t>This</w:t>
      </w:r>
      <w:r>
        <w:rPr>
          <w:spacing w:val="-8"/>
        </w:rPr>
        <w:t> </w:t>
      </w:r>
      <w:r>
        <w:rPr/>
        <w:t>is</w:t>
      </w:r>
      <w:r>
        <w:rPr>
          <w:spacing w:val="-7"/>
        </w:rPr>
        <w:t> </w:t>
      </w:r>
      <w:r>
        <w:rPr/>
        <w:t>consistent</w:t>
      </w:r>
      <w:r>
        <w:rPr>
          <w:spacing w:val="-8"/>
        </w:rPr>
        <w:t> </w:t>
      </w:r>
      <w:r>
        <w:rPr/>
        <w:t>with</w:t>
      </w:r>
      <w:r>
        <w:rPr>
          <w:spacing w:val="-8"/>
        </w:rPr>
        <w:t> </w:t>
      </w:r>
      <w:r>
        <w:rPr/>
        <w:t>the</w:t>
      </w:r>
      <w:r>
        <w:rPr>
          <w:spacing w:val="-9"/>
        </w:rPr>
        <w:t> </w:t>
      </w:r>
      <w:r>
        <w:rPr/>
        <w:t>findings</w:t>
      </w:r>
      <w:r>
        <w:rPr>
          <w:spacing w:val="-8"/>
        </w:rPr>
        <w:t> </w:t>
      </w:r>
      <w:r>
        <w:rPr/>
        <w:t>from</w:t>
      </w:r>
      <w:r>
        <w:rPr>
          <w:spacing w:val="-7"/>
        </w:rPr>
        <w:t> </w:t>
      </w:r>
      <w:r>
        <w:rPr/>
        <w:t>the</w:t>
      </w:r>
      <w:r>
        <w:rPr>
          <w:spacing w:val="-9"/>
        </w:rPr>
        <w:t> </w:t>
      </w:r>
      <w:r>
        <w:rPr/>
        <w:t>2015</w:t>
      </w:r>
      <w:r>
        <w:rPr>
          <w:spacing w:val="-7"/>
        </w:rPr>
        <w:t> </w:t>
      </w:r>
      <w:r>
        <w:rPr/>
        <w:t>survey when</w:t>
      </w:r>
      <w:r>
        <w:rPr>
          <w:spacing w:val="-5"/>
        </w:rPr>
        <w:t> </w:t>
      </w:r>
      <w:r>
        <w:rPr/>
        <w:t>82</w:t>
      </w:r>
      <w:r>
        <w:rPr>
          <w:spacing w:val="-6"/>
        </w:rPr>
        <w:t> </w:t>
      </w:r>
      <w:r>
        <w:rPr/>
        <w:t>per</w:t>
      </w:r>
      <w:r>
        <w:rPr>
          <w:spacing w:val="-5"/>
        </w:rPr>
        <w:t> </w:t>
      </w:r>
      <w:r>
        <w:rPr/>
        <w:t>cent</w:t>
      </w:r>
      <w:r>
        <w:rPr>
          <w:spacing w:val="-5"/>
        </w:rPr>
        <w:t> </w:t>
      </w:r>
      <w:r>
        <w:rPr/>
        <w:t>of</w:t>
      </w:r>
      <w:r>
        <w:rPr>
          <w:spacing w:val="-4"/>
        </w:rPr>
        <w:t> </w:t>
      </w:r>
      <w:r>
        <w:rPr/>
        <w:t>employer-side</w:t>
      </w:r>
      <w:r>
        <w:rPr>
          <w:spacing w:val="-5"/>
        </w:rPr>
        <w:t> </w:t>
      </w:r>
      <w:r>
        <w:rPr/>
        <w:t>participants</w:t>
      </w:r>
      <w:r>
        <w:rPr>
          <w:spacing w:val="-4"/>
        </w:rPr>
        <w:t> </w:t>
      </w:r>
      <w:r>
        <w:rPr/>
        <w:t>said</w:t>
      </w:r>
      <w:r>
        <w:rPr>
          <w:spacing w:val="-4"/>
        </w:rPr>
        <w:t> </w:t>
      </w:r>
      <w:r>
        <w:rPr/>
        <w:t>they</w:t>
      </w:r>
      <w:r>
        <w:rPr>
          <w:spacing w:val="-5"/>
        </w:rPr>
        <w:t> </w:t>
      </w:r>
      <w:r>
        <w:rPr/>
        <w:t>had</w:t>
      </w:r>
      <w:r>
        <w:rPr>
          <w:spacing w:val="-4"/>
        </w:rPr>
        <w:t> </w:t>
      </w:r>
      <w:r>
        <w:rPr/>
        <w:t>taken</w:t>
      </w:r>
      <w:r>
        <w:rPr>
          <w:spacing w:val="-5"/>
        </w:rPr>
        <w:t> </w:t>
      </w:r>
      <w:r>
        <w:rPr/>
        <w:t>part.</w:t>
      </w:r>
      <w:r>
        <w:rPr>
          <w:spacing w:val="-5"/>
        </w:rPr>
        <w:t> </w:t>
      </w:r>
      <w:r>
        <w:rPr/>
        <w:t>This</w:t>
      </w:r>
      <w:r>
        <w:rPr>
          <w:spacing w:val="-5"/>
        </w:rPr>
        <w:t> </w:t>
      </w:r>
      <w:r>
        <w:rPr/>
        <w:t>also reflects</w:t>
      </w:r>
      <w:r>
        <w:rPr>
          <w:spacing w:val="-11"/>
        </w:rPr>
        <w:t> </w:t>
      </w:r>
      <w:r>
        <w:rPr/>
        <w:t>the</w:t>
      </w:r>
      <w:r>
        <w:rPr>
          <w:spacing w:val="-13"/>
        </w:rPr>
        <w:t> </w:t>
      </w:r>
      <w:r>
        <w:rPr/>
        <w:t>sampling</w:t>
      </w:r>
      <w:r>
        <w:rPr>
          <w:spacing w:val="-11"/>
        </w:rPr>
        <w:t> </w:t>
      </w:r>
      <w:r>
        <w:rPr/>
        <w:t>approach</w:t>
      </w:r>
      <w:r>
        <w:rPr>
          <w:spacing w:val="-11"/>
        </w:rPr>
        <w:t> </w:t>
      </w:r>
      <w:r>
        <w:rPr/>
        <w:t>for</w:t>
      </w:r>
      <w:r>
        <w:rPr>
          <w:spacing w:val="-13"/>
        </w:rPr>
        <w:t> </w:t>
      </w:r>
      <w:r>
        <w:rPr/>
        <w:t>the</w:t>
      </w:r>
      <w:r>
        <w:rPr>
          <w:spacing w:val="-12"/>
        </w:rPr>
        <w:t> </w:t>
      </w:r>
      <w:r>
        <w:rPr/>
        <w:t>study:</w:t>
      </w:r>
      <w:r>
        <w:rPr>
          <w:spacing w:val="-11"/>
        </w:rPr>
        <w:t> </w:t>
      </w:r>
      <w:r>
        <w:rPr/>
        <w:t>employers</w:t>
      </w:r>
      <w:r>
        <w:rPr>
          <w:spacing w:val="-11"/>
        </w:rPr>
        <w:t> </w:t>
      </w:r>
      <w:r>
        <w:rPr/>
        <w:t>were</w:t>
      </w:r>
      <w:r>
        <w:rPr>
          <w:spacing w:val="-12"/>
        </w:rPr>
        <w:t> </w:t>
      </w:r>
      <w:r>
        <w:rPr/>
        <w:t>only</w:t>
      </w:r>
      <w:r>
        <w:rPr>
          <w:spacing w:val="-11"/>
        </w:rPr>
        <w:t> </w:t>
      </w:r>
      <w:r>
        <w:rPr/>
        <w:t>surveyed</w:t>
      </w:r>
      <w:r>
        <w:rPr>
          <w:spacing w:val="-11"/>
        </w:rPr>
        <w:t> </w:t>
      </w:r>
      <w:r>
        <w:rPr/>
        <w:t>if</w:t>
      </w:r>
      <w:r>
        <w:rPr>
          <w:spacing w:val="-11"/>
        </w:rPr>
        <w:t> </w:t>
      </w:r>
      <w:r>
        <w:rPr/>
        <w:t>they had been party to a case where the claimant had agreed to conciliation.</w:t>
      </w:r>
    </w:p>
    <w:p>
      <w:pPr>
        <w:pStyle w:val="BodyText"/>
      </w:pPr>
    </w:p>
    <w:p>
      <w:pPr>
        <w:pStyle w:val="Heading4"/>
        <w:numPr>
          <w:ilvl w:val="2"/>
          <w:numId w:val="16"/>
        </w:numPr>
        <w:tabs>
          <w:tab w:pos="2058" w:val="left" w:leader="none"/>
        </w:tabs>
        <w:spacing w:line="240" w:lineRule="auto" w:before="1" w:after="0"/>
        <w:ind w:left="2057" w:right="0" w:hanging="721"/>
        <w:jc w:val="both"/>
        <w:rPr>
          <w:i/>
        </w:rPr>
      </w:pPr>
      <w:bookmarkStart w:name="8.4.2 Profile of employers who took part" w:id="67"/>
      <w:bookmarkEnd w:id="67"/>
      <w:r>
        <w:rPr>
          <w:i/>
        </w:rPr>
        <w:t>Pro</w:t>
      </w:r>
      <w:r>
        <w:rPr>
          <w:i/>
        </w:rPr>
        <w:t>file</w:t>
      </w:r>
      <w:r>
        <w:rPr>
          <w:i/>
          <w:spacing w:val="-5"/>
        </w:rPr>
        <w:t> </w:t>
      </w:r>
      <w:r>
        <w:rPr>
          <w:i/>
        </w:rPr>
        <w:t>of</w:t>
      </w:r>
      <w:r>
        <w:rPr>
          <w:i/>
          <w:spacing w:val="-4"/>
        </w:rPr>
        <w:t> </w:t>
      </w:r>
      <w:r>
        <w:rPr>
          <w:i/>
        </w:rPr>
        <w:t>employers</w:t>
      </w:r>
      <w:r>
        <w:rPr>
          <w:i/>
          <w:spacing w:val="-4"/>
        </w:rPr>
        <w:t> </w:t>
      </w:r>
      <w:r>
        <w:rPr>
          <w:i/>
        </w:rPr>
        <w:t>who</w:t>
      </w:r>
      <w:r>
        <w:rPr>
          <w:i/>
          <w:spacing w:val="-4"/>
        </w:rPr>
        <w:t> </w:t>
      </w:r>
      <w:r>
        <w:rPr>
          <w:i/>
        </w:rPr>
        <w:t>took</w:t>
      </w:r>
      <w:r>
        <w:rPr>
          <w:i/>
          <w:spacing w:val="-4"/>
        </w:rPr>
        <w:t> </w:t>
      </w:r>
      <w:r>
        <w:rPr>
          <w:i/>
        </w:rPr>
        <w:t>part</w:t>
      </w:r>
      <w:r>
        <w:rPr>
          <w:i/>
          <w:spacing w:val="-4"/>
        </w:rPr>
        <w:t> </w:t>
      </w:r>
      <w:r>
        <w:rPr>
          <w:i/>
        </w:rPr>
        <w:t>in</w:t>
      </w:r>
      <w:r>
        <w:rPr>
          <w:i/>
          <w:spacing w:val="-2"/>
        </w:rPr>
        <w:t> </w:t>
      </w:r>
      <w:r>
        <w:rPr>
          <w:i/>
          <w:spacing w:val="-5"/>
        </w:rPr>
        <w:t>EC</w:t>
      </w:r>
    </w:p>
    <w:p>
      <w:pPr>
        <w:pStyle w:val="BodyText"/>
        <w:spacing w:before="59"/>
        <w:ind w:left="1337" w:right="1473"/>
        <w:jc w:val="both"/>
      </w:pPr>
      <w:r>
        <w:rPr/>
        <w:t>The profiles of employers who took part in EC and those who did not were largely aligned, as in 2015. Employers with more than a single workplace in the UK were significantly more likely to take part in EC, but there were no differences by organisation size or whether they had an HR or legal department.</w:t>
      </w:r>
    </w:p>
    <w:p>
      <w:pPr>
        <w:pStyle w:val="BodyText"/>
        <w:rPr>
          <w:sz w:val="22"/>
        </w:rPr>
      </w:pPr>
    </w:p>
    <w:p>
      <w:pPr>
        <w:pStyle w:val="Heading4"/>
        <w:numPr>
          <w:ilvl w:val="2"/>
          <w:numId w:val="16"/>
        </w:numPr>
        <w:tabs>
          <w:tab w:pos="2058" w:val="left" w:leader="none"/>
        </w:tabs>
        <w:spacing w:line="240" w:lineRule="auto" w:before="1" w:after="0"/>
        <w:ind w:left="2057" w:right="0" w:hanging="721"/>
        <w:jc w:val="both"/>
        <w:rPr>
          <w:i/>
        </w:rPr>
      </w:pPr>
      <w:bookmarkStart w:name="8.4.3 Reasons for not taking part" w:id="68"/>
      <w:bookmarkEnd w:id="68"/>
      <w:r>
        <w:rPr>
          <w:i/>
        </w:rPr>
        <w:t>R</w:t>
      </w:r>
      <w:r>
        <w:rPr>
          <w:i/>
        </w:rPr>
        <w:t>easons</w:t>
      </w:r>
      <w:r>
        <w:rPr>
          <w:i/>
          <w:spacing w:val="-5"/>
        </w:rPr>
        <w:t> </w:t>
      </w:r>
      <w:r>
        <w:rPr>
          <w:i/>
        </w:rPr>
        <w:t>for</w:t>
      </w:r>
      <w:r>
        <w:rPr>
          <w:i/>
          <w:spacing w:val="-3"/>
        </w:rPr>
        <w:t> </w:t>
      </w:r>
      <w:r>
        <w:rPr>
          <w:i/>
        </w:rPr>
        <w:t>not</w:t>
      </w:r>
      <w:r>
        <w:rPr>
          <w:i/>
          <w:spacing w:val="-4"/>
        </w:rPr>
        <w:t> </w:t>
      </w:r>
      <w:r>
        <w:rPr>
          <w:i/>
        </w:rPr>
        <w:t>taking</w:t>
      </w:r>
      <w:r>
        <w:rPr>
          <w:i/>
          <w:spacing w:val="-2"/>
        </w:rPr>
        <w:t> </w:t>
      </w:r>
      <w:r>
        <w:rPr>
          <w:i/>
          <w:spacing w:val="-4"/>
        </w:rPr>
        <w:t>part</w:t>
      </w:r>
    </w:p>
    <w:p>
      <w:pPr>
        <w:pStyle w:val="BodyText"/>
        <w:spacing w:before="59"/>
        <w:ind w:left="1337" w:right="1474"/>
        <w:jc w:val="both"/>
      </w:pPr>
      <w:r>
        <w:rPr/>
        <w:t>Those employer-side participants who decided not to take part in EC were asked why they made this decision.</w:t>
      </w:r>
    </w:p>
    <w:p>
      <w:pPr>
        <w:pStyle w:val="BodyText"/>
      </w:pPr>
    </w:p>
    <w:p>
      <w:pPr>
        <w:pStyle w:val="BodyText"/>
        <w:spacing w:before="1"/>
        <w:ind w:left="1337" w:right="1472"/>
        <w:jc w:val="both"/>
      </w:pPr>
      <w:r>
        <w:rPr/>
        <w:t>Six</w:t>
      </w:r>
      <w:r>
        <w:rPr>
          <w:spacing w:val="-9"/>
        </w:rPr>
        <w:t> </w:t>
      </w:r>
      <w:r>
        <w:rPr/>
        <w:t>in</w:t>
      </w:r>
      <w:r>
        <w:rPr>
          <w:spacing w:val="-9"/>
        </w:rPr>
        <w:t> </w:t>
      </w:r>
      <w:r>
        <w:rPr/>
        <w:t>ten</w:t>
      </w:r>
      <w:r>
        <w:rPr>
          <w:spacing w:val="-9"/>
        </w:rPr>
        <w:t> </w:t>
      </w:r>
      <w:r>
        <w:rPr/>
        <w:t>(64</w:t>
      </w:r>
      <w:r>
        <w:rPr>
          <w:spacing w:val="-9"/>
        </w:rPr>
        <w:t> </w:t>
      </w:r>
      <w:r>
        <w:rPr/>
        <w:t>per</w:t>
      </w:r>
      <w:r>
        <w:rPr>
          <w:spacing w:val="-10"/>
        </w:rPr>
        <w:t> </w:t>
      </w:r>
      <w:r>
        <w:rPr/>
        <w:t>cent)</w:t>
      </w:r>
      <w:r>
        <w:rPr>
          <w:spacing w:val="-10"/>
        </w:rPr>
        <w:t> </w:t>
      </w:r>
      <w:r>
        <w:rPr/>
        <w:t>stated</w:t>
      </w:r>
      <w:r>
        <w:rPr>
          <w:spacing w:val="-9"/>
        </w:rPr>
        <w:t> </w:t>
      </w:r>
      <w:r>
        <w:rPr/>
        <w:t>it</w:t>
      </w:r>
      <w:r>
        <w:rPr>
          <w:spacing w:val="-9"/>
        </w:rPr>
        <w:t> </w:t>
      </w:r>
      <w:r>
        <w:rPr/>
        <w:t>was</w:t>
      </w:r>
      <w:r>
        <w:rPr>
          <w:spacing w:val="-9"/>
        </w:rPr>
        <w:t> </w:t>
      </w:r>
      <w:r>
        <w:rPr/>
        <w:t>because</w:t>
      </w:r>
      <w:r>
        <w:rPr>
          <w:spacing w:val="-10"/>
        </w:rPr>
        <w:t> </w:t>
      </w:r>
      <w:r>
        <w:rPr/>
        <w:t>the</w:t>
      </w:r>
      <w:r>
        <w:rPr>
          <w:spacing w:val="-10"/>
        </w:rPr>
        <w:t> </w:t>
      </w:r>
      <w:r>
        <w:rPr/>
        <w:t>organisation</w:t>
      </w:r>
      <w:r>
        <w:rPr>
          <w:spacing w:val="-9"/>
        </w:rPr>
        <w:t> </w:t>
      </w:r>
      <w:r>
        <w:rPr/>
        <w:t>‘felt</w:t>
      </w:r>
      <w:r>
        <w:rPr>
          <w:spacing w:val="-9"/>
        </w:rPr>
        <w:t> </w:t>
      </w:r>
      <w:r>
        <w:rPr/>
        <w:t>(it)</w:t>
      </w:r>
      <w:r>
        <w:rPr>
          <w:spacing w:val="-10"/>
        </w:rPr>
        <w:t> </w:t>
      </w:r>
      <w:r>
        <w:rPr/>
        <w:t>had</w:t>
      </w:r>
      <w:r>
        <w:rPr>
          <w:spacing w:val="-9"/>
        </w:rPr>
        <w:t> </w:t>
      </w:r>
      <w:r>
        <w:rPr/>
        <w:t>no</w:t>
      </w:r>
      <w:r>
        <w:rPr>
          <w:spacing w:val="-11"/>
        </w:rPr>
        <w:t> </w:t>
      </w:r>
      <w:r>
        <w:rPr/>
        <w:t>case to</w:t>
      </w:r>
      <w:r>
        <w:rPr>
          <w:spacing w:val="-4"/>
        </w:rPr>
        <w:t> </w:t>
      </w:r>
      <w:r>
        <w:rPr/>
        <w:t>answer</w:t>
      </w:r>
      <w:r>
        <w:rPr>
          <w:spacing w:val="-5"/>
        </w:rPr>
        <w:t> </w:t>
      </w:r>
      <w:r>
        <w:rPr/>
        <w:t>to’.</w:t>
      </w:r>
      <w:r>
        <w:rPr>
          <w:spacing w:val="-4"/>
        </w:rPr>
        <w:t> </w:t>
      </w:r>
      <w:r>
        <w:rPr/>
        <w:t>This</w:t>
      </w:r>
      <w:r>
        <w:rPr>
          <w:spacing w:val="-4"/>
        </w:rPr>
        <w:t> </w:t>
      </w:r>
      <w:r>
        <w:rPr/>
        <w:t>was</w:t>
      </w:r>
      <w:r>
        <w:rPr>
          <w:spacing w:val="-4"/>
        </w:rPr>
        <w:t> </w:t>
      </w:r>
      <w:r>
        <w:rPr/>
        <w:t>followed</w:t>
      </w:r>
      <w:r>
        <w:rPr>
          <w:spacing w:val="-3"/>
        </w:rPr>
        <w:t> </w:t>
      </w:r>
      <w:r>
        <w:rPr/>
        <w:t>by</w:t>
      </w:r>
      <w:r>
        <w:rPr>
          <w:spacing w:val="-4"/>
        </w:rPr>
        <w:t> </w:t>
      </w:r>
      <w:r>
        <w:rPr/>
        <w:t>‘was</w:t>
      </w:r>
      <w:r>
        <w:rPr>
          <w:spacing w:val="-4"/>
        </w:rPr>
        <w:t> </w:t>
      </w:r>
      <w:r>
        <w:rPr/>
        <w:t>not</w:t>
      </w:r>
      <w:r>
        <w:rPr>
          <w:spacing w:val="-4"/>
        </w:rPr>
        <w:t> </w:t>
      </w:r>
      <w:r>
        <w:rPr/>
        <w:t>willing</w:t>
      </w:r>
      <w:r>
        <w:rPr>
          <w:spacing w:val="-3"/>
        </w:rPr>
        <w:t> </w:t>
      </w:r>
      <w:r>
        <w:rPr/>
        <w:t>to</w:t>
      </w:r>
      <w:r>
        <w:rPr>
          <w:spacing w:val="-5"/>
        </w:rPr>
        <w:t> </w:t>
      </w:r>
      <w:r>
        <w:rPr/>
        <w:t>negotiate’</w:t>
      </w:r>
      <w:r>
        <w:rPr>
          <w:spacing w:val="-3"/>
        </w:rPr>
        <w:t> </w:t>
      </w:r>
      <w:r>
        <w:rPr/>
        <w:t>(17</w:t>
      </w:r>
      <w:r>
        <w:rPr>
          <w:spacing w:val="-6"/>
        </w:rPr>
        <w:t> </w:t>
      </w:r>
      <w:r>
        <w:rPr/>
        <w:t>per</w:t>
      </w:r>
      <w:r>
        <w:rPr>
          <w:spacing w:val="-4"/>
        </w:rPr>
        <w:t> </w:t>
      </w:r>
      <w:r>
        <w:rPr/>
        <w:t>cent)</w:t>
      </w:r>
      <w:r>
        <w:rPr>
          <w:spacing w:val="-3"/>
        </w:rPr>
        <w:t> </w:t>
      </w:r>
      <w:r>
        <w:rPr/>
        <w:t>and ‘felt</w:t>
      </w:r>
      <w:r>
        <w:rPr>
          <w:spacing w:val="-10"/>
        </w:rPr>
        <w:t> </w:t>
      </w:r>
      <w:r>
        <w:rPr/>
        <w:t>that</w:t>
      </w:r>
      <w:r>
        <w:rPr>
          <w:spacing w:val="-10"/>
        </w:rPr>
        <w:t> </w:t>
      </w:r>
      <w:r>
        <w:rPr/>
        <w:t>conciliation</w:t>
      </w:r>
      <w:r>
        <w:rPr>
          <w:spacing w:val="-10"/>
        </w:rPr>
        <w:t> </w:t>
      </w:r>
      <w:r>
        <w:rPr/>
        <w:t>would</w:t>
      </w:r>
      <w:r>
        <w:rPr>
          <w:spacing w:val="-10"/>
        </w:rPr>
        <w:t> </w:t>
      </w:r>
      <w:r>
        <w:rPr/>
        <w:t>not</w:t>
      </w:r>
      <w:r>
        <w:rPr>
          <w:spacing w:val="-10"/>
        </w:rPr>
        <w:t> </w:t>
      </w:r>
      <w:r>
        <w:rPr/>
        <w:t>resolve</w:t>
      </w:r>
      <w:r>
        <w:rPr>
          <w:spacing w:val="-11"/>
        </w:rPr>
        <w:t> </w:t>
      </w:r>
      <w:r>
        <w:rPr/>
        <w:t>the</w:t>
      </w:r>
      <w:r>
        <w:rPr>
          <w:spacing w:val="-11"/>
        </w:rPr>
        <w:t> </w:t>
      </w:r>
      <w:r>
        <w:rPr/>
        <w:t>issue/</w:t>
      </w:r>
      <w:r>
        <w:rPr>
          <w:spacing w:val="-10"/>
        </w:rPr>
        <w:t> </w:t>
      </w:r>
      <w:r>
        <w:rPr/>
        <w:t>would</w:t>
      </w:r>
      <w:r>
        <w:rPr>
          <w:spacing w:val="-10"/>
        </w:rPr>
        <w:t> </w:t>
      </w:r>
      <w:r>
        <w:rPr/>
        <w:t>be</w:t>
      </w:r>
      <w:r>
        <w:rPr>
          <w:spacing w:val="-11"/>
        </w:rPr>
        <w:t> </w:t>
      </w:r>
      <w:r>
        <w:rPr/>
        <w:t>a</w:t>
      </w:r>
      <w:r>
        <w:rPr>
          <w:spacing w:val="-11"/>
        </w:rPr>
        <w:t> </w:t>
      </w:r>
      <w:r>
        <w:rPr/>
        <w:t>waste</w:t>
      </w:r>
      <w:r>
        <w:rPr>
          <w:spacing w:val="-11"/>
        </w:rPr>
        <w:t> </w:t>
      </w:r>
      <w:r>
        <w:rPr/>
        <w:t>of</w:t>
      </w:r>
      <w:r>
        <w:rPr>
          <w:spacing w:val="-11"/>
        </w:rPr>
        <w:t> </w:t>
      </w:r>
      <w:r>
        <w:rPr/>
        <w:t>time’</w:t>
      </w:r>
      <w:r>
        <w:rPr>
          <w:spacing w:val="-10"/>
        </w:rPr>
        <w:t> </w:t>
      </w:r>
      <w:r>
        <w:rPr/>
        <w:t>(13</w:t>
      </w:r>
      <w:r>
        <w:rPr>
          <w:spacing w:val="-11"/>
        </w:rPr>
        <w:t> </w:t>
      </w:r>
      <w:r>
        <w:rPr/>
        <w:t>per cent).</w:t>
      </w:r>
      <w:r>
        <w:rPr>
          <w:spacing w:val="-15"/>
        </w:rPr>
        <w:t> </w:t>
      </w:r>
      <w:r>
        <w:rPr/>
        <w:t>These</w:t>
      </w:r>
      <w:r>
        <w:rPr>
          <w:spacing w:val="-15"/>
        </w:rPr>
        <w:t> </w:t>
      </w:r>
      <w:r>
        <w:rPr/>
        <w:t>findings</w:t>
      </w:r>
      <w:r>
        <w:rPr>
          <w:spacing w:val="-14"/>
        </w:rPr>
        <w:t> </w:t>
      </w:r>
      <w:r>
        <w:rPr/>
        <w:t>are</w:t>
      </w:r>
      <w:r>
        <w:rPr>
          <w:spacing w:val="-15"/>
        </w:rPr>
        <w:t> </w:t>
      </w:r>
      <w:r>
        <w:rPr/>
        <w:t>consistent</w:t>
      </w:r>
      <w:r>
        <w:rPr>
          <w:spacing w:val="-14"/>
        </w:rPr>
        <w:t> </w:t>
      </w:r>
      <w:r>
        <w:rPr/>
        <w:t>with</w:t>
      </w:r>
      <w:r>
        <w:rPr>
          <w:spacing w:val="-14"/>
        </w:rPr>
        <w:t> </w:t>
      </w:r>
      <w:r>
        <w:rPr/>
        <w:t>those</w:t>
      </w:r>
      <w:r>
        <w:rPr>
          <w:spacing w:val="-16"/>
        </w:rPr>
        <w:t> </w:t>
      </w:r>
      <w:r>
        <w:rPr/>
        <w:t>in</w:t>
      </w:r>
      <w:r>
        <w:rPr>
          <w:spacing w:val="-14"/>
        </w:rPr>
        <w:t> </w:t>
      </w:r>
      <w:r>
        <w:rPr/>
        <w:t>2015,</w:t>
      </w:r>
      <w:r>
        <w:rPr>
          <w:spacing w:val="-14"/>
        </w:rPr>
        <w:t> </w:t>
      </w:r>
      <w:r>
        <w:rPr/>
        <w:t>when</w:t>
      </w:r>
      <w:r>
        <w:rPr>
          <w:spacing w:val="-14"/>
        </w:rPr>
        <w:t> </w:t>
      </w:r>
      <w:r>
        <w:rPr/>
        <w:t>the</w:t>
      </w:r>
      <w:r>
        <w:rPr>
          <w:spacing w:val="-15"/>
        </w:rPr>
        <w:t> </w:t>
      </w:r>
      <w:r>
        <w:rPr/>
        <w:t>top</w:t>
      </w:r>
      <w:r>
        <w:rPr>
          <w:spacing w:val="-15"/>
        </w:rPr>
        <w:t> </w:t>
      </w:r>
      <w:r>
        <w:rPr/>
        <w:t>three</w:t>
      </w:r>
      <w:r>
        <w:rPr>
          <w:spacing w:val="-15"/>
        </w:rPr>
        <w:t> </w:t>
      </w:r>
      <w:r>
        <w:rPr/>
        <w:t>reasons cited</w:t>
      </w:r>
      <w:r>
        <w:rPr>
          <w:spacing w:val="-4"/>
        </w:rPr>
        <w:t> </w:t>
      </w:r>
      <w:r>
        <w:rPr/>
        <w:t>were</w:t>
      </w:r>
      <w:r>
        <w:rPr>
          <w:spacing w:val="-5"/>
        </w:rPr>
        <w:t> </w:t>
      </w:r>
      <w:r>
        <w:rPr/>
        <w:t>the</w:t>
      </w:r>
      <w:r>
        <w:rPr>
          <w:spacing w:val="-5"/>
        </w:rPr>
        <w:t> </w:t>
      </w:r>
      <w:r>
        <w:rPr/>
        <w:t>same.</w:t>
      </w:r>
      <w:r>
        <w:rPr>
          <w:spacing w:val="-4"/>
        </w:rPr>
        <w:t> </w:t>
      </w:r>
      <w:r>
        <w:rPr/>
        <w:t>Employer-side</w:t>
      </w:r>
      <w:r>
        <w:rPr>
          <w:spacing w:val="-5"/>
        </w:rPr>
        <w:t> </w:t>
      </w:r>
      <w:r>
        <w:rPr/>
        <w:t>participants</w:t>
      </w:r>
      <w:r>
        <w:rPr>
          <w:spacing w:val="-4"/>
        </w:rPr>
        <w:t> </w:t>
      </w:r>
      <w:r>
        <w:rPr/>
        <w:t>from</w:t>
      </w:r>
      <w:r>
        <w:rPr>
          <w:spacing w:val="-5"/>
        </w:rPr>
        <w:t> </w:t>
      </w:r>
      <w:r>
        <w:rPr/>
        <w:t>open</w:t>
      </w:r>
      <w:r>
        <w:rPr>
          <w:spacing w:val="-4"/>
        </w:rPr>
        <w:t> </w:t>
      </w:r>
      <w:r>
        <w:rPr/>
        <w:t>track</w:t>
      </w:r>
      <w:r>
        <w:rPr>
          <w:spacing w:val="-5"/>
        </w:rPr>
        <w:t> </w:t>
      </w:r>
      <w:r>
        <w:rPr/>
        <w:t>cases</w:t>
      </w:r>
      <w:r>
        <w:rPr>
          <w:spacing w:val="-4"/>
        </w:rPr>
        <w:t> </w:t>
      </w:r>
      <w:r>
        <w:rPr/>
        <w:t>were</w:t>
      </w:r>
      <w:r>
        <w:rPr>
          <w:spacing w:val="-5"/>
        </w:rPr>
        <w:t> </w:t>
      </w:r>
      <w:r>
        <w:rPr/>
        <w:t>more likely</w:t>
      </w:r>
      <w:r>
        <w:rPr>
          <w:spacing w:val="-15"/>
        </w:rPr>
        <w:t> </w:t>
      </w:r>
      <w:r>
        <w:rPr/>
        <w:t>than</w:t>
      </w:r>
      <w:r>
        <w:rPr>
          <w:spacing w:val="-15"/>
        </w:rPr>
        <w:t> </w:t>
      </w:r>
      <w:r>
        <w:rPr/>
        <w:t>others</w:t>
      </w:r>
      <w:r>
        <w:rPr>
          <w:spacing w:val="-15"/>
        </w:rPr>
        <w:t> </w:t>
      </w:r>
      <w:r>
        <w:rPr/>
        <w:t>to</w:t>
      </w:r>
      <w:r>
        <w:rPr>
          <w:spacing w:val="-16"/>
        </w:rPr>
        <w:t> </w:t>
      </w:r>
      <w:r>
        <w:rPr/>
        <w:t>say</w:t>
      </w:r>
      <w:r>
        <w:rPr>
          <w:spacing w:val="-16"/>
        </w:rPr>
        <w:t> </w:t>
      </w:r>
      <w:r>
        <w:rPr/>
        <w:t>they</w:t>
      </w:r>
      <w:r>
        <w:rPr>
          <w:spacing w:val="-15"/>
        </w:rPr>
        <w:t> </w:t>
      </w:r>
      <w:r>
        <w:rPr/>
        <w:t>had</w:t>
      </w:r>
      <w:r>
        <w:rPr>
          <w:spacing w:val="-16"/>
        </w:rPr>
        <w:t> </w:t>
      </w:r>
      <w:r>
        <w:rPr/>
        <w:t>no</w:t>
      </w:r>
      <w:r>
        <w:rPr>
          <w:spacing w:val="-16"/>
        </w:rPr>
        <w:t> </w:t>
      </w:r>
      <w:r>
        <w:rPr/>
        <w:t>case</w:t>
      </w:r>
      <w:r>
        <w:rPr>
          <w:spacing w:val="-16"/>
        </w:rPr>
        <w:t> </w:t>
      </w:r>
      <w:r>
        <w:rPr/>
        <w:t>to</w:t>
      </w:r>
      <w:r>
        <w:rPr>
          <w:spacing w:val="-16"/>
        </w:rPr>
        <w:t> </w:t>
      </w:r>
      <w:r>
        <w:rPr/>
        <w:t>answer,</w:t>
      </w:r>
      <w:r>
        <w:rPr>
          <w:spacing w:val="-15"/>
        </w:rPr>
        <w:t> </w:t>
      </w:r>
      <w:r>
        <w:rPr/>
        <w:t>as</w:t>
      </w:r>
      <w:r>
        <w:rPr>
          <w:spacing w:val="-15"/>
        </w:rPr>
        <w:t> </w:t>
      </w:r>
      <w:r>
        <w:rPr/>
        <w:t>were</w:t>
      </w:r>
      <w:r>
        <w:rPr>
          <w:spacing w:val="-16"/>
        </w:rPr>
        <w:t> </w:t>
      </w:r>
      <w:r>
        <w:rPr/>
        <w:t>employers</w:t>
      </w:r>
      <w:r>
        <w:rPr>
          <w:spacing w:val="-15"/>
        </w:rPr>
        <w:t> </w:t>
      </w:r>
      <w:r>
        <w:rPr/>
        <w:t>more</w:t>
      </w:r>
      <w:r>
        <w:rPr>
          <w:spacing w:val="-16"/>
        </w:rPr>
        <w:t> </w:t>
      </w:r>
      <w:r>
        <w:rPr/>
        <w:t>likely to say this than their representatives.</w:t>
      </w:r>
    </w:p>
    <w:p>
      <w:pPr>
        <w:pStyle w:val="BodyText"/>
        <w:spacing w:before="1"/>
      </w:pPr>
    </w:p>
    <w:p>
      <w:pPr>
        <w:pStyle w:val="Heading4"/>
        <w:numPr>
          <w:ilvl w:val="2"/>
          <w:numId w:val="16"/>
        </w:numPr>
        <w:tabs>
          <w:tab w:pos="2058" w:val="left" w:leader="none"/>
        </w:tabs>
        <w:spacing w:line="240" w:lineRule="auto" w:before="0" w:after="0"/>
        <w:ind w:left="2057" w:right="0" w:hanging="721"/>
        <w:jc w:val="both"/>
        <w:rPr>
          <w:i/>
        </w:rPr>
      </w:pPr>
      <w:bookmarkStart w:name="8.4.4 Decision making around taking part" w:id="69"/>
      <w:bookmarkEnd w:id="69"/>
      <w:r>
        <w:rPr>
          <w:i/>
        </w:rPr>
        <w:t>De</w:t>
      </w:r>
      <w:r>
        <w:rPr>
          <w:i/>
        </w:rPr>
        <w:t>cision</w:t>
      </w:r>
      <w:r>
        <w:rPr>
          <w:i/>
          <w:spacing w:val="-6"/>
        </w:rPr>
        <w:t> </w:t>
      </w:r>
      <w:r>
        <w:rPr>
          <w:i/>
        </w:rPr>
        <w:t>making</w:t>
      </w:r>
      <w:r>
        <w:rPr>
          <w:i/>
          <w:spacing w:val="-5"/>
        </w:rPr>
        <w:t> </w:t>
      </w:r>
      <w:r>
        <w:rPr>
          <w:i/>
        </w:rPr>
        <w:t>around</w:t>
      </w:r>
      <w:r>
        <w:rPr>
          <w:i/>
          <w:spacing w:val="-4"/>
        </w:rPr>
        <w:t> </w:t>
      </w:r>
      <w:r>
        <w:rPr>
          <w:i/>
        </w:rPr>
        <w:t>taking</w:t>
      </w:r>
      <w:r>
        <w:rPr>
          <w:i/>
          <w:spacing w:val="-4"/>
        </w:rPr>
        <w:t> part</w:t>
      </w:r>
    </w:p>
    <w:p>
      <w:pPr>
        <w:pStyle w:val="BodyText"/>
        <w:spacing w:before="59"/>
        <w:ind w:left="1337" w:right="1473"/>
        <w:jc w:val="both"/>
      </w:pPr>
      <w:r>
        <w:rPr/>
        <w:t>The top two reasons cited by employers for agreeing to participate in EC were ‘to reach a resolution’ (37 per cent) and ‘to avoid an employment tribunal’ (18 per cent).</w:t>
      </w:r>
      <w:r>
        <w:rPr>
          <w:spacing w:val="-2"/>
        </w:rPr>
        <w:t> </w:t>
      </w:r>
      <w:r>
        <w:rPr/>
        <w:t>The</w:t>
      </w:r>
      <w:r>
        <w:rPr>
          <w:spacing w:val="-1"/>
        </w:rPr>
        <w:t> </w:t>
      </w:r>
      <w:r>
        <w:rPr/>
        <w:t>third</w:t>
      </w:r>
      <w:r>
        <w:rPr>
          <w:spacing w:val="-1"/>
        </w:rPr>
        <w:t> </w:t>
      </w:r>
      <w:r>
        <w:rPr/>
        <w:t>most</w:t>
      </w:r>
      <w:r>
        <w:rPr>
          <w:spacing w:val="-1"/>
        </w:rPr>
        <w:t> </w:t>
      </w:r>
      <w:r>
        <w:rPr/>
        <w:t>popular</w:t>
      </w:r>
      <w:r>
        <w:rPr>
          <w:spacing w:val="-1"/>
        </w:rPr>
        <w:t> </w:t>
      </w:r>
      <w:r>
        <w:rPr/>
        <w:t>reasons</w:t>
      </w:r>
      <w:r>
        <w:rPr>
          <w:spacing w:val="-2"/>
        </w:rPr>
        <w:t> </w:t>
      </w:r>
      <w:r>
        <w:rPr/>
        <w:t>were</w:t>
      </w:r>
      <w:r>
        <w:rPr>
          <w:spacing w:val="-1"/>
        </w:rPr>
        <w:t> </w:t>
      </w:r>
      <w:r>
        <w:rPr/>
        <w:t>‘because</w:t>
      </w:r>
      <w:r>
        <w:rPr>
          <w:spacing w:val="-1"/>
        </w:rPr>
        <w:t> </w:t>
      </w:r>
      <w:r>
        <w:rPr/>
        <w:t>we/I</w:t>
      </w:r>
      <w:r>
        <w:rPr>
          <w:spacing w:val="-2"/>
        </w:rPr>
        <w:t> </w:t>
      </w:r>
      <w:r>
        <w:rPr/>
        <w:t>had</w:t>
      </w:r>
      <w:r>
        <w:rPr>
          <w:spacing w:val="-2"/>
        </w:rPr>
        <w:t> </w:t>
      </w:r>
      <w:r>
        <w:rPr/>
        <w:t>to’,</w:t>
      </w:r>
      <w:r>
        <w:rPr>
          <w:spacing w:val="-2"/>
        </w:rPr>
        <w:t> </w:t>
      </w:r>
      <w:r>
        <w:rPr/>
        <w:t>‘it</w:t>
      </w:r>
      <w:r>
        <w:rPr>
          <w:spacing w:val="-2"/>
        </w:rPr>
        <w:t> </w:t>
      </w:r>
      <w:r>
        <w:rPr/>
        <w:t>was</w:t>
      </w:r>
      <w:r>
        <w:rPr>
          <w:spacing w:val="-2"/>
        </w:rPr>
        <w:t> </w:t>
      </w:r>
      <w:r>
        <w:rPr/>
        <w:t>the</w:t>
      </w:r>
      <w:r>
        <w:rPr>
          <w:spacing w:val="-1"/>
        </w:rPr>
        <w:t> </w:t>
      </w:r>
      <w:r>
        <w:rPr/>
        <w:t>best approach’</w:t>
      </w:r>
      <w:r>
        <w:rPr>
          <w:spacing w:val="-1"/>
        </w:rPr>
        <w:t> </w:t>
      </w:r>
      <w:r>
        <w:rPr/>
        <w:t>and</w:t>
      </w:r>
      <w:r>
        <w:rPr>
          <w:spacing w:val="-1"/>
        </w:rPr>
        <w:t> </w:t>
      </w:r>
      <w:r>
        <w:rPr/>
        <w:t>‘to</w:t>
      </w:r>
      <w:r>
        <w:rPr>
          <w:spacing w:val="-2"/>
        </w:rPr>
        <w:t> </w:t>
      </w:r>
      <w:r>
        <w:rPr/>
        <w:t>help</w:t>
      </w:r>
      <w:r>
        <w:rPr>
          <w:spacing w:val="-1"/>
        </w:rPr>
        <w:t> </w:t>
      </w:r>
      <w:r>
        <w:rPr/>
        <w:t>understand</w:t>
      </w:r>
      <w:r>
        <w:rPr>
          <w:spacing w:val="-2"/>
        </w:rPr>
        <w:t> </w:t>
      </w:r>
      <w:r>
        <w:rPr/>
        <w:t>better’</w:t>
      </w:r>
      <w:r>
        <w:rPr>
          <w:spacing w:val="-1"/>
        </w:rPr>
        <w:t> </w:t>
      </w:r>
      <w:r>
        <w:rPr/>
        <w:t>(all</w:t>
      </w:r>
      <w:r>
        <w:rPr>
          <w:spacing w:val="-1"/>
        </w:rPr>
        <w:t> </w:t>
      </w:r>
      <w:r>
        <w:rPr/>
        <w:t>12</w:t>
      </w:r>
      <w:r>
        <w:rPr>
          <w:spacing w:val="-1"/>
        </w:rPr>
        <w:t> </w:t>
      </w:r>
      <w:r>
        <w:rPr/>
        <w:t>per</w:t>
      </w:r>
      <w:r>
        <w:rPr>
          <w:spacing w:val="-1"/>
        </w:rPr>
        <w:t> </w:t>
      </w:r>
      <w:r>
        <w:rPr/>
        <w:t>cent). There</w:t>
      </w:r>
      <w:r>
        <w:rPr>
          <w:spacing w:val="-1"/>
        </w:rPr>
        <w:t> </w:t>
      </w:r>
      <w:r>
        <w:rPr/>
        <w:t>were</w:t>
      </w:r>
      <w:r>
        <w:rPr>
          <w:spacing w:val="-1"/>
        </w:rPr>
        <w:t> </w:t>
      </w:r>
      <w:r>
        <w:rPr/>
        <w:t>no</w:t>
      </w:r>
      <w:r>
        <w:rPr>
          <w:spacing w:val="-1"/>
        </w:rPr>
        <w:t> </w:t>
      </w:r>
      <w:r>
        <w:rPr/>
        <w:t>notable differences</w:t>
      </w:r>
      <w:r>
        <w:rPr>
          <w:spacing w:val="-18"/>
        </w:rPr>
        <w:t> </w:t>
      </w:r>
      <w:r>
        <w:rPr/>
        <w:t>between</w:t>
      </w:r>
      <w:r>
        <w:rPr>
          <w:spacing w:val="-18"/>
        </w:rPr>
        <w:t> </w:t>
      </w:r>
      <w:r>
        <w:rPr/>
        <w:t>the</w:t>
      </w:r>
      <w:r>
        <w:rPr>
          <w:spacing w:val="-17"/>
        </w:rPr>
        <w:t> </w:t>
      </w:r>
      <w:r>
        <w:rPr/>
        <w:t>reasons</w:t>
      </w:r>
      <w:r>
        <w:rPr>
          <w:spacing w:val="-18"/>
        </w:rPr>
        <w:t> </w:t>
      </w:r>
      <w:r>
        <w:rPr/>
        <w:t>stated</w:t>
      </w:r>
      <w:r>
        <w:rPr>
          <w:spacing w:val="-17"/>
        </w:rPr>
        <w:t> </w:t>
      </w:r>
      <w:r>
        <w:rPr/>
        <w:t>by</w:t>
      </w:r>
      <w:r>
        <w:rPr>
          <w:spacing w:val="-18"/>
        </w:rPr>
        <w:t> </w:t>
      </w:r>
      <w:r>
        <w:rPr/>
        <w:t>employer-side</w:t>
      </w:r>
      <w:r>
        <w:rPr>
          <w:spacing w:val="-18"/>
        </w:rPr>
        <w:t> </w:t>
      </w:r>
      <w:r>
        <w:rPr/>
        <w:t>participants.</w:t>
      </w:r>
      <w:r>
        <w:rPr>
          <w:spacing w:val="-17"/>
        </w:rPr>
        <w:t> </w:t>
      </w:r>
      <w:r>
        <w:rPr/>
        <w:t>These</w:t>
      </w:r>
      <w:r>
        <w:rPr>
          <w:spacing w:val="-18"/>
        </w:rPr>
        <w:t> </w:t>
      </w:r>
      <w:r>
        <w:rPr/>
        <w:t>trends largely follow the findings from the 2015 survey.</w:t>
      </w:r>
    </w:p>
    <w:p>
      <w:pPr>
        <w:pStyle w:val="BodyText"/>
        <w:spacing w:before="1"/>
      </w:pPr>
    </w:p>
    <w:p>
      <w:pPr>
        <w:pStyle w:val="BodyText"/>
        <w:ind w:left="1337" w:right="1472"/>
        <w:jc w:val="both"/>
      </w:pPr>
      <w:r>
        <w:rPr/>
        <w:t>There</w:t>
      </w:r>
      <w:r>
        <w:rPr>
          <w:spacing w:val="-13"/>
        </w:rPr>
        <w:t> </w:t>
      </w:r>
      <w:r>
        <w:rPr/>
        <w:t>were</w:t>
      </w:r>
      <w:r>
        <w:rPr>
          <w:spacing w:val="-14"/>
        </w:rPr>
        <w:t> </w:t>
      </w:r>
      <w:r>
        <w:rPr/>
        <w:t>also</w:t>
      </w:r>
      <w:r>
        <w:rPr>
          <w:spacing w:val="-13"/>
        </w:rPr>
        <w:t> </w:t>
      </w:r>
      <w:r>
        <w:rPr/>
        <w:t>no</w:t>
      </w:r>
      <w:r>
        <w:rPr>
          <w:spacing w:val="-13"/>
        </w:rPr>
        <w:t> </w:t>
      </w:r>
      <w:r>
        <w:rPr/>
        <w:t>significant</w:t>
      </w:r>
      <w:r>
        <w:rPr>
          <w:spacing w:val="-12"/>
        </w:rPr>
        <w:t> </w:t>
      </w:r>
      <w:r>
        <w:rPr/>
        <w:t>differences</w:t>
      </w:r>
      <w:r>
        <w:rPr>
          <w:spacing w:val="-12"/>
        </w:rPr>
        <w:t> </w:t>
      </w:r>
      <w:r>
        <w:rPr/>
        <w:t>between</w:t>
      </w:r>
      <w:r>
        <w:rPr>
          <w:spacing w:val="-12"/>
        </w:rPr>
        <w:t> </w:t>
      </w:r>
      <w:r>
        <w:rPr/>
        <w:t>employer-side</w:t>
      </w:r>
      <w:r>
        <w:rPr>
          <w:spacing w:val="-13"/>
        </w:rPr>
        <w:t> </w:t>
      </w:r>
      <w:r>
        <w:rPr/>
        <w:t>participants</w:t>
      </w:r>
      <w:r>
        <w:rPr>
          <w:spacing w:val="-14"/>
        </w:rPr>
        <w:t> </w:t>
      </w:r>
      <w:r>
        <w:rPr/>
        <w:t>from different dispute tracks. However, employers were significantly more likely than their representatives to cite being ‘contacted by Acas’ as a reason for agreeing to participate</w:t>
      </w:r>
      <w:r>
        <w:rPr>
          <w:spacing w:val="-3"/>
        </w:rPr>
        <w:t> </w:t>
      </w:r>
      <w:r>
        <w:rPr/>
        <w:t>in</w:t>
      </w:r>
      <w:r>
        <w:rPr>
          <w:spacing w:val="-3"/>
        </w:rPr>
        <w:t> </w:t>
      </w:r>
      <w:r>
        <w:rPr/>
        <w:t>EC.</w:t>
      </w:r>
      <w:r>
        <w:rPr>
          <w:spacing w:val="-3"/>
        </w:rPr>
        <w:t> </w:t>
      </w:r>
      <w:r>
        <w:rPr/>
        <w:t>However,</w:t>
      </w:r>
      <w:r>
        <w:rPr>
          <w:spacing w:val="-2"/>
        </w:rPr>
        <w:t> </w:t>
      </w:r>
      <w:r>
        <w:rPr/>
        <w:t>this</w:t>
      </w:r>
      <w:r>
        <w:rPr>
          <w:spacing w:val="-2"/>
        </w:rPr>
        <w:t> </w:t>
      </w:r>
      <w:r>
        <w:rPr/>
        <w:t>reason</w:t>
      </w:r>
      <w:r>
        <w:rPr>
          <w:spacing w:val="-3"/>
        </w:rPr>
        <w:t> </w:t>
      </w:r>
      <w:r>
        <w:rPr/>
        <w:t>was</w:t>
      </w:r>
      <w:r>
        <w:rPr>
          <w:spacing w:val="-3"/>
        </w:rPr>
        <w:t> </w:t>
      </w:r>
      <w:r>
        <w:rPr/>
        <w:t>not</w:t>
      </w:r>
      <w:r>
        <w:rPr>
          <w:spacing w:val="-3"/>
        </w:rPr>
        <w:t> </w:t>
      </w:r>
      <w:r>
        <w:rPr/>
        <w:t>a</w:t>
      </w:r>
      <w:r>
        <w:rPr>
          <w:spacing w:val="-2"/>
        </w:rPr>
        <w:t> </w:t>
      </w:r>
      <w:r>
        <w:rPr/>
        <w:t>top</w:t>
      </w:r>
      <w:r>
        <w:rPr>
          <w:spacing w:val="-2"/>
        </w:rPr>
        <w:t> </w:t>
      </w:r>
      <w:r>
        <w:rPr/>
        <w:t>mention</w:t>
      </w:r>
      <w:r>
        <w:rPr>
          <w:spacing w:val="-2"/>
        </w:rPr>
        <w:t> </w:t>
      </w:r>
      <w:r>
        <w:rPr/>
        <w:t>for</w:t>
      </w:r>
      <w:r>
        <w:rPr>
          <w:spacing w:val="-2"/>
        </w:rPr>
        <w:t> </w:t>
      </w:r>
      <w:r>
        <w:rPr/>
        <w:t>either</w:t>
      </w:r>
      <w:r>
        <w:rPr>
          <w:spacing w:val="-2"/>
        </w:rPr>
        <w:t> </w:t>
      </w:r>
      <w:r>
        <w:rPr/>
        <w:t>audience.</w:t>
      </w:r>
    </w:p>
    <w:p>
      <w:pPr>
        <w:pStyle w:val="BodyText"/>
        <w:spacing w:before="1"/>
      </w:pPr>
    </w:p>
    <w:p>
      <w:pPr>
        <w:pStyle w:val="Heading3"/>
        <w:numPr>
          <w:ilvl w:val="1"/>
          <w:numId w:val="2"/>
        </w:numPr>
        <w:tabs>
          <w:tab w:pos="1973" w:val="left" w:leader="none"/>
          <w:tab w:pos="1974" w:val="left" w:leader="none"/>
        </w:tabs>
        <w:spacing w:line="240" w:lineRule="auto" w:before="0" w:after="0"/>
        <w:ind w:left="1973" w:right="0" w:hanging="637"/>
        <w:jc w:val="left"/>
      </w:pPr>
      <w:bookmarkStart w:name="8.5  Previous knowledge and experience o" w:id="70"/>
      <w:bookmarkEnd w:id="70"/>
      <w:r>
        <w:rPr>
          <w:b w:val="0"/>
        </w:rPr>
      </w:r>
      <w:bookmarkStart w:name="_bookmark16" w:id="71"/>
      <w:bookmarkEnd w:id="71"/>
      <w:r>
        <w:rPr/>
        <w:t>Pr</w:t>
      </w:r>
      <w:r>
        <w:rPr/>
        <w:t>evious</w:t>
      </w:r>
      <w:r>
        <w:rPr>
          <w:spacing w:val="-5"/>
        </w:rPr>
        <w:t> </w:t>
      </w:r>
      <w:r>
        <w:rPr/>
        <w:t>knowledge</w:t>
      </w:r>
      <w:r>
        <w:rPr>
          <w:spacing w:val="-5"/>
        </w:rPr>
        <w:t> </w:t>
      </w:r>
      <w:r>
        <w:rPr/>
        <w:t>and</w:t>
      </w:r>
      <w:r>
        <w:rPr>
          <w:spacing w:val="-4"/>
        </w:rPr>
        <w:t> </w:t>
      </w:r>
      <w:r>
        <w:rPr/>
        <w:t>experience</w:t>
      </w:r>
      <w:r>
        <w:rPr>
          <w:spacing w:val="-5"/>
        </w:rPr>
        <w:t> </w:t>
      </w:r>
      <w:r>
        <w:rPr/>
        <w:t>of</w:t>
      </w:r>
      <w:r>
        <w:rPr>
          <w:spacing w:val="-3"/>
        </w:rPr>
        <w:t> </w:t>
      </w:r>
      <w:r>
        <w:rPr>
          <w:spacing w:val="-5"/>
        </w:rPr>
        <w:t>EC</w:t>
      </w:r>
    </w:p>
    <w:p>
      <w:pPr>
        <w:pStyle w:val="Heading4"/>
        <w:numPr>
          <w:ilvl w:val="2"/>
          <w:numId w:val="17"/>
        </w:numPr>
        <w:tabs>
          <w:tab w:pos="2058" w:val="left" w:leader="none"/>
        </w:tabs>
        <w:spacing w:line="240" w:lineRule="auto" w:before="120" w:after="0"/>
        <w:ind w:left="2057" w:right="0" w:hanging="721"/>
        <w:jc w:val="left"/>
        <w:rPr>
          <w:i/>
        </w:rPr>
      </w:pPr>
      <w:bookmarkStart w:name="8.5.1 Among claimants" w:id="72"/>
      <w:bookmarkEnd w:id="72"/>
      <w:r>
        <w:rPr>
          <w:i/>
        </w:rPr>
        <w:t>Am</w:t>
      </w:r>
      <w:r>
        <w:rPr>
          <w:i/>
        </w:rPr>
        <w:t>ong</w:t>
      </w:r>
      <w:r>
        <w:rPr>
          <w:i/>
          <w:spacing w:val="-3"/>
        </w:rPr>
        <w:t> </w:t>
      </w:r>
      <w:r>
        <w:rPr>
          <w:i/>
          <w:spacing w:val="-2"/>
        </w:rPr>
        <w:t>claimants</w:t>
      </w:r>
    </w:p>
    <w:p>
      <w:pPr>
        <w:pStyle w:val="BodyText"/>
        <w:spacing w:before="59"/>
        <w:ind w:left="1337" w:right="1472"/>
      </w:pPr>
      <w:r>
        <w:rPr/>
        <w:t>Overall,</w:t>
      </w:r>
      <w:r>
        <w:rPr>
          <w:spacing w:val="-13"/>
        </w:rPr>
        <w:t> </w:t>
      </w:r>
      <w:r>
        <w:rPr/>
        <w:t>52</w:t>
      </w:r>
      <w:r>
        <w:rPr>
          <w:spacing w:val="-15"/>
        </w:rPr>
        <w:t> </w:t>
      </w:r>
      <w:r>
        <w:rPr/>
        <w:t>per</w:t>
      </w:r>
      <w:r>
        <w:rPr>
          <w:spacing w:val="-14"/>
        </w:rPr>
        <w:t> </w:t>
      </w:r>
      <w:r>
        <w:rPr/>
        <w:t>cent</w:t>
      </w:r>
      <w:r>
        <w:rPr>
          <w:spacing w:val="-15"/>
        </w:rPr>
        <w:t> </w:t>
      </w:r>
      <w:r>
        <w:rPr/>
        <w:t>of</w:t>
      </w:r>
      <w:r>
        <w:rPr>
          <w:spacing w:val="-16"/>
        </w:rPr>
        <w:t> </w:t>
      </w:r>
      <w:r>
        <w:rPr/>
        <w:t>claimant-side</w:t>
      </w:r>
      <w:r>
        <w:rPr>
          <w:spacing w:val="-14"/>
        </w:rPr>
        <w:t> </w:t>
      </w:r>
      <w:r>
        <w:rPr/>
        <w:t>participants</w:t>
      </w:r>
      <w:r>
        <w:rPr>
          <w:spacing w:val="-15"/>
        </w:rPr>
        <w:t> </w:t>
      </w:r>
      <w:r>
        <w:rPr/>
        <w:t>had</w:t>
      </w:r>
      <w:r>
        <w:rPr>
          <w:spacing w:val="-15"/>
        </w:rPr>
        <w:t> </w:t>
      </w:r>
      <w:r>
        <w:rPr/>
        <w:t>heard</w:t>
      </w:r>
      <w:r>
        <w:rPr>
          <w:spacing w:val="-14"/>
        </w:rPr>
        <w:t> </w:t>
      </w:r>
      <w:r>
        <w:rPr/>
        <w:t>of</w:t>
      </w:r>
      <w:r>
        <w:rPr>
          <w:spacing w:val="-15"/>
        </w:rPr>
        <w:t> </w:t>
      </w:r>
      <w:r>
        <w:rPr/>
        <w:t>EC</w:t>
      </w:r>
      <w:r>
        <w:rPr>
          <w:spacing w:val="-15"/>
        </w:rPr>
        <w:t> </w:t>
      </w:r>
      <w:r>
        <w:rPr/>
        <w:t>before</w:t>
      </w:r>
      <w:r>
        <w:rPr>
          <w:spacing w:val="-14"/>
        </w:rPr>
        <w:t> </w:t>
      </w:r>
      <w:r>
        <w:rPr/>
        <w:t>their</w:t>
      </w:r>
      <w:r>
        <w:rPr>
          <w:spacing w:val="-14"/>
        </w:rPr>
        <w:t> </w:t>
      </w:r>
      <w:r>
        <w:rPr/>
        <w:t>case, a significant increase from the 42 per cent who said the same in 2015.</w:t>
      </w:r>
    </w:p>
    <w:p>
      <w:pPr>
        <w:pStyle w:val="BodyText"/>
        <w:spacing w:before="1"/>
      </w:pPr>
    </w:p>
    <w:p>
      <w:pPr>
        <w:pStyle w:val="BodyText"/>
        <w:ind w:left="1337" w:right="1472"/>
        <w:jc w:val="both"/>
      </w:pPr>
      <w:r>
        <w:rPr/>
        <w:t>Claimant representatives were more likely than claimants to have previous knowledge</w:t>
      </w:r>
      <w:r>
        <w:rPr>
          <w:spacing w:val="-16"/>
        </w:rPr>
        <w:t> </w:t>
      </w:r>
      <w:r>
        <w:rPr/>
        <w:t>of</w:t>
      </w:r>
      <w:r>
        <w:rPr>
          <w:spacing w:val="-15"/>
        </w:rPr>
        <w:t> </w:t>
      </w:r>
      <w:r>
        <w:rPr/>
        <w:t>EC</w:t>
      </w:r>
      <w:r>
        <w:rPr>
          <w:spacing w:val="-15"/>
        </w:rPr>
        <w:t> </w:t>
      </w:r>
      <w:r>
        <w:rPr/>
        <w:t>–</w:t>
      </w:r>
      <w:r>
        <w:rPr>
          <w:spacing w:val="-15"/>
        </w:rPr>
        <w:t> </w:t>
      </w:r>
      <w:r>
        <w:rPr/>
        <w:t>83</w:t>
      </w:r>
      <w:r>
        <w:rPr>
          <w:spacing w:val="-15"/>
        </w:rPr>
        <w:t> </w:t>
      </w:r>
      <w:r>
        <w:rPr/>
        <w:t>per</w:t>
      </w:r>
      <w:r>
        <w:rPr>
          <w:spacing w:val="-14"/>
        </w:rPr>
        <w:t> </w:t>
      </w:r>
      <w:r>
        <w:rPr/>
        <w:t>cent</w:t>
      </w:r>
      <w:r>
        <w:rPr>
          <w:spacing w:val="-15"/>
        </w:rPr>
        <w:t> </w:t>
      </w:r>
      <w:r>
        <w:rPr/>
        <w:t>reported</w:t>
      </w:r>
      <w:r>
        <w:rPr>
          <w:spacing w:val="-14"/>
        </w:rPr>
        <w:t> </w:t>
      </w:r>
      <w:r>
        <w:rPr/>
        <w:t>prior</w:t>
      </w:r>
      <w:r>
        <w:rPr>
          <w:spacing w:val="-14"/>
        </w:rPr>
        <w:t> </w:t>
      </w:r>
      <w:r>
        <w:rPr/>
        <w:t>knowledge</w:t>
      </w:r>
      <w:r>
        <w:rPr>
          <w:spacing w:val="-15"/>
        </w:rPr>
        <w:t> </w:t>
      </w:r>
      <w:r>
        <w:rPr/>
        <w:t>compared</w:t>
      </w:r>
      <w:r>
        <w:rPr>
          <w:spacing w:val="-14"/>
        </w:rPr>
        <w:t> </w:t>
      </w:r>
      <w:r>
        <w:rPr/>
        <w:t>with</w:t>
      </w:r>
      <w:r>
        <w:rPr>
          <w:spacing w:val="-15"/>
        </w:rPr>
        <w:t> </w:t>
      </w:r>
      <w:r>
        <w:rPr/>
        <w:t>38</w:t>
      </w:r>
      <w:r>
        <w:rPr>
          <w:spacing w:val="-15"/>
        </w:rPr>
        <w:t> </w:t>
      </w:r>
      <w:r>
        <w:rPr/>
        <w:t>per</w:t>
      </w:r>
      <w:r>
        <w:rPr>
          <w:spacing w:val="-14"/>
        </w:rPr>
        <w:t> </w:t>
      </w:r>
      <w:r>
        <w:rPr/>
        <w:t>cent of claimants. Among representatives, there has been no change in percentage of those with prior knowledge. Among claimants, there has been a slight increase since 2015, when only 34 per cent of claimants had previously heard of EC, potentially reflecting the fact that the service is now five years old. See Table 4.</w:t>
      </w:r>
    </w:p>
    <w:p>
      <w:pPr>
        <w:spacing w:after="0"/>
        <w:jc w:val="both"/>
        <w:sectPr>
          <w:pgSz w:w="11910" w:h="16840"/>
          <w:pgMar w:header="0" w:footer="996" w:top="1340" w:bottom="1180" w:left="460" w:right="320"/>
        </w:sectPr>
      </w:pPr>
    </w:p>
    <w:p>
      <w:pPr>
        <w:pStyle w:val="Heading3"/>
        <w:spacing w:before="82"/>
        <w:ind w:right="1474"/>
      </w:pPr>
      <w:r>
        <w:rPr/>
        <w:t>Table 4. Previous knowledge of EC among claimants and their </w:t>
      </w:r>
      <w:r>
        <w:rPr>
          <w:spacing w:val="-2"/>
        </w:rPr>
        <w:t>representatives</w:t>
      </w:r>
    </w:p>
    <w:p>
      <w:pPr>
        <w:pStyle w:val="BodyText"/>
        <w:spacing w:before="1"/>
        <w:rPr>
          <w:b/>
          <w:sz w:val="5"/>
        </w:rPr>
      </w:pPr>
      <w:r>
        <w:rPr/>
        <w:drawing>
          <wp:anchor distT="0" distB="0" distL="0" distR="0" allowOverlap="1" layoutInCell="1" locked="0" behindDoc="0" simplePos="0" relativeHeight="14">
            <wp:simplePos x="0" y="0"/>
            <wp:positionH relativeFrom="page">
              <wp:posOffset>1267501</wp:posOffset>
            </wp:positionH>
            <wp:positionV relativeFrom="paragraph">
              <wp:posOffset>54692</wp:posOffset>
            </wp:positionV>
            <wp:extent cx="5078601" cy="1414272"/>
            <wp:effectExtent l="0" t="0" r="0" b="0"/>
            <wp:wrapTopAndBottom/>
            <wp:docPr id="17" name="image9.png" descr="Table showing previous knowledge of EC among claimants and their representatives"/>
            <wp:cNvGraphicFramePr>
              <a:graphicFrameLocks noChangeAspect="1"/>
            </wp:cNvGraphicFramePr>
            <a:graphic>
              <a:graphicData uri="http://schemas.openxmlformats.org/drawingml/2006/picture">
                <pic:pic>
                  <pic:nvPicPr>
                    <pic:cNvPr id="18" name="image9.png"/>
                    <pic:cNvPicPr/>
                  </pic:nvPicPr>
                  <pic:blipFill>
                    <a:blip r:embed="rId21" cstate="print"/>
                    <a:stretch>
                      <a:fillRect/>
                    </a:stretch>
                  </pic:blipFill>
                  <pic:spPr>
                    <a:xfrm>
                      <a:off x="0" y="0"/>
                      <a:ext cx="5078601" cy="1414272"/>
                    </a:xfrm>
                    <a:prstGeom prst="rect">
                      <a:avLst/>
                    </a:prstGeom>
                  </pic:spPr>
                </pic:pic>
              </a:graphicData>
            </a:graphic>
          </wp:anchor>
        </w:drawing>
      </w:r>
    </w:p>
    <w:p>
      <w:pPr>
        <w:pStyle w:val="BodyText"/>
        <w:spacing w:before="146"/>
        <w:ind w:left="1337" w:right="1472"/>
        <w:jc w:val="both"/>
      </w:pPr>
      <w:r>
        <w:rPr/>
        <w:t>Claimant-side</w:t>
      </w:r>
      <w:r>
        <w:rPr>
          <w:spacing w:val="-12"/>
        </w:rPr>
        <w:t> </w:t>
      </w:r>
      <w:r>
        <w:rPr/>
        <w:t>participants</w:t>
      </w:r>
      <w:r>
        <w:rPr>
          <w:spacing w:val="-11"/>
        </w:rPr>
        <w:t> </w:t>
      </w:r>
      <w:r>
        <w:rPr/>
        <w:t>involved</w:t>
      </w:r>
      <w:r>
        <w:rPr>
          <w:spacing w:val="-13"/>
        </w:rPr>
        <w:t> </w:t>
      </w:r>
      <w:r>
        <w:rPr/>
        <w:t>in</w:t>
      </w:r>
      <w:r>
        <w:rPr>
          <w:spacing w:val="-11"/>
        </w:rPr>
        <w:t> </w:t>
      </w:r>
      <w:r>
        <w:rPr/>
        <w:t>open</w:t>
      </w:r>
      <w:r>
        <w:rPr>
          <w:spacing w:val="-11"/>
        </w:rPr>
        <w:t> </w:t>
      </w:r>
      <w:r>
        <w:rPr/>
        <w:t>track</w:t>
      </w:r>
      <w:r>
        <w:rPr>
          <w:spacing w:val="-11"/>
        </w:rPr>
        <w:t> </w:t>
      </w:r>
      <w:r>
        <w:rPr/>
        <w:t>disputes</w:t>
      </w:r>
      <w:r>
        <w:rPr>
          <w:spacing w:val="-13"/>
        </w:rPr>
        <w:t> </w:t>
      </w:r>
      <w:r>
        <w:rPr/>
        <w:t>were</w:t>
      </w:r>
      <w:r>
        <w:rPr>
          <w:spacing w:val="-12"/>
        </w:rPr>
        <w:t> </w:t>
      </w:r>
      <w:r>
        <w:rPr/>
        <w:t>more</w:t>
      </w:r>
      <w:r>
        <w:rPr>
          <w:spacing w:val="-12"/>
        </w:rPr>
        <w:t> </w:t>
      </w:r>
      <w:r>
        <w:rPr/>
        <w:t>likely</w:t>
      </w:r>
      <w:r>
        <w:rPr>
          <w:spacing w:val="-11"/>
        </w:rPr>
        <w:t> </w:t>
      </w:r>
      <w:r>
        <w:rPr/>
        <w:t>to</w:t>
      </w:r>
      <w:r>
        <w:rPr>
          <w:spacing w:val="-12"/>
        </w:rPr>
        <w:t> </w:t>
      </w:r>
      <w:r>
        <w:rPr/>
        <w:t>have heard of EC prior to their current dispute compared with those in standard or fast track disputes (63 per cent compared with 54 per cent and 45 per cent </w:t>
      </w:r>
      <w:r>
        <w:rPr>
          <w:spacing w:val="-2"/>
        </w:rPr>
        <w:t>respectively).</w:t>
      </w:r>
    </w:p>
    <w:p>
      <w:pPr>
        <w:pStyle w:val="BodyText"/>
      </w:pPr>
    </w:p>
    <w:p>
      <w:pPr>
        <w:pStyle w:val="BodyText"/>
        <w:ind w:left="1337" w:right="1472"/>
        <w:jc w:val="both"/>
      </w:pPr>
      <w:r>
        <w:rPr/>
        <w:t>There</w:t>
      </w:r>
      <w:r>
        <w:rPr>
          <w:spacing w:val="-5"/>
        </w:rPr>
        <w:t> </w:t>
      </w:r>
      <w:r>
        <w:rPr/>
        <w:t>were</w:t>
      </w:r>
      <w:r>
        <w:rPr>
          <w:spacing w:val="-6"/>
        </w:rPr>
        <w:t> </w:t>
      </w:r>
      <w:r>
        <w:rPr/>
        <w:t>also</w:t>
      </w:r>
      <w:r>
        <w:rPr>
          <w:spacing w:val="-5"/>
        </w:rPr>
        <w:t> </w:t>
      </w:r>
      <w:r>
        <w:rPr/>
        <w:t>some</w:t>
      </w:r>
      <w:r>
        <w:rPr>
          <w:spacing w:val="-5"/>
        </w:rPr>
        <w:t> </w:t>
      </w:r>
      <w:r>
        <w:rPr/>
        <w:t>notable</w:t>
      </w:r>
      <w:r>
        <w:rPr>
          <w:spacing w:val="-5"/>
        </w:rPr>
        <w:t> </w:t>
      </w:r>
      <w:r>
        <w:rPr/>
        <w:t>differences</w:t>
      </w:r>
      <w:r>
        <w:rPr>
          <w:spacing w:val="-4"/>
        </w:rPr>
        <w:t> </w:t>
      </w:r>
      <w:r>
        <w:rPr/>
        <w:t>by</w:t>
      </w:r>
      <w:r>
        <w:rPr>
          <w:spacing w:val="-4"/>
        </w:rPr>
        <w:t> </w:t>
      </w:r>
      <w:r>
        <w:rPr/>
        <w:t>age,</w:t>
      </w:r>
      <w:r>
        <w:rPr>
          <w:spacing w:val="-4"/>
        </w:rPr>
        <w:t> </w:t>
      </w:r>
      <w:r>
        <w:rPr/>
        <w:t>with</w:t>
      </w:r>
      <w:r>
        <w:rPr>
          <w:spacing w:val="-4"/>
        </w:rPr>
        <w:t> </w:t>
      </w:r>
      <w:r>
        <w:rPr/>
        <w:t>older</w:t>
      </w:r>
      <w:r>
        <w:rPr>
          <w:spacing w:val="-5"/>
        </w:rPr>
        <w:t> </w:t>
      </w:r>
      <w:r>
        <w:rPr/>
        <w:t>claimants</w:t>
      </w:r>
      <w:r>
        <w:rPr>
          <w:spacing w:val="-4"/>
        </w:rPr>
        <w:t> </w:t>
      </w:r>
      <w:r>
        <w:rPr/>
        <w:t>being</w:t>
      </w:r>
      <w:r>
        <w:rPr>
          <w:spacing w:val="-4"/>
        </w:rPr>
        <w:t> </w:t>
      </w:r>
      <w:r>
        <w:rPr/>
        <w:t>more likely</w:t>
      </w:r>
      <w:r>
        <w:rPr>
          <w:spacing w:val="-2"/>
        </w:rPr>
        <w:t> </w:t>
      </w:r>
      <w:r>
        <w:rPr/>
        <w:t>to</w:t>
      </w:r>
      <w:r>
        <w:rPr>
          <w:spacing w:val="-2"/>
        </w:rPr>
        <w:t> </w:t>
      </w:r>
      <w:r>
        <w:rPr/>
        <w:t>have</w:t>
      </w:r>
      <w:r>
        <w:rPr>
          <w:spacing w:val="-3"/>
        </w:rPr>
        <w:t> </w:t>
      </w:r>
      <w:r>
        <w:rPr/>
        <w:t>heard</w:t>
      </w:r>
      <w:r>
        <w:rPr>
          <w:spacing w:val="-2"/>
        </w:rPr>
        <w:t> </w:t>
      </w:r>
      <w:r>
        <w:rPr/>
        <w:t>of</w:t>
      </w:r>
      <w:r>
        <w:rPr>
          <w:spacing w:val="-4"/>
        </w:rPr>
        <w:t> </w:t>
      </w:r>
      <w:r>
        <w:rPr/>
        <w:t>EC</w:t>
      </w:r>
      <w:r>
        <w:rPr>
          <w:spacing w:val="-2"/>
        </w:rPr>
        <w:t> </w:t>
      </w:r>
      <w:r>
        <w:rPr/>
        <w:t>prior</w:t>
      </w:r>
      <w:r>
        <w:rPr>
          <w:spacing w:val="-2"/>
        </w:rPr>
        <w:t> </w:t>
      </w:r>
      <w:r>
        <w:rPr/>
        <w:t>to</w:t>
      </w:r>
      <w:r>
        <w:rPr>
          <w:spacing w:val="-4"/>
        </w:rPr>
        <w:t> </w:t>
      </w:r>
      <w:r>
        <w:rPr/>
        <w:t>their</w:t>
      </w:r>
      <w:r>
        <w:rPr>
          <w:spacing w:val="-2"/>
        </w:rPr>
        <w:t> </w:t>
      </w:r>
      <w:r>
        <w:rPr/>
        <w:t>current</w:t>
      </w:r>
      <w:r>
        <w:rPr>
          <w:spacing w:val="-3"/>
        </w:rPr>
        <w:t> </w:t>
      </w:r>
      <w:r>
        <w:rPr/>
        <w:t>claim</w:t>
      </w:r>
      <w:r>
        <w:rPr>
          <w:spacing w:val="-3"/>
        </w:rPr>
        <w:t> </w:t>
      </w:r>
      <w:r>
        <w:rPr/>
        <w:t>than</w:t>
      </w:r>
      <w:r>
        <w:rPr>
          <w:spacing w:val="-2"/>
        </w:rPr>
        <w:t> </w:t>
      </w:r>
      <w:r>
        <w:rPr/>
        <w:t>the</w:t>
      </w:r>
      <w:r>
        <w:rPr>
          <w:spacing w:val="-3"/>
        </w:rPr>
        <w:t> </w:t>
      </w:r>
      <w:r>
        <w:rPr/>
        <w:t>younger</w:t>
      </w:r>
      <w:r>
        <w:rPr>
          <w:spacing w:val="-4"/>
        </w:rPr>
        <w:t> </w:t>
      </w:r>
      <w:r>
        <w:rPr/>
        <w:t>cohort.</w:t>
      </w:r>
      <w:r>
        <w:rPr>
          <w:spacing w:val="-3"/>
        </w:rPr>
        <w:t> </w:t>
      </w:r>
      <w:r>
        <w:rPr/>
        <w:t>For example, 41 per cent of those aged between 55 and 64 had heard of EC before compared with 29 per cent of those aged between 35 and 44. In 2015, there was also a general upward trend in awareness in line with age.</w:t>
      </w:r>
    </w:p>
    <w:p>
      <w:pPr>
        <w:pStyle w:val="BodyText"/>
        <w:spacing w:before="1"/>
      </w:pPr>
    </w:p>
    <w:p>
      <w:pPr>
        <w:pStyle w:val="BodyText"/>
        <w:ind w:left="1337" w:right="1473"/>
        <w:jc w:val="both"/>
      </w:pPr>
      <w:r>
        <w:rPr/>
        <w:t>In addition</w:t>
      </w:r>
      <w:r>
        <w:rPr>
          <w:spacing w:val="-1"/>
        </w:rPr>
        <w:t> </w:t>
      </w:r>
      <w:r>
        <w:rPr/>
        <w:t>to an increase in awareness of the</w:t>
      </w:r>
      <w:r>
        <w:rPr>
          <w:spacing w:val="-2"/>
        </w:rPr>
        <w:t> </w:t>
      </w:r>
      <w:r>
        <w:rPr/>
        <w:t>service, there has</w:t>
      </w:r>
      <w:r>
        <w:rPr>
          <w:spacing w:val="-1"/>
        </w:rPr>
        <w:t> </w:t>
      </w:r>
      <w:r>
        <w:rPr/>
        <w:t>been an</w:t>
      </w:r>
      <w:r>
        <w:rPr>
          <w:spacing w:val="-1"/>
        </w:rPr>
        <w:t> </w:t>
      </w:r>
      <w:r>
        <w:rPr/>
        <w:t>increase in prior use of EC. Forty-six per cent of claimant-side participants with existing awareness of EC reported having used it before, compared with 28 per cent in 2015. Claimant representatives were more likely than claimants to have used the service before – 77 per cent of claimant representatives aware of the service had previously used it, in comparison to just 16 per cent of claimants. These findings are consistent with those from the 2015 survey. See Table 5.</w:t>
      </w:r>
    </w:p>
    <w:p>
      <w:pPr>
        <w:pStyle w:val="BodyText"/>
      </w:pPr>
    </w:p>
    <w:p>
      <w:pPr>
        <w:pStyle w:val="Heading3"/>
      </w:pPr>
      <w:r>
        <w:rPr/>
        <w:t>Table</w:t>
      </w:r>
      <w:r>
        <w:rPr>
          <w:spacing w:val="-5"/>
        </w:rPr>
        <w:t> </w:t>
      </w:r>
      <w:r>
        <w:rPr/>
        <w:t>5.</w:t>
      </w:r>
      <w:r>
        <w:rPr>
          <w:spacing w:val="-4"/>
        </w:rPr>
        <w:t> </w:t>
      </w:r>
      <w:r>
        <w:rPr/>
        <w:t>Previous</w:t>
      </w:r>
      <w:r>
        <w:rPr>
          <w:spacing w:val="-3"/>
        </w:rPr>
        <w:t> </w:t>
      </w:r>
      <w:r>
        <w:rPr/>
        <w:t>use</w:t>
      </w:r>
      <w:r>
        <w:rPr>
          <w:spacing w:val="-5"/>
        </w:rPr>
        <w:t> </w:t>
      </w:r>
      <w:r>
        <w:rPr/>
        <w:t>of</w:t>
      </w:r>
      <w:r>
        <w:rPr>
          <w:spacing w:val="-2"/>
        </w:rPr>
        <w:t> </w:t>
      </w:r>
      <w:r>
        <w:rPr/>
        <w:t>EC</w:t>
      </w:r>
      <w:r>
        <w:rPr>
          <w:spacing w:val="-5"/>
        </w:rPr>
        <w:t> </w:t>
      </w:r>
      <w:r>
        <w:rPr/>
        <w:t>among</w:t>
      </w:r>
      <w:r>
        <w:rPr>
          <w:spacing w:val="-3"/>
        </w:rPr>
        <w:t> </w:t>
      </w:r>
      <w:r>
        <w:rPr/>
        <w:t>claimants</w:t>
      </w:r>
      <w:r>
        <w:rPr>
          <w:spacing w:val="-3"/>
        </w:rPr>
        <w:t> </w:t>
      </w:r>
      <w:r>
        <w:rPr/>
        <w:t>and</w:t>
      </w:r>
      <w:r>
        <w:rPr>
          <w:spacing w:val="-3"/>
        </w:rPr>
        <w:t> </w:t>
      </w:r>
      <w:r>
        <w:rPr/>
        <w:t>their</w:t>
      </w:r>
      <w:r>
        <w:rPr>
          <w:spacing w:val="-2"/>
        </w:rPr>
        <w:t> representatives</w:t>
      </w:r>
    </w:p>
    <w:p>
      <w:pPr>
        <w:pStyle w:val="BodyText"/>
        <w:spacing w:before="2"/>
        <w:rPr>
          <w:b/>
          <w:sz w:val="5"/>
        </w:rPr>
      </w:pPr>
      <w:r>
        <w:rPr/>
        <w:drawing>
          <wp:anchor distT="0" distB="0" distL="0" distR="0" allowOverlap="1" layoutInCell="1" locked="0" behindDoc="0" simplePos="0" relativeHeight="15">
            <wp:simplePos x="0" y="0"/>
            <wp:positionH relativeFrom="page">
              <wp:posOffset>1208164</wp:posOffset>
            </wp:positionH>
            <wp:positionV relativeFrom="paragraph">
              <wp:posOffset>55401</wp:posOffset>
            </wp:positionV>
            <wp:extent cx="5166930" cy="1438655"/>
            <wp:effectExtent l="0" t="0" r="0" b="0"/>
            <wp:wrapTopAndBottom/>
            <wp:docPr id="19" name="image10.png" descr="Table showing previous use of EC among claimants and their representatives"/>
            <wp:cNvGraphicFramePr>
              <a:graphicFrameLocks noChangeAspect="1"/>
            </wp:cNvGraphicFramePr>
            <a:graphic>
              <a:graphicData uri="http://schemas.openxmlformats.org/drawingml/2006/picture">
                <pic:pic>
                  <pic:nvPicPr>
                    <pic:cNvPr id="20" name="image10.png"/>
                    <pic:cNvPicPr/>
                  </pic:nvPicPr>
                  <pic:blipFill>
                    <a:blip r:embed="rId22" cstate="print"/>
                    <a:stretch>
                      <a:fillRect/>
                    </a:stretch>
                  </pic:blipFill>
                  <pic:spPr>
                    <a:xfrm>
                      <a:off x="0" y="0"/>
                      <a:ext cx="5166930" cy="1438655"/>
                    </a:xfrm>
                    <a:prstGeom prst="rect">
                      <a:avLst/>
                    </a:prstGeom>
                  </pic:spPr>
                </pic:pic>
              </a:graphicData>
            </a:graphic>
          </wp:anchor>
        </w:drawing>
      </w:r>
    </w:p>
    <w:p>
      <w:pPr>
        <w:pStyle w:val="BodyText"/>
        <w:spacing w:before="2"/>
        <w:rPr>
          <w:b/>
          <w:sz w:val="29"/>
        </w:rPr>
      </w:pPr>
    </w:p>
    <w:p>
      <w:pPr>
        <w:pStyle w:val="BodyText"/>
        <w:ind w:left="1337" w:right="1474"/>
        <w:jc w:val="both"/>
      </w:pPr>
      <w:r>
        <w:rPr/>
        <w:t>Claimant-side participants were also asked how they had originally heard of EC. The most commonly reported source was ‘a friend or colleague’, with 22 per cent of claimant-side participants citing this option. This was followed by ‘professional body/ membership organisation specific to my industry’ (15 per cent) and ‘Trade Union’</w:t>
      </w:r>
      <w:r>
        <w:rPr>
          <w:spacing w:val="-5"/>
        </w:rPr>
        <w:t> </w:t>
      </w:r>
      <w:r>
        <w:rPr/>
        <w:t>(10</w:t>
      </w:r>
      <w:r>
        <w:rPr>
          <w:spacing w:val="-7"/>
        </w:rPr>
        <w:t> </w:t>
      </w:r>
      <w:r>
        <w:rPr/>
        <w:t>per</w:t>
      </w:r>
      <w:r>
        <w:rPr>
          <w:spacing w:val="-5"/>
        </w:rPr>
        <w:t> </w:t>
      </w:r>
      <w:r>
        <w:rPr/>
        <w:t>cent).</w:t>
      </w:r>
      <w:r>
        <w:rPr>
          <w:spacing w:val="-5"/>
        </w:rPr>
        <w:t> </w:t>
      </w:r>
      <w:r>
        <w:rPr/>
        <w:t>By</w:t>
      </w:r>
      <w:r>
        <w:rPr>
          <w:spacing w:val="-4"/>
        </w:rPr>
        <w:t> </w:t>
      </w:r>
      <w:r>
        <w:rPr/>
        <w:t>comparison,</w:t>
      </w:r>
      <w:r>
        <w:rPr>
          <w:spacing w:val="-5"/>
        </w:rPr>
        <w:t> </w:t>
      </w:r>
      <w:r>
        <w:rPr/>
        <w:t>in</w:t>
      </w:r>
      <w:r>
        <w:rPr>
          <w:spacing w:val="-4"/>
        </w:rPr>
        <w:t> </w:t>
      </w:r>
      <w:r>
        <w:rPr/>
        <w:t>2015</w:t>
      </w:r>
      <w:r>
        <w:rPr>
          <w:spacing w:val="-6"/>
        </w:rPr>
        <w:t> </w:t>
      </w:r>
      <w:r>
        <w:rPr/>
        <w:t>the</w:t>
      </w:r>
      <w:r>
        <w:rPr>
          <w:spacing w:val="-5"/>
        </w:rPr>
        <w:t> </w:t>
      </w:r>
      <w:r>
        <w:rPr/>
        <w:t>second</w:t>
      </w:r>
      <w:r>
        <w:rPr>
          <w:spacing w:val="-7"/>
        </w:rPr>
        <w:t> </w:t>
      </w:r>
      <w:r>
        <w:rPr/>
        <w:t>most</w:t>
      </w:r>
      <w:r>
        <w:rPr>
          <w:spacing w:val="-4"/>
        </w:rPr>
        <w:t> </w:t>
      </w:r>
      <w:r>
        <w:rPr/>
        <w:t>commonly</w:t>
      </w:r>
      <w:r>
        <w:rPr>
          <w:spacing w:val="-4"/>
        </w:rPr>
        <w:t> </w:t>
      </w:r>
      <w:r>
        <w:rPr/>
        <w:t>reported source was ‘Citizen’s Advice Bureau’ (14 per cent) and the third most commonly reported</w:t>
      </w:r>
      <w:r>
        <w:rPr>
          <w:spacing w:val="-7"/>
        </w:rPr>
        <w:t> </w:t>
      </w:r>
      <w:r>
        <w:rPr/>
        <w:t>source</w:t>
      </w:r>
      <w:r>
        <w:rPr>
          <w:spacing w:val="-7"/>
        </w:rPr>
        <w:t> </w:t>
      </w:r>
      <w:r>
        <w:rPr/>
        <w:t>was</w:t>
      </w:r>
      <w:r>
        <w:rPr>
          <w:spacing w:val="-7"/>
        </w:rPr>
        <w:t> </w:t>
      </w:r>
      <w:r>
        <w:rPr/>
        <w:t>‘Acas</w:t>
      </w:r>
      <w:r>
        <w:rPr>
          <w:spacing w:val="-7"/>
        </w:rPr>
        <w:t> </w:t>
      </w:r>
      <w:r>
        <w:rPr/>
        <w:t>website’</w:t>
      </w:r>
      <w:r>
        <w:rPr>
          <w:spacing w:val="-8"/>
        </w:rPr>
        <w:t> </w:t>
      </w:r>
      <w:r>
        <w:rPr/>
        <w:t>(12</w:t>
      </w:r>
      <w:r>
        <w:rPr>
          <w:spacing w:val="-7"/>
        </w:rPr>
        <w:t> </w:t>
      </w:r>
      <w:r>
        <w:rPr/>
        <w:t>per</w:t>
      </w:r>
      <w:r>
        <w:rPr>
          <w:spacing w:val="-7"/>
        </w:rPr>
        <w:t> </w:t>
      </w:r>
      <w:r>
        <w:rPr/>
        <w:t>cent).</w:t>
      </w:r>
      <w:r>
        <w:rPr>
          <w:spacing w:val="-6"/>
        </w:rPr>
        <w:t> </w:t>
      </w:r>
      <w:r>
        <w:rPr/>
        <w:t>In</w:t>
      </w:r>
      <w:r>
        <w:rPr>
          <w:spacing w:val="-6"/>
        </w:rPr>
        <w:t> </w:t>
      </w:r>
      <w:r>
        <w:rPr/>
        <w:t>2019,</w:t>
      </w:r>
      <w:r>
        <w:rPr>
          <w:spacing w:val="-8"/>
        </w:rPr>
        <w:t> </w:t>
      </w:r>
      <w:r>
        <w:rPr/>
        <w:t>seven</w:t>
      </w:r>
      <w:r>
        <w:rPr>
          <w:spacing w:val="-6"/>
        </w:rPr>
        <w:t> </w:t>
      </w:r>
      <w:r>
        <w:rPr/>
        <w:t>per</w:t>
      </w:r>
      <w:r>
        <w:rPr>
          <w:spacing w:val="-7"/>
        </w:rPr>
        <w:t> </w:t>
      </w:r>
      <w:r>
        <w:rPr/>
        <w:t>cent</w:t>
      </w:r>
      <w:r>
        <w:rPr>
          <w:spacing w:val="-7"/>
        </w:rPr>
        <w:t> </w:t>
      </w:r>
      <w:r>
        <w:rPr/>
        <w:t>of</w:t>
      </w:r>
      <w:r>
        <w:rPr>
          <w:spacing w:val="-6"/>
        </w:rPr>
        <w:t> </w:t>
      </w:r>
      <w:r>
        <w:rPr/>
        <w:t>those that had heard of EC cited the Acas website as a source of information.</w:t>
      </w:r>
    </w:p>
    <w:p>
      <w:pPr>
        <w:pStyle w:val="BodyText"/>
      </w:pPr>
    </w:p>
    <w:p>
      <w:pPr>
        <w:pStyle w:val="Heading4"/>
        <w:numPr>
          <w:ilvl w:val="2"/>
          <w:numId w:val="17"/>
        </w:numPr>
        <w:tabs>
          <w:tab w:pos="2058" w:val="left" w:leader="none"/>
        </w:tabs>
        <w:spacing w:line="240" w:lineRule="auto" w:before="1" w:after="0"/>
        <w:ind w:left="2057" w:right="0" w:hanging="721"/>
        <w:jc w:val="both"/>
        <w:rPr>
          <w:i/>
        </w:rPr>
      </w:pPr>
      <w:bookmarkStart w:name="8.5.2 Among employers" w:id="73"/>
      <w:bookmarkEnd w:id="73"/>
      <w:r>
        <w:rPr>
          <w:i/>
        </w:rPr>
        <w:t>Am</w:t>
      </w:r>
      <w:r>
        <w:rPr>
          <w:i/>
        </w:rPr>
        <w:t>ong</w:t>
      </w:r>
      <w:r>
        <w:rPr>
          <w:i/>
          <w:spacing w:val="-3"/>
        </w:rPr>
        <w:t> </w:t>
      </w:r>
      <w:r>
        <w:rPr>
          <w:i/>
          <w:spacing w:val="-2"/>
        </w:rPr>
        <w:t>employers</w:t>
      </w:r>
    </w:p>
    <w:p>
      <w:pPr>
        <w:pStyle w:val="BodyText"/>
        <w:spacing w:before="59"/>
        <w:ind w:left="1337" w:right="1473"/>
        <w:jc w:val="both"/>
      </w:pPr>
      <w:r>
        <w:rPr/>
        <w:t>Previous knowledge of the EC service was much higher among employer-side participants</w:t>
      </w:r>
      <w:r>
        <w:rPr>
          <w:spacing w:val="-3"/>
        </w:rPr>
        <w:t> </w:t>
      </w:r>
      <w:r>
        <w:rPr/>
        <w:t>than</w:t>
      </w:r>
      <w:r>
        <w:rPr>
          <w:spacing w:val="-3"/>
        </w:rPr>
        <w:t> </w:t>
      </w:r>
      <w:r>
        <w:rPr/>
        <w:t>among</w:t>
      </w:r>
      <w:r>
        <w:rPr>
          <w:spacing w:val="-3"/>
        </w:rPr>
        <w:t> </w:t>
      </w:r>
      <w:r>
        <w:rPr/>
        <w:t>claimant-side</w:t>
      </w:r>
      <w:r>
        <w:rPr>
          <w:spacing w:val="-4"/>
        </w:rPr>
        <w:t> </w:t>
      </w:r>
      <w:r>
        <w:rPr/>
        <w:t>participants</w:t>
      </w:r>
      <w:r>
        <w:rPr>
          <w:spacing w:val="-3"/>
        </w:rPr>
        <w:t> </w:t>
      </w:r>
      <w:r>
        <w:rPr/>
        <w:t>–</w:t>
      </w:r>
      <w:r>
        <w:rPr>
          <w:spacing w:val="-3"/>
        </w:rPr>
        <w:t> </w:t>
      </w:r>
      <w:r>
        <w:rPr/>
        <w:t>88</w:t>
      </w:r>
      <w:r>
        <w:rPr>
          <w:spacing w:val="-3"/>
        </w:rPr>
        <w:t> </w:t>
      </w:r>
      <w:r>
        <w:rPr/>
        <w:t>per</w:t>
      </w:r>
      <w:r>
        <w:rPr>
          <w:spacing w:val="-3"/>
        </w:rPr>
        <w:t> </w:t>
      </w:r>
      <w:r>
        <w:rPr/>
        <w:t>cent</w:t>
      </w:r>
      <w:r>
        <w:rPr>
          <w:spacing w:val="-3"/>
        </w:rPr>
        <w:t> </w:t>
      </w:r>
      <w:r>
        <w:rPr/>
        <w:t>of</w:t>
      </w:r>
      <w:r>
        <w:rPr>
          <w:spacing w:val="-3"/>
        </w:rPr>
        <w:t> </w:t>
      </w:r>
      <w:r>
        <w:rPr/>
        <w:t>employer-side participants</w:t>
      </w:r>
      <w:r>
        <w:rPr>
          <w:spacing w:val="17"/>
        </w:rPr>
        <w:t> </w:t>
      </w:r>
      <w:r>
        <w:rPr/>
        <w:t>had</w:t>
      </w:r>
      <w:r>
        <w:rPr>
          <w:spacing w:val="18"/>
        </w:rPr>
        <w:t> </w:t>
      </w:r>
      <w:r>
        <w:rPr/>
        <w:t>heard</w:t>
      </w:r>
      <w:r>
        <w:rPr>
          <w:spacing w:val="16"/>
        </w:rPr>
        <w:t> </w:t>
      </w:r>
      <w:r>
        <w:rPr/>
        <w:t>of</w:t>
      </w:r>
      <w:r>
        <w:rPr>
          <w:spacing w:val="19"/>
        </w:rPr>
        <w:t> </w:t>
      </w:r>
      <w:r>
        <w:rPr/>
        <w:t>EC</w:t>
      </w:r>
      <w:r>
        <w:rPr>
          <w:spacing w:val="18"/>
        </w:rPr>
        <w:t> </w:t>
      </w:r>
      <w:r>
        <w:rPr/>
        <w:t>before</w:t>
      </w:r>
      <w:r>
        <w:rPr>
          <w:spacing w:val="18"/>
        </w:rPr>
        <w:t> </w:t>
      </w:r>
      <w:r>
        <w:rPr/>
        <w:t>their</w:t>
      </w:r>
      <w:r>
        <w:rPr>
          <w:spacing w:val="18"/>
        </w:rPr>
        <w:t> </w:t>
      </w:r>
      <w:r>
        <w:rPr/>
        <w:t>current</w:t>
      </w:r>
      <w:r>
        <w:rPr>
          <w:spacing w:val="18"/>
        </w:rPr>
        <w:t> </w:t>
      </w:r>
      <w:r>
        <w:rPr/>
        <w:t>dispute,</w:t>
      </w:r>
      <w:r>
        <w:rPr>
          <w:spacing w:val="18"/>
        </w:rPr>
        <w:t> </w:t>
      </w:r>
      <w:r>
        <w:rPr/>
        <w:t>compared</w:t>
      </w:r>
      <w:r>
        <w:rPr>
          <w:spacing w:val="17"/>
        </w:rPr>
        <w:t> </w:t>
      </w:r>
      <w:r>
        <w:rPr/>
        <w:t>with</w:t>
      </w:r>
      <w:r>
        <w:rPr>
          <w:spacing w:val="19"/>
        </w:rPr>
        <w:t> </w:t>
      </w:r>
      <w:r>
        <w:rPr/>
        <w:t>52</w:t>
      </w:r>
      <w:r>
        <w:rPr>
          <w:spacing w:val="18"/>
        </w:rPr>
        <w:t> </w:t>
      </w:r>
      <w:r>
        <w:rPr>
          <w:spacing w:val="-5"/>
        </w:rPr>
        <w:t>per</w:t>
      </w:r>
    </w:p>
    <w:p>
      <w:pPr>
        <w:spacing w:after="0"/>
        <w:jc w:val="both"/>
        <w:sectPr>
          <w:pgSz w:w="11910" w:h="16840"/>
          <w:pgMar w:header="0" w:footer="996" w:top="1340" w:bottom="1180" w:left="460" w:right="320"/>
        </w:sectPr>
      </w:pPr>
    </w:p>
    <w:p>
      <w:pPr>
        <w:pStyle w:val="BodyText"/>
        <w:spacing w:before="82"/>
        <w:ind w:left="1337" w:right="1473"/>
        <w:jc w:val="both"/>
      </w:pPr>
      <w:r>
        <w:rPr/>
        <w:t>cent on the claimant side (see Table 6). This is consistent with the findings from 2015 when 84 per cent on the employer side had heard of EC before their current dispute in comparison to 42 per cent on the claimant side.</w:t>
      </w:r>
    </w:p>
    <w:p>
      <w:pPr>
        <w:pStyle w:val="BodyText"/>
      </w:pPr>
    </w:p>
    <w:p>
      <w:pPr>
        <w:pStyle w:val="BodyText"/>
        <w:ind w:left="1337" w:right="1472"/>
        <w:jc w:val="both"/>
      </w:pPr>
      <w:r>
        <w:rPr/>
        <w:t>Echoing the claimant-side pattern, employer representatives were much more likely than employers to have previous knowledge – nearly all (98 per cent) employer representatives reported having previous knowledge of the service. Previous knowledge of the service among employers was also high, with 85 per cent</w:t>
      </w:r>
      <w:r>
        <w:rPr>
          <w:spacing w:val="-8"/>
        </w:rPr>
        <w:t> </w:t>
      </w:r>
      <w:r>
        <w:rPr/>
        <w:t>saying</w:t>
      </w:r>
      <w:r>
        <w:rPr>
          <w:spacing w:val="-8"/>
        </w:rPr>
        <w:t> </w:t>
      </w:r>
      <w:r>
        <w:rPr/>
        <w:t>they</w:t>
      </w:r>
      <w:r>
        <w:rPr>
          <w:spacing w:val="-8"/>
        </w:rPr>
        <w:t> </w:t>
      </w:r>
      <w:r>
        <w:rPr/>
        <w:t>were</w:t>
      </w:r>
      <w:r>
        <w:rPr>
          <w:spacing w:val="-7"/>
        </w:rPr>
        <w:t> </w:t>
      </w:r>
      <w:r>
        <w:rPr/>
        <w:t>aware</w:t>
      </w:r>
      <w:r>
        <w:rPr>
          <w:spacing w:val="-7"/>
        </w:rPr>
        <w:t> </w:t>
      </w:r>
      <w:r>
        <w:rPr/>
        <w:t>of</w:t>
      </w:r>
      <w:r>
        <w:rPr>
          <w:spacing w:val="-8"/>
        </w:rPr>
        <w:t> </w:t>
      </w:r>
      <w:r>
        <w:rPr/>
        <w:t>it:</w:t>
      </w:r>
      <w:r>
        <w:rPr>
          <w:spacing w:val="-7"/>
        </w:rPr>
        <w:t> </w:t>
      </w:r>
      <w:r>
        <w:rPr/>
        <w:t>a</w:t>
      </w:r>
      <w:r>
        <w:rPr>
          <w:spacing w:val="-8"/>
        </w:rPr>
        <w:t> </w:t>
      </w:r>
      <w:r>
        <w:rPr/>
        <w:t>significantly</w:t>
      </w:r>
      <w:r>
        <w:rPr>
          <w:spacing w:val="-8"/>
        </w:rPr>
        <w:t> </w:t>
      </w:r>
      <w:r>
        <w:rPr/>
        <w:t>higher</w:t>
      </w:r>
      <w:r>
        <w:rPr>
          <w:spacing w:val="-7"/>
        </w:rPr>
        <w:t> </w:t>
      </w:r>
      <w:r>
        <w:rPr/>
        <w:t>score</w:t>
      </w:r>
      <w:r>
        <w:rPr>
          <w:spacing w:val="-7"/>
        </w:rPr>
        <w:t> </w:t>
      </w:r>
      <w:r>
        <w:rPr/>
        <w:t>than</w:t>
      </w:r>
      <w:r>
        <w:rPr>
          <w:spacing w:val="-6"/>
        </w:rPr>
        <w:t> </w:t>
      </w:r>
      <w:r>
        <w:rPr/>
        <w:t>in</w:t>
      </w:r>
      <w:r>
        <w:rPr>
          <w:spacing w:val="-8"/>
        </w:rPr>
        <w:t> </w:t>
      </w:r>
      <w:r>
        <w:rPr/>
        <w:t>2015</w:t>
      </w:r>
      <w:r>
        <w:rPr>
          <w:spacing w:val="-7"/>
        </w:rPr>
        <w:t> </w:t>
      </w:r>
      <w:r>
        <w:rPr/>
        <w:t>(79</w:t>
      </w:r>
      <w:r>
        <w:rPr>
          <w:spacing w:val="-8"/>
        </w:rPr>
        <w:t> </w:t>
      </w:r>
      <w:r>
        <w:rPr/>
        <w:t>per </w:t>
      </w:r>
      <w:r>
        <w:rPr>
          <w:spacing w:val="-2"/>
        </w:rPr>
        <w:t>cent).</w:t>
      </w:r>
    </w:p>
    <w:p>
      <w:pPr>
        <w:pStyle w:val="BodyText"/>
      </w:pPr>
    </w:p>
    <w:p>
      <w:pPr>
        <w:pStyle w:val="Heading3"/>
        <w:spacing w:before="1"/>
        <w:ind w:right="1473"/>
      </w:pPr>
      <w:r>
        <w:rPr/>
        <w:t>Table 6. Previous knowledge of EC among employers and their </w:t>
      </w:r>
      <w:r>
        <w:rPr>
          <w:spacing w:val="-2"/>
        </w:rPr>
        <w:t>representatives</w:t>
      </w:r>
    </w:p>
    <w:p>
      <w:pPr>
        <w:pStyle w:val="BodyText"/>
        <w:spacing w:before="1"/>
        <w:rPr>
          <w:b/>
          <w:sz w:val="7"/>
        </w:rPr>
      </w:pPr>
      <w:r>
        <w:rPr/>
        <w:drawing>
          <wp:anchor distT="0" distB="0" distL="0" distR="0" allowOverlap="1" layoutInCell="1" locked="0" behindDoc="0" simplePos="0" relativeHeight="16">
            <wp:simplePos x="0" y="0"/>
            <wp:positionH relativeFrom="page">
              <wp:posOffset>1250775</wp:posOffset>
            </wp:positionH>
            <wp:positionV relativeFrom="paragraph">
              <wp:posOffset>70385</wp:posOffset>
            </wp:positionV>
            <wp:extent cx="5078267" cy="1414272"/>
            <wp:effectExtent l="0" t="0" r="0" b="0"/>
            <wp:wrapTopAndBottom/>
            <wp:docPr id="21" name="image11.png" descr="Table showing previous knowledge of EC among employers and their representatives "/>
            <wp:cNvGraphicFramePr>
              <a:graphicFrameLocks noChangeAspect="1"/>
            </wp:cNvGraphicFramePr>
            <a:graphic>
              <a:graphicData uri="http://schemas.openxmlformats.org/drawingml/2006/picture">
                <pic:pic>
                  <pic:nvPicPr>
                    <pic:cNvPr id="22" name="image11.png"/>
                    <pic:cNvPicPr/>
                  </pic:nvPicPr>
                  <pic:blipFill>
                    <a:blip r:embed="rId23" cstate="print"/>
                    <a:stretch>
                      <a:fillRect/>
                    </a:stretch>
                  </pic:blipFill>
                  <pic:spPr>
                    <a:xfrm>
                      <a:off x="0" y="0"/>
                      <a:ext cx="5078267" cy="1414272"/>
                    </a:xfrm>
                    <a:prstGeom prst="rect">
                      <a:avLst/>
                    </a:prstGeom>
                  </pic:spPr>
                </pic:pic>
              </a:graphicData>
            </a:graphic>
          </wp:anchor>
        </w:drawing>
      </w:r>
    </w:p>
    <w:p>
      <w:pPr>
        <w:pStyle w:val="BodyText"/>
        <w:spacing w:before="9"/>
        <w:rPr>
          <w:b/>
          <w:sz w:val="30"/>
        </w:rPr>
      </w:pPr>
    </w:p>
    <w:p>
      <w:pPr>
        <w:pStyle w:val="BodyText"/>
        <w:ind w:left="1337" w:right="1473"/>
        <w:jc w:val="both"/>
      </w:pPr>
      <w:r>
        <w:rPr/>
        <w:t>Of those who had previously heard of the EC service, representatives were more likely than employers to have used it before – 85 per cent of representatives compared</w:t>
      </w:r>
      <w:r>
        <w:rPr>
          <w:spacing w:val="-14"/>
        </w:rPr>
        <w:t> </w:t>
      </w:r>
      <w:r>
        <w:rPr/>
        <w:t>with</w:t>
      </w:r>
      <w:r>
        <w:rPr>
          <w:spacing w:val="-13"/>
        </w:rPr>
        <w:t> </w:t>
      </w:r>
      <w:r>
        <w:rPr/>
        <w:t>55</w:t>
      </w:r>
      <w:r>
        <w:rPr>
          <w:spacing w:val="-14"/>
        </w:rPr>
        <w:t> </w:t>
      </w:r>
      <w:r>
        <w:rPr/>
        <w:t>per</w:t>
      </w:r>
      <w:r>
        <w:rPr>
          <w:spacing w:val="-15"/>
        </w:rPr>
        <w:t> </w:t>
      </w:r>
      <w:r>
        <w:rPr/>
        <w:t>cent</w:t>
      </w:r>
      <w:r>
        <w:rPr>
          <w:spacing w:val="-14"/>
        </w:rPr>
        <w:t> </w:t>
      </w:r>
      <w:r>
        <w:rPr/>
        <w:t>of</w:t>
      </w:r>
      <w:r>
        <w:rPr>
          <w:spacing w:val="-15"/>
        </w:rPr>
        <w:t> </w:t>
      </w:r>
      <w:r>
        <w:rPr/>
        <w:t>employers.</w:t>
      </w:r>
      <w:r>
        <w:rPr>
          <w:spacing w:val="-13"/>
        </w:rPr>
        <w:t> </w:t>
      </w:r>
      <w:r>
        <w:rPr/>
        <w:t>Both</w:t>
      </w:r>
      <w:r>
        <w:rPr>
          <w:spacing w:val="-16"/>
        </w:rPr>
        <w:t> </w:t>
      </w:r>
      <w:r>
        <w:rPr/>
        <w:t>employers</w:t>
      </w:r>
      <w:r>
        <w:rPr>
          <w:spacing w:val="-14"/>
        </w:rPr>
        <w:t> </w:t>
      </w:r>
      <w:r>
        <w:rPr/>
        <w:t>and</w:t>
      </w:r>
      <w:r>
        <w:rPr>
          <w:spacing w:val="-14"/>
        </w:rPr>
        <w:t> </w:t>
      </w:r>
      <w:r>
        <w:rPr/>
        <w:t>representatives</w:t>
      </w:r>
      <w:r>
        <w:rPr>
          <w:spacing w:val="-14"/>
        </w:rPr>
        <w:t> </w:t>
      </w:r>
      <w:r>
        <w:rPr/>
        <w:t>were more likely to have previously used the service in 2019 than in 2015, when the service had only been offered for one year and</w:t>
      </w:r>
      <w:r>
        <w:rPr>
          <w:spacing w:val="-1"/>
        </w:rPr>
        <w:t> </w:t>
      </w:r>
      <w:r>
        <w:rPr/>
        <w:t>68 per cent of representatives and 33 per cent of employers who had heard of the service had used it (see Table 7).</w:t>
      </w:r>
    </w:p>
    <w:p>
      <w:pPr>
        <w:pStyle w:val="BodyText"/>
        <w:spacing w:before="1"/>
      </w:pPr>
    </w:p>
    <w:p>
      <w:pPr>
        <w:pStyle w:val="Heading3"/>
      </w:pPr>
      <w:r>
        <w:rPr/>
        <w:t>Table</w:t>
      </w:r>
      <w:r>
        <w:rPr>
          <w:spacing w:val="-5"/>
        </w:rPr>
        <w:t> </w:t>
      </w:r>
      <w:r>
        <w:rPr/>
        <w:t>7.</w:t>
      </w:r>
      <w:r>
        <w:rPr>
          <w:spacing w:val="-3"/>
        </w:rPr>
        <w:t> </w:t>
      </w:r>
      <w:r>
        <w:rPr/>
        <w:t>Previous</w:t>
      </w:r>
      <w:r>
        <w:rPr>
          <w:spacing w:val="-4"/>
        </w:rPr>
        <w:t> </w:t>
      </w:r>
      <w:r>
        <w:rPr/>
        <w:t>use</w:t>
      </w:r>
      <w:r>
        <w:rPr>
          <w:spacing w:val="-4"/>
        </w:rPr>
        <w:t> </w:t>
      </w:r>
      <w:r>
        <w:rPr/>
        <w:t>of</w:t>
      </w:r>
      <w:r>
        <w:rPr>
          <w:spacing w:val="-3"/>
        </w:rPr>
        <w:t> </w:t>
      </w:r>
      <w:r>
        <w:rPr/>
        <w:t>EC</w:t>
      </w:r>
      <w:r>
        <w:rPr>
          <w:spacing w:val="-4"/>
        </w:rPr>
        <w:t> </w:t>
      </w:r>
      <w:r>
        <w:rPr/>
        <w:t>among</w:t>
      </w:r>
      <w:r>
        <w:rPr>
          <w:spacing w:val="-3"/>
        </w:rPr>
        <w:t> </w:t>
      </w:r>
      <w:r>
        <w:rPr/>
        <w:t>employers</w:t>
      </w:r>
      <w:r>
        <w:rPr>
          <w:spacing w:val="-2"/>
        </w:rPr>
        <w:t> </w:t>
      </w:r>
      <w:r>
        <w:rPr/>
        <w:t>and</w:t>
      </w:r>
      <w:r>
        <w:rPr>
          <w:spacing w:val="-3"/>
        </w:rPr>
        <w:t> </w:t>
      </w:r>
      <w:r>
        <w:rPr/>
        <w:t>their</w:t>
      </w:r>
      <w:r>
        <w:rPr>
          <w:spacing w:val="-2"/>
        </w:rPr>
        <w:t> representatives</w:t>
      </w:r>
    </w:p>
    <w:p>
      <w:pPr>
        <w:pStyle w:val="BodyText"/>
        <w:spacing w:before="5"/>
        <w:rPr>
          <w:b/>
          <w:sz w:val="9"/>
        </w:rPr>
      </w:pPr>
      <w:r>
        <w:rPr/>
        <w:drawing>
          <wp:anchor distT="0" distB="0" distL="0" distR="0" allowOverlap="1" layoutInCell="1" locked="0" behindDoc="0" simplePos="0" relativeHeight="17">
            <wp:simplePos x="0" y="0"/>
            <wp:positionH relativeFrom="page">
              <wp:posOffset>1180095</wp:posOffset>
            </wp:positionH>
            <wp:positionV relativeFrom="paragraph">
              <wp:posOffset>88016</wp:posOffset>
            </wp:positionV>
            <wp:extent cx="5081910" cy="1414272"/>
            <wp:effectExtent l="0" t="0" r="0" b="0"/>
            <wp:wrapTopAndBottom/>
            <wp:docPr id="23" name="image12.png" descr="Table showing previous use of EC among employers and their representatives "/>
            <wp:cNvGraphicFramePr>
              <a:graphicFrameLocks noChangeAspect="1"/>
            </wp:cNvGraphicFramePr>
            <a:graphic>
              <a:graphicData uri="http://schemas.openxmlformats.org/drawingml/2006/picture">
                <pic:pic>
                  <pic:nvPicPr>
                    <pic:cNvPr id="24" name="image12.png"/>
                    <pic:cNvPicPr/>
                  </pic:nvPicPr>
                  <pic:blipFill>
                    <a:blip r:embed="rId24" cstate="print"/>
                    <a:stretch>
                      <a:fillRect/>
                    </a:stretch>
                  </pic:blipFill>
                  <pic:spPr>
                    <a:xfrm>
                      <a:off x="0" y="0"/>
                      <a:ext cx="5081910" cy="1414272"/>
                    </a:xfrm>
                    <a:prstGeom prst="rect">
                      <a:avLst/>
                    </a:prstGeom>
                  </pic:spPr>
                </pic:pic>
              </a:graphicData>
            </a:graphic>
          </wp:anchor>
        </w:drawing>
      </w:r>
    </w:p>
    <w:p>
      <w:pPr>
        <w:pStyle w:val="BodyText"/>
        <w:spacing w:before="9"/>
        <w:rPr>
          <w:b/>
          <w:sz w:val="33"/>
        </w:rPr>
      </w:pPr>
    </w:p>
    <w:p>
      <w:pPr>
        <w:pStyle w:val="BodyText"/>
        <w:ind w:left="1337" w:right="1475"/>
        <w:jc w:val="both"/>
      </w:pPr>
      <w:r>
        <w:rPr/>
        <w:t>Other key demographic factors associated with previous awareness and usage of EC among employers are:</w:t>
      </w:r>
    </w:p>
    <w:p>
      <w:pPr>
        <w:pStyle w:val="BodyText"/>
        <w:spacing w:before="1"/>
      </w:pPr>
    </w:p>
    <w:p>
      <w:pPr>
        <w:pStyle w:val="ListParagraph"/>
        <w:numPr>
          <w:ilvl w:val="0"/>
          <w:numId w:val="18"/>
        </w:numPr>
        <w:tabs>
          <w:tab w:pos="2058" w:val="left" w:leader="none"/>
        </w:tabs>
        <w:spacing w:line="240" w:lineRule="auto" w:before="0" w:after="0"/>
        <w:ind w:left="2057" w:right="1473" w:hanging="360"/>
        <w:jc w:val="both"/>
        <w:rPr>
          <w:sz w:val="20"/>
        </w:rPr>
      </w:pPr>
      <w:r>
        <w:rPr>
          <w:sz w:val="20"/>
        </w:rPr>
        <w:t>Those</w:t>
      </w:r>
      <w:r>
        <w:rPr>
          <w:spacing w:val="-18"/>
          <w:sz w:val="20"/>
        </w:rPr>
        <w:t> </w:t>
      </w:r>
      <w:r>
        <w:rPr>
          <w:sz w:val="20"/>
        </w:rPr>
        <w:t>involved</w:t>
      </w:r>
      <w:r>
        <w:rPr>
          <w:spacing w:val="-17"/>
          <w:sz w:val="20"/>
        </w:rPr>
        <w:t> </w:t>
      </w:r>
      <w:r>
        <w:rPr>
          <w:sz w:val="20"/>
        </w:rPr>
        <w:t>in</w:t>
      </w:r>
      <w:r>
        <w:rPr>
          <w:spacing w:val="-17"/>
          <w:sz w:val="20"/>
        </w:rPr>
        <w:t> </w:t>
      </w:r>
      <w:r>
        <w:rPr>
          <w:sz w:val="20"/>
        </w:rPr>
        <w:t>open</w:t>
      </w:r>
      <w:r>
        <w:rPr>
          <w:spacing w:val="-18"/>
          <w:sz w:val="20"/>
        </w:rPr>
        <w:t> </w:t>
      </w:r>
      <w:r>
        <w:rPr>
          <w:sz w:val="20"/>
        </w:rPr>
        <w:t>and</w:t>
      </w:r>
      <w:r>
        <w:rPr>
          <w:spacing w:val="-16"/>
          <w:sz w:val="20"/>
        </w:rPr>
        <w:t> </w:t>
      </w:r>
      <w:r>
        <w:rPr>
          <w:sz w:val="20"/>
        </w:rPr>
        <w:t>standard</w:t>
      </w:r>
      <w:r>
        <w:rPr>
          <w:spacing w:val="-17"/>
          <w:sz w:val="20"/>
        </w:rPr>
        <w:t> </w:t>
      </w:r>
      <w:r>
        <w:rPr>
          <w:sz w:val="20"/>
        </w:rPr>
        <w:t>track</w:t>
      </w:r>
      <w:r>
        <w:rPr>
          <w:spacing w:val="-17"/>
          <w:sz w:val="20"/>
        </w:rPr>
        <w:t> </w:t>
      </w:r>
      <w:r>
        <w:rPr>
          <w:sz w:val="20"/>
        </w:rPr>
        <w:t>disputes</w:t>
      </w:r>
      <w:r>
        <w:rPr>
          <w:spacing w:val="-18"/>
          <w:sz w:val="20"/>
        </w:rPr>
        <w:t> </w:t>
      </w:r>
      <w:r>
        <w:rPr>
          <w:sz w:val="20"/>
        </w:rPr>
        <w:t>were</w:t>
      </w:r>
      <w:r>
        <w:rPr>
          <w:spacing w:val="-17"/>
          <w:sz w:val="20"/>
        </w:rPr>
        <w:t> </w:t>
      </w:r>
      <w:r>
        <w:rPr>
          <w:sz w:val="20"/>
        </w:rPr>
        <w:t>more</w:t>
      </w:r>
      <w:r>
        <w:rPr>
          <w:spacing w:val="-18"/>
          <w:sz w:val="20"/>
        </w:rPr>
        <w:t> </w:t>
      </w:r>
      <w:r>
        <w:rPr>
          <w:sz w:val="20"/>
        </w:rPr>
        <w:t>likely</w:t>
      </w:r>
      <w:r>
        <w:rPr>
          <w:spacing w:val="-16"/>
          <w:sz w:val="20"/>
        </w:rPr>
        <w:t> </w:t>
      </w:r>
      <w:r>
        <w:rPr>
          <w:sz w:val="20"/>
        </w:rPr>
        <w:t>to</w:t>
      </w:r>
      <w:r>
        <w:rPr>
          <w:spacing w:val="-17"/>
          <w:sz w:val="20"/>
        </w:rPr>
        <w:t> </w:t>
      </w:r>
      <w:r>
        <w:rPr>
          <w:sz w:val="20"/>
        </w:rPr>
        <w:t>have heard</w:t>
      </w:r>
      <w:r>
        <w:rPr>
          <w:spacing w:val="-2"/>
          <w:sz w:val="20"/>
        </w:rPr>
        <w:t> </w:t>
      </w:r>
      <w:r>
        <w:rPr>
          <w:sz w:val="20"/>
        </w:rPr>
        <w:t>of</w:t>
      </w:r>
      <w:r>
        <w:rPr>
          <w:spacing w:val="-2"/>
          <w:sz w:val="20"/>
        </w:rPr>
        <w:t> </w:t>
      </w:r>
      <w:r>
        <w:rPr>
          <w:sz w:val="20"/>
        </w:rPr>
        <w:t>EC</w:t>
      </w:r>
      <w:r>
        <w:rPr>
          <w:spacing w:val="-3"/>
          <w:sz w:val="20"/>
        </w:rPr>
        <w:t> </w:t>
      </w:r>
      <w:r>
        <w:rPr>
          <w:sz w:val="20"/>
        </w:rPr>
        <w:t>prior</w:t>
      </w:r>
      <w:r>
        <w:rPr>
          <w:spacing w:val="-2"/>
          <w:sz w:val="20"/>
        </w:rPr>
        <w:t> </w:t>
      </w:r>
      <w:r>
        <w:rPr>
          <w:sz w:val="20"/>
        </w:rPr>
        <w:t>to</w:t>
      </w:r>
      <w:r>
        <w:rPr>
          <w:spacing w:val="-2"/>
          <w:sz w:val="20"/>
        </w:rPr>
        <w:t> </w:t>
      </w:r>
      <w:r>
        <w:rPr>
          <w:sz w:val="20"/>
        </w:rPr>
        <w:t>their</w:t>
      </w:r>
      <w:r>
        <w:rPr>
          <w:spacing w:val="-2"/>
          <w:sz w:val="20"/>
        </w:rPr>
        <w:t> </w:t>
      </w:r>
      <w:r>
        <w:rPr>
          <w:sz w:val="20"/>
        </w:rPr>
        <w:t>current</w:t>
      </w:r>
      <w:r>
        <w:rPr>
          <w:spacing w:val="-2"/>
          <w:sz w:val="20"/>
        </w:rPr>
        <w:t> </w:t>
      </w:r>
      <w:r>
        <w:rPr>
          <w:sz w:val="20"/>
        </w:rPr>
        <w:t>dispute</w:t>
      </w:r>
      <w:r>
        <w:rPr>
          <w:spacing w:val="-2"/>
          <w:sz w:val="20"/>
        </w:rPr>
        <w:t> </w:t>
      </w:r>
      <w:r>
        <w:rPr>
          <w:sz w:val="20"/>
        </w:rPr>
        <w:t>compared</w:t>
      </w:r>
      <w:r>
        <w:rPr>
          <w:spacing w:val="-2"/>
          <w:sz w:val="20"/>
        </w:rPr>
        <w:t> </w:t>
      </w:r>
      <w:r>
        <w:rPr>
          <w:sz w:val="20"/>
        </w:rPr>
        <w:t>with</w:t>
      </w:r>
      <w:r>
        <w:rPr>
          <w:spacing w:val="-1"/>
          <w:sz w:val="20"/>
        </w:rPr>
        <w:t> </w:t>
      </w:r>
      <w:r>
        <w:rPr>
          <w:sz w:val="20"/>
        </w:rPr>
        <w:t>those</w:t>
      </w:r>
      <w:r>
        <w:rPr>
          <w:spacing w:val="-2"/>
          <w:sz w:val="20"/>
        </w:rPr>
        <w:t> </w:t>
      </w:r>
      <w:r>
        <w:rPr>
          <w:sz w:val="20"/>
        </w:rPr>
        <w:t>in</w:t>
      </w:r>
      <w:r>
        <w:rPr>
          <w:spacing w:val="-1"/>
          <w:sz w:val="20"/>
        </w:rPr>
        <w:t> </w:t>
      </w:r>
      <w:r>
        <w:rPr>
          <w:sz w:val="20"/>
        </w:rPr>
        <w:t>fast</w:t>
      </w:r>
      <w:r>
        <w:rPr>
          <w:spacing w:val="-2"/>
          <w:sz w:val="20"/>
        </w:rPr>
        <w:t> </w:t>
      </w:r>
      <w:r>
        <w:rPr>
          <w:sz w:val="20"/>
        </w:rPr>
        <w:t>track disputes (94 per cent and 92 per cent compared with 80 per cent </w:t>
      </w:r>
      <w:r>
        <w:rPr>
          <w:spacing w:val="-2"/>
          <w:sz w:val="20"/>
        </w:rPr>
        <w:t>respectively).</w:t>
      </w:r>
    </w:p>
    <w:p>
      <w:pPr>
        <w:pStyle w:val="BodyText"/>
        <w:spacing w:before="10"/>
        <w:rPr>
          <w:sz w:val="19"/>
        </w:rPr>
      </w:pPr>
    </w:p>
    <w:p>
      <w:pPr>
        <w:pStyle w:val="ListParagraph"/>
        <w:numPr>
          <w:ilvl w:val="0"/>
          <w:numId w:val="18"/>
        </w:numPr>
        <w:tabs>
          <w:tab w:pos="2058" w:val="left" w:leader="none"/>
        </w:tabs>
        <w:spacing w:line="240" w:lineRule="auto" w:before="1" w:after="0"/>
        <w:ind w:left="2057" w:right="1473" w:hanging="360"/>
        <w:jc w:val="both"/>
        <w:rPr>
          <w:sz w:val="20"/>
        </w:rPr>
      </w:pPr>
      <w:r>
        <w:rPr>
          <w:sz w:val="20"/>
        </w:rPr>
        <w:t>Those who worked at larger organisations were significantly more likely to have heard of EC before their dispute and to have previously used the service compared with smaller businesses:</w:t>
      </w:r>
    </w:p>
    <w:p>
      <w:pPr>
        <w:spacing w:after="0" w:line="240" w:lineRule="auto"/>
        <w:jc w:val="both"/>
        <w:rPr>
          <w:sz w:val="20"/>
        </w:rPr>
        <w:sectPr>
          <w:pgSz w:w="11910" w:h="16840"/>
          <w:pgMar w:header="0" w:footer="996" w:top="1340" w:bottom="1180" w:left="460" w:right="320"/>
        </w:sectPr>
      </w:pPr>
    </w:p>
    <w:p>
      <w:pPr>
        <w:pStyle w:val="ListParagraph"/>
        <w:numPr>
          <w:ilvl w:val="1"/>
          <w:numId w:val="18"/>
        </w:numPr>
        <w:tabs>
          <w:tab w:pos="2778" w:val="left" w:leader="none"/>
        </w:tabs>
        <w:spacing w:line="235" w:lineRule="auto" w:before="85" w:after="0"/>
        <w:ind w:left="2777" w:right="1472" w:hanging="361"/>
        <w:jc w:val="both"/>
        <w:rPr>
          <w:sz w:val="20"/>
        </w:rPr>
      </w:pPr>
      <w:r>
        <w:rPr>
          <w:sz w:val="20"/>
        </w:rPr>
        <w:t>Organisations</w:t>
      </w:r>
      <w:r>
        <w:rPr>
          <w:spacing w:val="-8"/>
          <w:sz w:val="20"/>
        </w:rPr>
        <w:t> </w:t>
      </w:r>
      <w:r>
        <w:rPr>
          <w:sz w:val="20"/>
        </w:rPr>
        <w:t>with</w:t>
      </w:r>
      <w:r>
        <w:rPr>
          <w:spacing w:val="-9"/>
          <w:sz w:val="20"/>
        </w:rPr>
        <w:t> </w:t>
      </w:r>
      <w:r>
        <w:rPr>
          <w:sz w:val="20"/>
        </w:rPr>
        <w:t>fifty</w:t>
      </w:r>
      <w:r>
        <w:rPr>
          <w:spacing w:val="-8"/>
          <w:sz w:val="20"/>
        </w:rPr>
        <w:t> </w:t>
      </w:r>
      <w:r>
        <w:rPr>
          <w:sz w:val="20"/>
        </w:rPr>
        <w:t>employees</w:t>
      </w:r>
      <w:r>
        <w:rPr>
          <w:spacing w:val="-8"/>
          <w:sz w:val="20"/>
        </w:rPr>
        <w:t> </w:t>
      </w:r>
      <w:r>
        <w:rPr>
          <w:sz w:val="20"/>
        </w:rPr>
        <w:t>or</w:t>
      </w:r>
      <w:r>
        <w:rPr>
          <w:spacing w:val="-7"/>
          <w:sz w:val="20"/>
        </w:rPr>
        <w:t> </w:t>
      </w:r>
      <w:r>
        <w:rPr>
          <w:sz w:val="20"/>
        </w:rPr>
        <w:t>more</w:t>
      </w:r>
      <w:r>
        <w:rPr>
          <w:spacing w:val="-7"/>
          <w:sz w:val="20"/>
        </w:rPr>
        <w:t> </w:t>
      </w:r>
      <w:r>
        <w:rPr>
          <w:sz w:val="20"/>
        </w:rPr>
        <w:t>were</w:t>
      </w:r>
      <w:r>
        <w:rPr>
          <w:spacing w:val="-7"/>
          <w:sz w:val="20"/>
        </w:rPr>
        <w:t> </w:t>
      </w:r>
      <w:r>
        <w:rPr>
          <w:sz w:val="20"/>
        </w:rPr>
        <w:t>more</w:t>
      </w:r>
      <w:r>
        <w:rPr>
          <w:spacing w:val="-7"/>
          <w:sz w:val="20"/>
        </w:rPr>
        <w:t> </w:t>
      </w:r>
      <w:r>
        <w:rPr>
          <w:sz w:val="20"/>
        </w:rPr>
        <w:t>likely</w:t>
      </w:r>
      <w:r>
        <w:rPr>
          <w:spacing w:val="-8"/>
          <w:sz w:val="20"/>
        </w:rPr>
        <w:t> </w:t>
      </w:r>
      <w:r>
        <w:rPr>
          <w:sz w:val="20"/>
        </w:rPr>
        <w:t>to</w:t>
      </w:r>
      <w:r>
        <w:rPr>
          <w:spacing w:val="-8"/>
          <w:sz w:val="20"/>
        </w:rPr>
        <w:t> </w:t>
      </w:r>
      <w:r>
        <w:rPr>
          <w:sz w:val="20"/>
        </w:rPr>
        <w:t>have heard of EC: nine in ten of those organisations with fifty or more employees</w:t>
      </w:r>
      <w:r>
        <w:rPr>
          <w:spacing w:val="-14"/>
          <w:sz w:val="20"/>
        </w:rPr>
        <w:t> </w:t>
      </w:r>
      <w:r>
        <w:rPr>
          <w:sz w:val="20"/>
        </w:rPr>
        <w:t>said</w:t>
      </w:r>
      <w:r>
        <w:rPr>
          <w:spacing w:val="-14"/>
          <w:sz w:val="20"/>
        </w:rPr>
        <w:t> </w:t>
      </w:r>
      <w:r>
        <w:rPr>
          <w:sz w:val="20"/>
        </w:rPr>
        <w:t>they</w:t>
      </w:r>
      <w:r>
        <w:rPr>
          <w:spacing w:val="-14"/>
          <w:sz w:val="20"/>
        </w:rPr>
        <w:t> </w:t>
      </w:r>
      <w:r>
        <w:rPr>
          <w:sz w:val="20"/>
        </w:rPr>
        <w:t>were</w:t>
      </w:r>
      <w:r>
        <w:rPr>
          <w:spacing w:val="-14"/>
          <w:sz w:val="20"/>
        </w:rPr>
        <w:t> </w:t>
      </w:r>
      <w:r>
        <w:rPr>
          <w:sz w:val="20"/>
        </w:rPr>
        <w:t>aware</w:t>
      </w:r>
      <w:r>
        <w:rPr>
          <w:spacing w:val="-14"/>
          <w:sz w:val="20"/>
        </w:rPr>
        <w:t> </w:t>
      </w:r>
      <w:r>
        <w:rPr>
          <w:sz w:val="20"/>
        </w:rPr>
        <w:t>of</w:t>
      </w:r>
      <w:r>
        <w:rPr>
          <w:spacing w:val="-14"/>
          <w:sz w:val="20"/>
        </w:rPr>
        <w:t> </w:t>
      </w:r>
      <w:r>
        <w:rPr>
          <w:sz w:val="20"/>
        </w:rPr>
        <w:t>the</w:t>
      </w:r>
      <w:r>
        <w:rPr>
          <w:spacing w:val="-14"/>
          <w:sz w:val="20"/>
        </w:rPr>
        <w:t> </w:t>
      </w:r>
      <w:r>
        <w:rPr>
          <w:sz w:val="20"/>
        </w:rPr>
        <w:t>service</w:t>
      </w:r>
      <w:r>
        <w:rPr>
          <w:spacing w:val="-16"/>
          <w:sz w:val="20"/>
        </w:rPr>
        <w:t> </w:t>
      </w:r>
      <w:r>
        <w:rPr>
          <w:sz w:val="20"/>
        </w:rPr>
        <w:t>previously,</w:t>
      </w:r>
      <w:r>
        <w:rPr>
          <w:spacing w:val="-14"/>
          <w:sz w:val="20"/>
        </w:rPr>
        <w:t> </w:t>
      </w:r>
      <w:r>
        <w:rPr>
          <w:sz w:val="20"/>
        </w:rPr>
        <w:t>compared with around seven in ten for smaller organisations.</w:t>
      </w:r>
    </w:p>
    <w:p>
      <w:pPr>
        <w:pStyle w:val="ListParagraph"/>
        <w:numPr>
          <w:ilvl w:val="1"/>
          <w:numId w:val="18"/>
        </w:numPr>
        <w:tabs>
          <w:tab w:pos="2778" w:val="left" w:leader="none"/>
        </w:tabs>
        <w:spacing w:line="235" w:lineRule="auto" w:before="2" w:after="0"/>
        <w:ind w:left="2777" w:right="1473" w:hanging="361"/>
        <w:jc w:val="both"/>
        <w:rPr>
          <w:sz w:val="20"/>
        </w:rPr>
      </w:pPr>
      <w:r>
        <w:rPr>
          <w:sz w:val="20"/>
        </w:rPr>
        <w:t>Experience of previous use of the service was significantly higher among</w:t>
      </w:r>
      <w:r>
        <w:rPr>
          <w:spacing w:val="-7"/>
          <w:sz w:val="20"/>
        </w:rPr>
        <w:t> </w:t>
      </w:r>
      <w:r>
        <w:rPr>
          <w:sz w:val="20"/>
        </w:rPr>
        <w:t>the</w:t>
      </w:r>
      <w:r>
        <w:rPr>
          <w:spacing w:val="-7"/>
          <w:sz w:val="20"/>
        </w:rPr>
        <w:t> </w:t>
      </w:r>
      <w:r>
        <w:rPr>
          <w:sz w:val="20"/>
        </w:rPr>
        <w:t>largest</w:t>
      </w:r>
      <w:r>
        <w:rPr>
          <w:spacing w:val="-6"/>
          <w:sz w:val="20"/>
        </w:rPr>
        <w:t> </w:t>
      </w:r>
      <w:r>
        <w:rPr>
          <w:sz w:val="20"/>
        </w:rPr>
        <w:t>businesses</w:t>
      </w:r>
      <w:r>
        <w:rPr>
          <w:spacing w:val="-7"/>
          <w:sz w:val="20"/>
        </w:rPr>
        <w:t> </w:t>
      </w:r>
      <w:r>
        <w:rPr>
          <w:sz w:val="20"/>
        </w:rPr>
        <w:t>only;</w:t>
      </w:r>
      <w:r>
        <w:rPr>
          <w:spacing w:val="-6"/>
          <w:sz w:val="20"/>
        </w:rPr>
        <w:t> </w:t>
      </w:r>
      <w:r>
        <w:rPr>
          <w:sz w:val="20"/>
        </w:rPr>
        <w:t>78</w:t>
      </w:r>
      <w:r>
        <w:rPr>
          <w:spacing w:val="-7"/>
          <w:sz w:val="20"/>
        </w:rPr>
        <w:t> </w:t>
      </w:r>
      <w:r>
        <w:rPr>
          <w:sz w:val="20"/>
        </w:rPr>
        <w:t>per</w:t>
      </w:r>
      <w:r>
        <w:rPr>
          <w:spacing w:val="-7"/>
          <w:sz w:val="20"/>
        </w:rPr>
        <w:t> </w:t>
      </w:r>
      <w:r>
        <w:rPr>
          <w:sz w:val="20"/>
        </w:rPr>
        <w:t>cent</w:t>
      </w:r>
      <w:r>
        <w:rPr>
          <w:spacing w:val="-6"/>
          <w:sz w:val="20"/>
        </w:rPr>
        <w:t> </w:t>
      </w:r>
      <w:r>
        <w:rPr>
          <w:sz w:val="20"/>
        </w:rPr>
        <w:t>of</w:t>
      </w:r>
      <w:r>
        <w:rPr>
          <w:spacing w:val="-6"/>
          <w:sz w:val="20"/>
        </w:rPr>
        <w:t> </w:t>
      </w:r>
      <w:r>
        <w:rPr>
          <w:sz w:val="20"/>
        </w:rPr>
        <w:t>those</w:t>
      </w:r>
      <w:r>
        <w:rPr>
          <w:spacing w:val="-7"/>
          <w:sz w:val="20"/>
        </w:rPr>
        <w:t> </w:t>
      </w:r>
      <w:r>
        <w:rPr>
          <w:sz w:val="20"/>
        </w:rPr>
        <w:t>with</w:t>
      </w:r>
      <w:r>
        <w:rPr>
          <w:spacing w:val="-6"/>
          <w:sz w:val="20"/>
        </w:rPr>
        <w:t> </w:t>
      </w:r>
      <w:r>
        <w:rPr>
          <w:sz w:val="20"/>
        </w:rPr>
        <w:t>500</w:t>
      </w:r>
      <w:r>
        <w:rPr>
          <w:spacing w:val="-7"/>
          <w:sz w:val="20"/>
        </w:rPr>
        <w:t> </w:t>
      </w:r>
      <w:r>
        <w:rPr>
          <w:sz w:val="20"/>
        </w:rPr>
        <w:t>or more</w:t>
      </w:r>
      <w:r>
        <w:rPr>
          <w:spacing w:val="-8"/>
          <w:sz w:val="20"/>
        </w:rPr>
        <w:t> </w:t>
      </w:r>
      <w:r>
        <w:rPr>
          <w:sz w:val="20"/>
        </w:rPr>
        <w:t>employees</w:t>
      </w:r>
      <w:r>
        <w:rPr>
          <w:spacing w:val="-8"/>
          <w:sz w:val="20"/>
        </w:rPr>
        <w:t> </w:t>
      </w:r>
      <w:r>
        <w:rPr>
          <w:sz w:val="20"/>
        </w:rPr>
        <w:t>reported</w:t>
      </w:r>
      <w:r>
        <w:rPr>
          <w:spacing w:val="-8"/>
          <w:sz w:val="20"/>
        </w:rPr>
        <w:t> </w:t>
      </w:r>
      <w:r>
        <w:rPr>
          <w:sz w:val="20"/>
        </w:rPr>
        <w:t>having</w:t>
      </w:r>
      <w:r>
        <w:rPr>
          <w:spacing w:val="-9"/>
          <w:sz w:val="20"/>
        </w:rPr>
        <w:t> </w:t>
      </w:r>
      <w:r>
        <w:rPr>
          <w:sz w:val="20"/>
        </w:rPr>
        <w:t>used</w:t>
      </w:r>
      <w:r>
        <w:rPr>
          <w:spacing w:val="-8"/>
          <w:sz w:val="20"/>
        </w:rPr>
        <w:t> </w:t>
      </w:r>
      <w:r>
        <w:rPr>
          <w:sz w:val="20"/>
        </w:rPr>
        <w:t>the</w:t>
      </w:r>
      <w:r>
        <w:rPr>
          <w:spacing w:val="-8"/>
          <w:sz w:val="20"/>
        </w:rPr>
        <w:t> </w:t>
      </w:r>
      <w:r>
        <w:rPr>
          <w:sz w:val="20"/>
        </w:rPr>
        <w:t>service</w:t>
      </w:r>
      <w:r>
        <w:rPr>
          <w:spacing w:val="-8"/>
          <w:sz w:val="20"/>
        </w:rPr>
        <w:t> </w:t>
      </w:r>
      <w:r>
        <w:rPr>
          <w:sz w:val="20"/>
        </w:rPr>
        <w:t>before,</w:t>
      </w:r>
      <w:r>
        <w:rPr>
          <w:spacing w:val="-7"/>
          <w:sz w:val="20"/>
        </w:rPr>
        <w:t> </w:t>
      </w:r>
      <w:r>
        <w:rPr>
          <w:sz w:val="20"/>
        </w:rPr>
        <w:t>compared with the overall level of 64 per cent.</w:t>
      </w:r>
    </w:p>
    <w:p>
      <w:pPr>
        <w:pStyle w:val="BodyText"/>
        <w:spacing w:before="10"/>
        <w:rPr>
          <w:sz w:val="19"/>
        </w:rPr>
      </w:pPr>
    </w:p>
    <w:p>
      <w:pPr>
        <w:pStyle w:val="BodyText"/>
        <w:spacing w:before="1"/>
        <w:ind w:left="1337" w:right="1472"/>
        <w:jc w:val="both"/>
      </w:pPr>
      <w:r>
        <w:rPr/>
        <w:t>It is also worth noting that among </w:t>
      </w:r>
      <w:r>
        <w:rPr>
          <w:i/>
        </w:rPr>
        <w:t>both </w:t>
      </w:r>
      <w:r>
        <w:rPr/>
        <w:t>sets of representatives, those who had never</w:t>
      </w:r>
      <w:r>
        <w:rPr>
          <w:spacing w:val="-15"/>
        </w:rPr>
        <w:t> </w:t>
      </w:r>
      <w:r>
        <w:rPr/>
        <w:t>dealt</w:t>
      </w:r>
      <w:r>
        <w:rPr>
          <w:spacing w:val="-16"/>
        </w:rPr>
        <w:t> </w:t>
      </w:r>
      <w:r>
        <w:rPr/>
        <w:t>with</w:t>
      </w:r>
      <w:r>
        <w:rPr>
          <w:spacing w:val="-15"/>
        </w:rPr>
        <w:t> </w:t>
      </w:r>
      <w:r>
        <w:rPr/>
        <w:t>an</w:t>
      </w:r>
      <w:r>
        <w:rPr>
          <w:spacing w:val="-15"/>
        </w:rPr>
        <w:t> </w:t>
      </w:r>
      <w:r>
        <w:rPr/>
        <w:t>employment</w:t>
      </w:r>
      <w:r>
        <w:rPr>
          <w:spacing w:val="-15"/>
        </w:rPr>
        <w:t> </w:t>
      </w:r>
      <w:r>
        <w:rPr/>
        <w:t>tribunal</w:t>
      </w:r>
      <w:r>
        <w:rPr>
          <w:spacing w:val="-16"/>
        </w:rPr>
        <w:t> </w:t>
      </w:r>
      <w:r>
        <w:rPr/>
        <w:t>claim</w:t>
      </w:r>
      <w:r>
        <w:rPr>
          <w:spacing w:val="-15"/>
        </w:rPr>
        <w:t> </w:t>
      </w:r>
      <w:r>
        <w:rPr/>
        <w:t>before</w:t>
      </w:r>
      <w:r>
        <w:rPr>
          <w:spacing w:val="-15"/>
        </w:rPr>
        <w:t> </w:t>
      </w:r>
      <w:r>
        <w:rPr/>
        <w:t>were</w:t>
      </w:r>
      <w:r>
        <w:rPr>
          <w:spacing w:val="-17"/>
        </w:rPr>
        <w:t> </w:t>
      </w:r>
      <w:r>
        <w:rPr/>
        <w:t>much</w:t>
      </w:r>
      <w:r>
        <w:rPr>
          <w:spacing w:val="-16"/>
        </w:rPr>
        <w:t> </w:t>
      </w:r>
      <w:r>
        <w:rPr/>
        <w:t>less</w:t>
      </w:r>
      <w:r>
        <w:rPr>
          <w:spacing w:val="-15"/>
        </w:rPr>
        <w:t> </w:t>
      </w:r>
      <w:r>
        <w:rPr/>
        <w:t>likely</w:t>
      </w:r>
      <w:r>
        <w:rPr>
          <w:spacing w:val="-15"/>
        </w:rPr>
        <w:t> </w:t>
      </w:r>
      <w:r>
        <w:rPr/>
        <w:t>to</w:t>
      </w:r>
      <w:r>
        <w:rPr>
          <w:spacing w:val="-15"/>
        </w:rPr>
        <w:t> </w:t>
      </w:r>
      <w:r>
        <w:rPr/>
        <w:t>have heard of Early Conciliation (41 per cent). Although the sample size of those who have</w:t>
      </w:r>
      <w:r>
        <w:rPr>
          <w:spacing w:val="-7"/>
        </w:rPr>
        <w:t> </w:t>
      </w:r>
      <w:r>
        <w:rPr/>
        <w:t>never</w:t>
      </w:r>
      <w:r>
        <w:rPr>
          <w:spacing w:val="-7"/>
        </w:rPr>
        <w:t> </w:t>
      </w:r>
      <w:r>
        <w:rPr/>
        <w:t>dealt</w:t>
      </w:r>
      <w:r>
        <w:rPr>
          <w:spacing w:val="-5"/>
        </w:rPr>
        <w:t> </w:t>
      </w:r>
      <w:r>
        <w:rPr/>
        <w:t>with</w:t>
      </w:r>
      <w:r>
        <w:rPr>
          <w:spacing w:val="-5"/>
        </w:rPr>
        <w:t> </w:t>
      </w:r>
      <w:r>
        <w:rPr/>
        <w:t>an</w:t>
      </w:r>
      <w:r>
        <w:rPr>
          <w:spacing w:val="-6"/>
        </w:rPr>
        <w:t> </w:t>
      </w:r>
      <w:r>
        <w:rPr/>
        <w:t>ET</w:t>
      </w:r>
      <w:r>
        <w:rPr>
          <w:spacing w:val="-7"/>
        </w:rPr>
        <w:t> </w:t>
      </w:r>
      <w:r>
        <w:rPr/>
        <w:t>claim</w:t>
      </w:r>
      <w:r>
        <w:rPr>
          <w:spacing w:val="-6"/>
        </w:rPr>
        <w:t> </w:t>
      </w:r>
      <w:r>
        <w:rPr/>
        <w:t>before</w:t>
      </w:r>
      <w:r>
        <w:rPr>
          <w:spacing w:val="-6"/>
        </w:rPr>
        <w:t> </w:t>
      </w:r>
      <w:r>
        <w:rPr/>
        <w:t>is</w:t>
      </w:r>
      <w:r>
        <w:rPr>
          <w:spacing w:val="-6"/>
        </w:rPr>
        <w:t> </w:t>
      </w:r>
      <w:r>
        <w:rPr/>
        <w:t>small</w:t>
      </w:r>
      <w:r>
        <w:rPr>
          <w:spacing w:val="-7"/>
        </w:rPr>
        <w:t> </w:t>
      </w:r>
      <w:r>
        <w:rPr/>
        <w:t>–</w:t>
      </w:r>
      <w:r>
        <w:rPr>
          <w:spacing w:val="-6"/>
        </w:rPr>
        <w:t> </w:t>
      </w:r>
      <w:r>
        <w:rPr/>
        <w:t>64</w:t>
      </w:r>
      <w:r>
        <w:rPr>
          <w:spacing w:val="-6"/>
        </w:rPr>
        <w:t> </w:t>
      </w:r>
      <w:r>
        <w:rPr/>
        <w:t>respondents</w:t>
      </w:r>
      <w:r>
        <w:rPr>
          <w:spacing w:val="-6"/>
        </w:rPr>
        <w:t> </w:t>
      </w:r>
      <w:r>
        <w:rPr/>
        <w:t>in</w:t>
      </w:r>
      <w:r>
        <w:rPr>
          <w:spacing w:val="-5"/>
        </w:rPr>
        <w:t> </w:t>
      </w:r>
      <w:r>
        <w:rPr/>
        <w:t>the</w:t>
      </w:r>
      <w:r>
        <w:rPr>
          <w:spacing w:val="-6"/>
        </w:rPr>
        <w:t> </w:t>
      </w:r>
      <w:r>
        <w:rPr/>
        <w:t>survey</w:t>
      </w:r>
      <w:r>
        <w:rPr>
          <w:spacing w:val="-6"/>
        </w:rPr>
        <w:t> </w:t>
      </w:r>
      <w:r>
        <w:rPr/>
        <w:t>– the scale of the difference between these audiences suggests that this is a real trend.</w:t>
      </w:r>
      <w:r>
        <w:rPr>
          <w:spacing w:val="-8"/>
        </w:rPr>
        <w:t> </w:t>
      </w:r>
      <w:r>
        <w:rPr/>
        <w:t>Eighty-seven</w:t>
      </w:r>
      <w:r>
        <w:rPr>
          <w:spacing w:val="-7"/>
        </w:rPr>
        <w:t> </w:t>
      </w:r>
      <w:r>
        <w:rPr/>
        <w:t>per</w:t>
      </w:r>
      <w:r>
        <w:rPr>
          <w:spacing w:val="-7"/>
        </w:rPr>
        <w:t> </w:t>
      </w:r>
      <w:r>
        <w:rPr/>
        <w:t>cent</w:t>
      </w:r>
      <w:r>
        <w:rPr>
          <w:spacing w:val="-6"/>
        </w:rPr>
        <w:t> </w:t>
      </w:r>
      <w:r>
        <w:rPr/>
        <w:t>of</w:t>
      </w:r>
      <w:r>
        <w:rPr>
          <w:spacing w:val="-6"/>
        </w:rPr>
        <w:t> </w:t>
      </w:r>
      <w:r>
        <w:rPr/>
        <w:t>this</w:t>
      </w:r>
      <w:r>
        <w:rPr>
          <w:spacing w:val="-7"/>
        </w:rPr>
        <w:t> </w:t>
      </w:r>
      <w:r>
        <w:rPr/>
        <w:t>small</w:t>
      </w:r>
      <w:r>
        <w:rPr>
          <w:spacing w:val="-8"/>
        </w:rPr>
        <w:t> </w:t>
      </w:r>
      <w:r>
        <w:rPr/>
        <w:t>group</w:t>
      </w:r>
      <w:r>
        <w:rPr>
          <w:spacing w:val="-7"/>
        </w:rPr>
        <w:t> </w:t>
      </w:r>
      <w:r>
        <w:rPr/>
        <w:t>are</w:t>
      </w:r>
      <w:r>
        <w:rPr>
          <w:spacing w:val="-7"/>
        </w:rPr>
        <w:t> </w:t>
      </w:r>
      <w:r>
        <w:rPr/>
        <w:t>claimant-side</w:t>
      </w:r>
      <w:r>
        <w:rPr>
          <w:spacing w:val="-7"/>
        </w:rPr>
        <w:t> </w:t>
      </w:r>
      <w:r>
        <w:rPr/>
        <w:t>representatives, who</w:t>
      </w:r>
      <w:r>
        <w:rPr>
          <w:spacing w:val="-4"/>
        </w:rPr>
        <w:t> </w:t>
      </w:r>
      <w:r>
        <w:rPr/>
        <w:t>may</w:t>
      </w:r>
      <w:r>
        <w:rPr>
          <w:spacing w:val="-4"/>
        </w:rPr>
        <w:t> </w:t>
      </w:r>
      <w:r>
        <w:rPr/>
        <w:t>well</w:t>
      </w:r>
      <w:r>
        <w:rPr>
          <w:spacing w:val="-3"/>
        </w:rPr>
        <w:t> </w:t>
      </w:r>
      <w:r>
        <w:rPr/>
        <w:t>be</w:t>
      </w:r>
      <w:r>
        <w:rPr>
          <w:spacing w:val="-3"/>
        </w:rPr>
        <w:t> </w:t>
      </w:r>
      <w:r>
        <w:rPr/>
        <w:t>family</w:t>
      </w:r>
      <w:r>
        <w:rPr>
          <w:spacing w:val="-2"/>
        </w:rPr>
        <w:t> </w:t>
      </w:r>
      <w:r>
        <w:rPr/>
        <w:t>members,</w:t>
      </w:r>
      <w:r>
        <w:rPr>
          <w:spacing w:val="-4"/>
        </w:rPr>
        <w:t> </w:t>
      </w:r>
      <w:r>
        <w:rPr/>
        <w:t>partners</w:t>
      </w:r>
      <w:r>
        <w:rPr>
          <w:spacing w:val="-2"/>
        </w:rPr>
        <w:t> </w:t>
      </w:r>
      <w:r>
        <w:rPr/>
        <w:t>or</w:t>
      </w:r>
      <w:r>
        <w:rPr>
          <w:spacing w:val="-5"/>
        </w:rPr>
        <w:t> </w:t>
      </w:r>
      <w:r>
        <w:rPr/>
        <w:t>carers</w:t>
      </w:r>
      <w:r>
        <w:rPr>
          <w:spacing w:val="-2"/>
        </w:rPr>
        <w:t> </w:t>
      </w:r>
      <w:r>
        <w:rPr/>
        <w:t>of</w:t>
      </w:r>
      <w:r>
        <w:rPr>
          <w:spacing w:val="-3"/>
        </w:rPr>
        <w:t> </w:t>
      </w:r>
      <w:r>
        <w:rPr/>
        <w:t>the</w:t>
      </w:r>
      <w:r>
        <w:rPr>
          <w:spacing w:val="-3"/>
        </w:rPr>
        <w:t> </w:t>
      </w:r>
      <w:r>
        <w:rPr/>
        <w:t>claimant</w:t>
      </w:r>
      <w:r>
        <w:rPr>
          <w:spacing w:val="-2"/>
        </w:rPr>
        <w:t> </w:t>
      </w:r>
      <w:r>
        <w:rPr/>
        <w:t>rather</w:t>
      </w:r>
      <w:r>
        <w:rPr>
          <w:spacing w:val="-4"/>
        </w:rPr>
        <w:t> </w:t>
      </w:r>
      <w:r>
        <w:rPr/>
        <w:t>than</w:t>
      </w:r>
      <w:r>
        <w:rPr>
          <w:spacing w:val="-2"/>
        </w:rPr>
        <w:t> </w:t>
      </w:r>
      <w:r>
        <w:rPr/>
        <w:t>a professional representative – this group may require more support from Acas as they navigate the Early Conciliation process.</w:t>
      </w:r>
    </w:p>
    <w:p>
      <w:pPr>
        <w:pStyle w:val="BodyText"/>
        <w:spacing w:before="12"/>
        <w:rPr>
          <w:sz w:val="19"/>
        </w:rPr>
      </w:pPr>
    </w:p>
    <w:p>
      <w:pPr>
        <w:pStyle w:val="BodyText"/>
        <w:ind w:left="1337" w:right="1472"/>
        <w:jc w:val="both"/>
      </w:pPr>
      <w:r>
        <w:rPr/>
        <w:t>Employer-side participants were also asked how they had originally heard of EC. The most commonly reported source was ‘Professional body/membership organisation</w:t>
      </w:r>
      <w:r>
        <w:rPr>
          <w:spacing w:val="-7"/>
        </w:rPr>
        <w:t> </w:t>
      </w:r>
      <w:r>
        <w:rPr/>
        <w:t>specific</w:t>
      </w:r>
      <w:r>
        <w:rPr>
          <w:spacing w:val="-8"/>
        </w:rPr>
        <w:t> </w:t>
      </w:r>
      <w:r>
        <w:rPr/>
        <w:t>to</w:t>
      </w:r>
      <w:r>
        <w:rPr>
          <w:spacing w:val="-8"/>
        </w:rPr>
        <w:t> </w:t>
      </w:r>
      <w:r>
        <w:rPr/>
        <w:t>my</w:t>
      </w:r>
      <w:r>
        <w:rPr>
          <w:spacing w:val="-8"/>
        </w:rPr>
        <w:t> </w:t>
      </w:r>
      <w:r>
        <w:rPr/>
        <w:t>industry’,</w:t>
      </w:r>
      <w:r>
        <w:rPr>
          <w:spacing w:val="-9"/>
        </w:rPr>
        <w:t> </w:t>
      </w:r>
      <w:r>
        <w:rPr/>
        <w:t>with</w:t>
      </w:r>
      <w:r>
        <w:rPr>
          <w:spacing w:val="-7"/>
        </w:rPr>
        <w:t> </w:t>
      </w:r>
      <w:r>
        <w:rPr/>
        <w:t>15</w:t>
      </w:r>
      <w:r>
        <w:rPr>
          <w:spacing w:val="-9"/>
        </w:rPr>
        <w:t> </w:t>
      </w:r>
      <w:r>
        <w:rPr/>
        <w:t>per</w:t>
      </w:r>
      <w:r>
        <w:rPr>
          <w:spacing w:val="-8"/>
        </w:rPr>
        <w:t> </w:t>
      </w:r>
      <w:r>
        <w:rPr/>
        <w:t>cent</w:t>
      </w:r>
      <w:r>
        <w:rPr>
          <w:spacing w:val="-8"/>
        </w:rPr>
        <w:t> </w:t>
      </w:r>
      <w:r>
        <w:rPr/>
        <w:t>of</w:t>
      </w:r>
      <w:r>
        <w:rPr>
          <w:spacing w:val="-9"/>
        </w:rPr>
        <w:t> </w:t>
      </w:r>
      <w:r>
        <w:rPr/>
        <w:t>claimant-side</w:t>
      </w:r>
      <w:r>
        <w:rPr>
          <w:spacing w:val="-8"/>
        </w:rPr>
        <w:t> </w:t>
      </w:r>
      <w:r>
        <w:rPr/>
        <w:t>participants citing this option. This</w:t>
      </w:r>
      <w:r>
        <w:rPr>
          <w:spacing w:val="-1"/>
        </w:rPr>
        <w:t> </w:t>
      </w:r>
      <w:r>
        <w:rPr/>
        <w:t>was followed by ‘My own organisation/ HR department’ (12 per</w:t>
      </w:r>
      <w:r>
        <w:rPr>
          <w:spacing w:val="-18"/>
        </w:rPr>
        <w:t> </w:t>
      </w:r>
      <w:r>
        <w:rPr/>
        <w:t>cent)</w:t>
      </w:r>
      <w:r>
        <w:rPr>
          <w:spacing w:val="-16"/>
        </w:rPr>
        <w:t> </w:t>
      </w:r>
      <w:r>
        <w:rPr/>
        <w:t>and</w:t>
      </w:r>
      <w:r>
        <w:rPr>
          <w:spacing w:val="-16"/>
        </w:rPr>
        <w:t> </w:t>
      </w:r>
      <w:r>
        <w:rPr/>
        <w:t>‘Had</w:t>
      </w:r>
      <w:r>
        <w:rPr>
          <w:spacing w:val="-18"/>
        </w:rPr>
        <w:t> </w:t>
      </w:r>
      <w:r>
        <w:rPr/>
        <w:t>taken</w:t>
      </w:r>
      <w:r>
        <w:rPr>
          <w:spacing w:val="-16"/>
        </w:rPr>
        <w:t> </w:t>
      </w:r>
      <w:r>
        <w:rPr/>
        <w:t>part</w:t>
      </w:r>
      <w:r>
        <w:rPr>
          <w:spacing w:val="-16"/>
        </w:rPr>
        <w:t> </w:t>
      </w:r>
      <w:r>
        <w:rPr/>
        <w:t>in</w:t>
      </w:r>
      <w:r>
        <w:rPr>
          <w:spacing w:val="-16"/>
        </w:rPr>
        <w:t> </w:t>
      </w:r>
      <w:r>
        <w:rPr/>
        <w:t>it</w:t>
      </w:r>
      <w:r>
        <w:rPr>
          <w:spacing w:val="-16"/>
        </w:rPr>
        <w:t> </w:t>
      </w:r>
      <w:r>
        <w:rPr/>
        <w:t>/</w:t>
      </w:r>
      <w:r>
        <w:rPr>
          <w:spacing w:val="-18"/>
        </w:rPr>
        <w:t> </w:t>
      </w:r>
      <w:r>
        <w:rPr/>
        <w:t>been</w:t>
      </w:r>
      <w:r>
        <w:rPr>
          <w:spacing w:val="-16"/>
        </w:rPr>
        <w:t> </w:t>
      </w:r>
      <w:r>
        <w:rPr/>
        <w:t>offered</w:t>
      </w:r>
      <w:r>
        <w:rPr>
          <w:spacing w:val="-16"/>
        </w:rPr>
        <w:t> </w:t>
      </w:r>
      <w:r>
        <w:rPr/>
        <w:t>it</w:t>
      </w:r>
      <w:r>
        <w:rPr>
          <w:spacing w:val="-16"/>
        </w:rPr>
        <w:t> </w:t>
      </w:r>
      <w:r>
        <w:rPr/>
        <w:t>previously</w:t>
      </w:r>
      <w:r>
        <w:rPr>
          <w:spacing w:val="-16"/>
        </w:rPr>
        <w:t> </w:t>
      </w:r>
      <w:r>
        <w:rPr/>
        <w:t>by</w:t>
      </w:r>
      <w:r>
        <w:rPr>
          <w:spacing w:val="-16"/>
        </w:rPr>
        <w:t> </w:t>
      </w:r>
      <w:r>
        <w:rPr/>
        <w:t>Acas</w:t>
      </w:r>
      <w:r>
        <w:rPr>
          <w:spacing w:val="-16"/>
        </w:rPr>
        <w:t> </w:t>
      </w:r>
      <w:r>
        <w:rPr/>
        <w:t>(in</w:t>
      </w:r>
      <w:r>
        <w:rPr>
          <w:spacing w:val="-16"/>
        </w:rPr>
        <w:t> </w:t>
      </w:r>
      <w:r>
        <w:rPr/>
        <w:t>a</w:t>
      </w:r>
      <w:r>
        <w:rPr>
          <w:spacing w:val="-17"/>
        </w:rPr>
        <w:t> </w:t>
      </w:r>
      <w:r>
        <w:rPr/>
        <w:t>different employment dispute)’ (11 per cent). In 2015, ‘Acas contact about this case’ was the most commonly reported source (17 per cent).</w:t>
      </w:r>
    </w:p>
    <w:p>
      <w:pPr>
        <w:spacing w:after="0"/>
        <w:jc w:val="both"/>
        <w:sectPr>
          <w:pgSz w:w="11910" w:h="16840"/>
          <w:pgMar w:header="0" w:footer="996" w:top="1340" w:bottom="1180" w:left="460" w:right="320"/>
        </w:sectPr>
      </w:pPr>
    </w:p>
    <w:p>
      <w:pPr>
        <w:pStyle w:val="Heading2"/>
        <w:numPr>
          <w:ilvl w:val="0"/>
          <w:numId w:val="2"/>
        </w:numPr>
        <w:tabs>
          <w:tab w:pos="1696" w:val="left" w:leader="none"/>
        </w:tabs>
        <w:spacing w:line="240" w:lineRule="auto" w:before="82" w:after="0"/>
        <w:ind w:left="1695" w:right="0" w:hanging="359"/>
        <w:jc w:val="left"/>
      </w:pPr>
      <w:bookmarkStart w:name="9. THE EARLY CONCILIATION EXPERIENCE" w:id="74"/>
      <w:bookmarkEnd w:id="74"/>
      <w:r>
        <w:rPr>
          <w:b w:val="0"/>
        </w:rPr>
      </w:r>
      <w:bookmarkStart w:name="9." w:id="75"/>
      <w:bookmarkEnd w:id="75"/>
      <w:r>
        <w:rPr>
          <w:b w:val="0"/>
        </w:rPr>
      </w:r>
      <w:bookmarkStart w:name="_bookmark17" w:id="76"/>
      <w:bookmarkEnd w:id="76"/>
      <w:r>
        <w:rPr/>
        <w:t>T</w:t>
      </w:r>
      <w:r>
        <w:rPr/>
        <w:t>HE</w:t>
      </w:r>
      <w:r>
        <w:rPr>
          <w:spacing w:val="-17"/>
        </w:rPr>
        <w:t> </w:t>
      </w:r>
      <w:r>
        <w:rPr/>
        <w:t>EARLY</w:t>
      </w:r>
      <w:r>
        <w:rPr>
          <w:spacing w:val="-15"/>
        </w:rPr>
        <w:t> </w:t>
      </w:r>
      <w:r>
        <w:rPr/>
        <w:t>CONCILIATION</w:t>
      </w:r>
      <w:r>
        <w:rPr>
          <w:spacing w:val="-17"/>
        </w:rPr>
        <w:t> </w:t>
      </w:r>
      <w:r>
        <w:rPr>
          <w:spacing w:val="-2"/>
        </w:rPr>
        <w:t>EXPERIENCE</w:t>
      </w:r>
    </w:p>
    <w:p>
      <w:pPr>
        <w:pStyle w:val="BodyText"/>
        <w:rPr>
          <w:b/>
          <w:sz w:val="34"/>
        </w:rPr>
      </w:pPr>
    </w:p>
    <w:p>
      <w:pPr>
        <w:pStyle w:val="Heading3"/>
        <w:spacing w:before="210"/>
        <w:jc w:val="left"/>
      </w:pPr>
      <w:r>
        <w:rPr>
          <w:spacing w:val="-2"/>
        </w:rPr>
        <w:t>Synopsis:</w:t>
      </w:r>
    </w:p>
    <w:p>
      <w:pPr>
        <w:pStyle w:val="BodyText"/>
        <w:spacing w:before="1"/>
        <w:ind w:left="1337" w:right="1472"/>
      </w:pPr>
      <w:r>
        <w:rPr/>
        <w:t>This</w:t>
      </w:r>
      <w:r>
        <w:rPr>
          <w:spacing w:val="-14"/>
        </w:rPr>
        <w:t> </w:t>
      </w:r>
      <w:r>
        <w:rPr/>
        <w:t>chapter</w:t>
      </w:r>
      <w:r>
        <w:rPr>
          <w:spacing w:val="-14"/>
        </w:rPr>
        <w:t> </w:t>
      </w:r>
      <w:r>
        <w:rPr/>
        <w:t>explores</w:t>
      </w:r>
      <w:r>
        <w:rPr>
          <w:spacing w:val="-14"/>
        </w:rPr>
        <w:t> </w:t>
      </w:r>
      <w:r>
        <w:rPr/>
        <w:t>users’</w:t>
      </w:r>
      <w:r>
        <w:rPr>
          <w:spacing w:val="-14"/>
        </w:rPr>
        <w:t> </w:t>
      </w:r>
      <w:r>
        <w:rPr/>
        <w:t>experience</w:t>
      </w:r>
      <w:r>
        <w:rPr>
          <w:spacing w:val="-14"/>
        </w:rPr>
        <w:t> </w:t>
      </w:r>
      <w:r>
        <w:rPr/>
        <w:t>of</w:t>
      </w:r>
      <w:r>
        <w:rPr>
          <w:spacing w:val="-14"/>
        </w:rPr>
        <w:t> </w:t>
      </w:r>
      <w:r>
        <w:rPr/>
        <w:t>Early</w:t>
      </w:r>
      <w:r>
        <w:rPr>
          <w:spacing w:val="-13"/>
        </w:rPr>
        <w:t> </w:t>
      </w:r>
      <w:r>
        <w:rPr/>
        <w:t>Conciliation</w:t>
      </w:r>
      <w:r>
        <w:rPr>
          <w:spacing w:val="-13"/>
        </w:rPr>
        <w:t> </w:t>
      </w:r>
      <w:r>
        <w:rPr/>
        <w:t>(EC),</w:t>
      </w:r>
      <w:r>
        <w:rPr>
          <w:spacing w:val="-14"/>
        </w:rPr>
        <w:t> </w:t>
      </w:r>
      <w:r>
        <w:rPr/>
        <w:t>including</w:t>
      </w:r>
      <w:r>
        <w:rPr>
          <w:spacing w:val="-14"/>
        </w:rPr>
        <w:t> </w:t>
      </w:r>
      <w:r>
        <w:rPr/>
        <w:t>contact </w:t>
      </w:r>
      <w:r>
        <w:rPr>
          <w:spacing w:val="-2"/>
        </w:rPr>
        <w:t>with,</w:t>
      </w:r>
      <w:r>
        <w:rPr>
          <w:spacing w:val="-13"/>
        </w:rPr>
        <w:t> </w:t>
      </w:r>
      <w:r>
        <w:rPr>
          <w:spacing w:val="-2"/>
        </w:rPr>
        <w:t>and</w:t>
      </w:r>
      <w:r>
        <w:rPr>
          <w:spacing w:val="-10"/>
        </w:rPr>
        <w:t> </w:t>
      </w:r>
      <w:r>
        <w:rPr>
          <w:spacing w:val="-2"/>
        </w:rPr>
        <w:t>perceptions</w:t>
      </w:r>
      <w:r>
        <w:rPr>
          <w:spacing w:val="-11"/>
        </w:rPr>
        <w:t> </w:t>
      </w:r>
      <w:r>
        <w:rPr>
          <w:spacing w:val="-2"/>
        </w:rPr>
        <w:t>of,</w:t>
      </w:r>
      <w:r>
        <w:rPr>
          <w:spacing w:val="-9"/>
        </w:rPr>
        <w:t> </w:t>
      </w:r>
      <w:r>
        <w:rPr>
          <w:spacing w:val="-2"/>
        </w:rPr>
        <w:t>the</w:t>
      </w:r>
      <w:r>
        <w:rPr>
          <w:spacing w:val="-10"/>
        </w:rPr>
        <w:t> </w:t>
      </w:r>
      <w:r>
        <w:rPr>
          <w:spacing w:val="-2"/>
        </w:rPr>
        <w:t>Acas</w:t>
      </w:r>
      <w:r>
        <w:rPr>
          <w:spacing w:val="-12"/>
        </w:rPr>
        <w:t> </w:t>
      </w:r>
      <w:r>
        <w:rPr>
          <w:spacing w:val="-2"/>
        </w:rPr>
        <w:t>conciliator,</w:t>
      </w:r>
      <w:r>
        <w:rPr>
          <w:spacing w:val="-10"/>
        </w:rPr>
        <w:t> </w:t>
      </w:r>
      <w:r>
        <w:rPr>
          <w:spacing w:val="-2"/>
        </w:rPr>
        <w:t>as</w:t>
      </w:r>
      <w:r>
        <w:rPr>
          <w:spacing w:val="-10"/>
        </w:rPr>
        <w:t> </w:t>
      </w:r>
      <w:r>
        <w:rPr>
          <w:spacing w:val="-2"/>
        </w:rPr>
        <w:t>well</w:t>
      </w:r>
      <w:r>
        <w:rPr>
          <w:spacing w:val="-12"/>
        </w:rPr>
        <w:t> </w:t>
      </w:r>
      <w:r>
        <w:rPr>
          <w:spacing w:val="-2"/>
        </w:rPr>
        <w:t>as</w:t>
      </w:r>
      <w:r>
        <w:rPr>
          <w:spacing w:val="-10"/>
        </w:rPr>
        <w:t> </w:t>
      </w:r>
      <w:r>
        <w:rPr>
          <w:spacing w:val="-2"/>
        </w:rPr>
        <w:t>receipt</w:t>
      </w:r>
      <w:r>
        <w:rPr>
          <w:spacing w:val="-11"/>
        </w:rPr>
        <w:t> </w:t>
      </w:r>
      <w:r>
        <w:rPr>
          <w:spacing w:val="-2"/>
        </w:rPr>
        <w:t>of</w:t>
      </w:r>
      <w:r>
        <w:rPr>
          <w:spacing w:val="-9"/>
        </w:rPr>
        <w:t> </w:t>
      </w:r>
      <w:r>
        <w:rPr>
          <w:spacing w:val="-2"/>
        </w:rPr>
        <w:t>the</w:t>
      </w:r>
      <w:r>
        <w:rPr>
          <w:spacing w:val="-10"/>
        </w:rPr>
        <w:t> </w:t>
      </w:r>
      <w:r>
        <w:rPr>
          <w:spacing w:val="-2"/>
        </w:rPr>
        <w:t>EC</w:t>
      </w:r>
      <w:r>
        <w:rPr>
          <w:spacing w:val="-9"/>
        </w:rPr>
        <w:t> </w:t>
      </w:r>
      <w:r>
        <w:rPr>
          <w:spacing w:val="-2"/>
        </w:rPr>
        <w:t>certificate.</w:t>
      </w:r>
    </w:p>
    <w:p>
      <w:pPr>
        <w:pStyle w:val="BodyText"/>
      </w:pPr>
    </w:p>
    <w:p>
      <w:pPr>
        <w:pStyle w:val="BodyText"/>
        <w:spacing w:before="5"/>
        <w:rPr>
          <w:sz w:val="22"/>
        </w:rPr>
      </w:pPr>
    </w:p>
    <w:p>
      <w:pPr>
        <w:pStyle w:val="Heading3"/>
        <w:ind w:left="1445"/>
        <w:jc w:val="left"/>
      </w:pPr>
      <w:r>
        <w:rPr/>
        <w:pict>
          <v:group style="position:absolute;margin-left:84.660004pt;margin-top:-13.647285pt;width:456.15pt;height:467.75pt;mso-position-horizontal-relative:page;mso-position-vertical-relative:paragraph;z-index:-18118144" id="docshapegroup12" coordorigin="1693,-273" coordsize="9123,9355">
            <v:rect style="position:absolute;left:1722;top:-243;width:9064;height:9294" id="docshape13" filled="true" fillcolor="#f1f1f1" stroked="false">
              <v:fill type="solid"/>
            </v:rect>
            <v:shape style="position:absolute;left:1693;top:-273;width:9094;height:31" id="docshape14" coordorigin="1693,-273" coordsize="9094,31" path="m10787,-254l1722,-254,1722,-254,1712,-254,1712,-244,1712,-243,1722,-243,1722,-244,10787,-244,10787,-254xm10787,-273l1722,-273,1693,-273,1693,-273,1693,-263,1693,-243,1703,-243,1703,-263,1722,-263,10787,-263,10787,-273xe" filled="true" fillcolor="#000000" stroked="false">
              <v:path arrowok="t"/>
              <v:fill type="solid"/>
            </v:shape>
            <v:rect style="position:absolute;left:1722;top:-245;width:9065;height:2" id="docshape15" filled="true" fillcolor="#f1f1f1" stroked="false">
              <v:fill type="solid"/>
            </v:rect>
            <v:shape style="position:absolute;left:10786;top:-273;width:29;height:31" id="docshape16" coordorigin="10787,-273" coordsize="29,31" path="m10796,-254l10787,-254,10787,-244,10787,-243,10796,-243,10796,-244,10796,-254xm10816,-273l10816,-273,10816,-273,10787,-273,10787,-263,10806,-263,10806,-243,10816,-243,10816,-273xe" filled="true" fillcolor="#000000" stroked="false">
              <v:path arrowok="t"/>
              <v:fill type="solid"/>
            </v:shape>
            <v:rect style="position:absolute;left:1707;top:9051;width:9094;height:2" id="docshape17" filled="true" fillcolor="#f1f1f1" stroked="false">
              <v:fill type="solid"/>
            </v:rect>
            <v:shape style="position:absolute;left:1693;top:-243;width:9123;height:9324" id="docshape18" coordorigin="1693,-243" coordsize="9123,9324" path="m10796,-243l10787,-243,10787,9052,1722,9052,1722,-243,1712,-243,1712,9052,1712,9062,1722,9062,1722,9062,10787,9062,10796,9062,10796,9052,10796,-243xm10816,-243l10806,-243,10806,9052,10806,9071,10787,9071,1722,9071,1703,9071,1703,9052,1703,-243,1693,-243,1693,9052,1693,9071,1693,9081,1703,9081,1722,9081,10787,9081,10806,9081,10816,9081,10816,9081,10816,9052,10816,-243xe" filled="true" fillcolor="#000000" stroked="false">
              <v:path arrowok="t"/>
              <v:fill type="solid"/>
            </v:shape>
            <w10:wrap type="none"/>
          </v:group>
        </w:pict>
      </w:r>
      <w:r>
        <w:rPr/>
        <w:t>Key</w:t>
      </w:r>
      <w:r>
        <w:rPr>
          <w:spacing w:val="-2"/>
        </w:rPr>
        <w:t> </w:t>
      </w:r>
      <w:r>
        <w:rPr/>
        <w:t>trends</w:t>
      </w:r>
      <w:r>
        <w:rPr>
          <w:spacing w:val="-3"/>
        </w:rPr>
        <w:t> </w:t>
      </w:r>
      <w:r>
        <w:rPr/>
        <w:t>at</w:t>
      </w:r>
      <w:r>
        <w:rPr>
          <w:spacing w:val="-2"/>
        </w:rPr>
        <w:t> </w:t>
      </w:r>
      <w:r>
        <w:rPr/>
        <w:t>a</w:t>
      </w:r>
      <w:r>
        <w:rPr>
          <w:spacing w:val="-2"/>
        </w:rPr>
        <w:t> glance</w:t>
      </w:r>
    </w:p>
    <w:p>
      <w:pPr>
        <w:pStyle w:val="BodyText"/>
        <w:rPr>
          <w:b/>
        </w:rPr>
      </w:pPr>
    </w:p>
    <w:p>
      <w:pPr>
        <w:pStyle w:val="ListParagraph"/>
        <w:numPr>
          <w:ilvl w:val="0"/>
          <w:numId w:val="19"/>
        </w:numPr>
        <w:tabs>
          <w:tab w:pos="2166" w:val="left" w:leader="none"/>
        </w:tabs>
        <w:spacing w:line="240" w:lineRule="auto" w:before="0" w:after="0"/>
        <w:ind w:left="2165" w:right="889" w:hanging="360"/>
        <w:jc w:val="both"/>
        <w:rPr>
          <w:sz w:val="20"/>
        </w:rPr>
      </w:pPr>
      <w:r>
        <w:rPr>
          <w:sz w:val="20"/>
        </w:rPr>
        <w:t>Telephone remains participants’ primary method of communication with Acas conciliators, although email use has risen significantly since 2015.</w:t>
      </w:r>
    </w:p>
    <w:p>
      <w:pPr>
        <w:pStyle w:val="ListParagraph"/>
        <w:numPr>
          <w:ilvl w:val="0"/>
          <w:numId w:val="19"/>
        </w:numPr>
        <w:tabs>
          <w:tab w:pos="2166" w:val="left" w:leader="none"/>
        </w:tabs>
        <w:spacing w:line="237" w:lineRule="auto" w:before="0" w:after="0"/>
        <w:ind w:left="2165" w:right="890" w:hanging="360"/>
        <w:jc w:val="both"/>
        <w:rPr>
          <w:sz w:val="20"/>
        </w:rPr>
      </w:pPr>
      <w:r>
        <w:rPr>
          <w:sz w:val="20"/>
        </w:rPr>
        <w:t>The</w:t>
      </w:r>
      <w:r>
        <w:rPr>
          <w:spacing w:val="-18"/>
          <w:sz w:val="20"/>
        </w:rPr>
        <w:t> </w:t>
      </w:r>
      <w:r>
        <w:rPr>
          <w:sz w:val="20"/>
        </w:rPr>
        <w:t>amount</w:t>
      </w:r>
      <w:r>
        <w:rPr>
          <w:spacing w:val="-18"/>
          <w:sz w:val="20"/>
        </w:rPr>
        <w:t> </w:t>
      </w:r>
      <w:r>
        <w:rPr>
          <w:sz w:val="20"/>
        </w:rPr>
        <w:t>of</w:t>
      </w:r>
      <w:r>
        <w:rPr>
          <w:spacing w:val="-17"/>
          <w:sz w:val="20"/>
        </w:rPr>
        <w:t> </w:t>
      </w:r>
      <w:r>
        <w:rPr>
          <w:sz w:val="20"/>
        </w:rPr>
        <w:t>contact</w:t>
      </w:r>
      <w:r>
        <w:rPr>
          <w:spacing w:val="-18"/>
          <w:sz w:val="20"/>
        </w:rPr>
        <w:t> </w:t>
      </w:r>
      <w:r>
        <w:rPr>
          <w:sz w:val="20"/>
        </w:rPr>
        <w:t>with</w:t>
      </w:r>
      <w:r>
        <w:rPr>
          <w:spacing w:val="-17"/>
          <w:sz w:val="20"/>
        </w:rPr>
        <w:t> </w:t>
      </w:r>
      <w:r>
        <w:rPr>
          <w:sz w:val="20"/>
        </w:rPr>
        <w:t>conciliators</w:t>
      </w:r>
      <w:r>
        <w:rPr>
          <w:spacing w:val="-18"/>
          <w:sz w:val="20"/>
        </w:rPr>
        <w:t> </w:t>
      </w:r>
      <w:r>
        <w:rPr>
          <w:sz w:val="20"/>
        </w:rPr>
        <w:t>witnessed</w:t>
      </w:r>
      <w:r>
        <w:rPr>
          <w:spacing w:val="-18"/>
          <w:sz w:val="20"/>
        </w:rPr>
        <w:t> </w:t>
      </w:r>
      <w:r>
        <w:rPr>
          <w:sz w:val="20"/>
        </w:rPr>
        <w:t>in</w:t>
      </w:r>
      <w:r>
        <w:rPr>
          <w:spacing w:val="-17"/>
          <w:sz w:val="20"/>
        </w:rPr>
        <w:t> </w:t>
      </w:r>
      <w:r>
        <w:rPr>
          <w:sz w:val="20"/>
        </w:rPr>
        <w:t>2019</w:t>
      </w:r>
      <w:r>
        <w:rPr>
          <w:spacing w:val="-18"/>
          <w:sz w:val="20"/>
        </w:rPr>
        <w:t> </w:t>
      </w:r>
      <w:r>
        <w:rPr>
          <w:sz w:val="20"/>
        </w:rPr>
        <w:t>is</w:t>
      </w:r>
      <w:r>
        <w:rPr>
          <w:spacing w:val="-17"/>
          <w:sz w:val="20"/>
        </w:rPr>
        <w:t> </w:t>
      </w:r>
      <w:r>
        <w:rPr>
          <w:sz w:val="20"/>
        </w:rPr>
        <w:t>consistent</w:t>
      </w:r>
      <w:r>
        <w:rPr>
          <w:spacing w:val="-18"/>
          <w:sz w:val="20"/>
        </w:rPr>
        <w:t> </w:t>
      </w:r>
      <w:r>
        <w:rPr>
          <w:sz w:val="20"/>
        </w:rPr>
        <w:t>with</w:t>
      </w:r>
      <w:r>
        <w:rPr>
          <w:spacing w:val="-17"/>
          <w:sz w:val="20"/>
        </w:rPr>
        <w:t> </w:t>
      </w:r>
      <w:r>
        <w:rPr>
          <w:sz w:val="20"/>
        </w:rPr>
        <w:t>2015 (an average of five contacts per dispute).</w:t>
      </w:r>
    </w:p>
    <w:p>
      <w:pPr>
        <w:pStyle w:val="ListParagraph"/>
        <w:numPr>
          <w:ilvl w:val="0"/>
          <w:numId w:val="19"/>
        </w:numPr>
        <w:tabs>
          <w:tab w:pos="2166" w:val="left" w:leader="none"/>
        </w:tabs>
        <w:spacing w:line="240" w:lineRule="auto" w:before="0" w:after="0"/>
        <w:ind w:left="2165" w:right="890" w:hanging="360"/>
        <w:jc w:val="both"/>
        <w:rPr>
          <w:sz w:val="20"/>
        </w:rPr>
      </w:pPr>
      <w:r>
        <w:rPr>
          <w:sz w:val="20"/>
        </w:rPr>
        <w:t>Most participants that took part in EC agreed that the level of contact they had experienced had been about right, with around one in five expressing a preference</w:t>
      </w:r>
      <w:r>
        <w:rPr>
          <w:spacing w:val="-16"/>
          <w:sz w:val="20"/>
        </w:rPr>
        <w:t> </w:t>
      </w:r>
      <w:r>
        <w:rPr>
          <w:sz w:val="20"/>
        </w:rPr>
        <w:t>for</w:t>
      </w:r>
      <w:r>
        <w:rPr>
          <w:spacing w:val="-15"/>
          <w:sz w:val="20"/>
        </w:rPr>
        <w:t> </w:t>
      </w:r>
      <w:r>
        <w:rPr>
          <w:sz w:val="20"/>
        </w:rPr>
        <w:t>more</w:t>
      </w:r>
      <w:r>
        <w:rPr>
          <w:spacing w:val="-16"/>
          <w:sz w:val="20"/>
        </w:rPr>
        <w:t> </w:t>
      </w:r>
      <w:r>
        <w:rPr>
          <w:sz w:val="20"/>
        </w:rPr>
        <w:t>(increasing</w:t>
      </w:r>
      <w:r>
        <w:rPr>
          <w:spacing w:val="-15"/>
          <w:sz w:val="20"/>
        </w:rPr>
        <w:t> </w:t>
      </w:r>
      <w:r>
        <w:rPr>
          <w:sz w:val="20"/>
        </w:rPr>
        <w:t>to</w:t>
      </w:r>
      <w:r>
        <w:rPr>
          <w:spacing w:val="-17"/>
          <w:sz w:val="20"/>
        </w:rPr>
        <w:t> </w:t>
      </w:r>
      <w:r>
        <w:rPr>
          <w:sz w:val="20"/>
        </w:rPr>
        <w:t>three</w:t>
      </w:r>
      <w:r>
        <w:rPr>
          <w:spacing w:val="-16"/>
          <w:sz w:val="20"/>
        </w:rPr>
        <w:t> </w:t>
      </w:r>
      <w:r>
        <w:rPr>
          <w:sz w:val="20"/>
        </w:rPr>
        <w:t>in</w:t>
      </w:r>
      <w:r>
        <w:rPr>
          <w:spacing w:val="-15"/>
          <w:sz w:val="20"/>
        </w:rPr>
        <w:t> </w:t>
      </w:r>
      <w:r>
        <w:rPr>
          <w:sz w:val="20"/>
        </w:rPr>
        <w:t>ten</w:t>
      </w:r>
      <w:r>
        <w:rPr>
          <w:spacing w:val="-16"/>
          <w:sz w:val="20"/>
        </w:rPr>
        <w:t> </w:t>
      </w:r>
      <w:r>
        <w:rPr>
          <w:sz w:val="20"/>
        </w:rPr>
        <w:t>among</w:t>
      </w:r>
      <w:r>
        <w:rPr>
          <w:spacing w:val="-15"/>
          <w:sz w:val="20"/>
        </w:rPr>
        <w:t> </w:t>
      </w:r>
      <w:r>
        <w:rPr>
          <w:sz w:val="20"/>
        </w:rPr>
        <w:t>those</w:t>
      </w:r>
      <w:r>
        <w:rPr>
          <w:spacing w:val="-16"/>
          <w:sz w:val="20"/>
        </w:rPr>
        <w:t> </w:t>
      </w:r>
      <w:r>
        <w:rPr>
          <w:sz w:val="20"/>
        </w:rPr>
        <w:t>in</w:t>
      </w:r>
      <w:r>
        <w:rPr>
          <w:spacing w:val="-15"/>
          <w:sz w:val="20"/>
        </w:rPr>
        <w:t> </w:t>
      </w:r>
      <w:r>
        <w:rPr>
          <w:sz w:val="20"/>
        </w:rPr>
        <w:t>contact</w:t>
      </w:r>
      <w:r>
        <w:rPr>
          <w:spacing w:val="-17"/>
          <w:sz w:val="20"/>
        </w:rPr>
        <w:t> </w:t>
      </w:r>
      <w:r>
        <w:rPr>
          <w:sz w:val="20"/>
        </w:rPr>
        <w:t>with</w:t>
      </w:r>
      <w:r>
        <w:rPr>
          <w:spacing w:val="-15"/>
          <w:sz w:val="20"/>
        </w:rPr>
        <w:t> </w:t>
      </w:r>
      <w:r>
        <w:rPr>
          <w:sz w:val="20"/>
        </w:rPr>
        <w:t>more than one conciliator).</w:t>
      </w:r>
    </w:p>
    <w:p>
      <w:pPr>
        <w:pStyle w:val="ListParagraph"/>
        <w:numPr>
          <w:ilvl w:val="0"/>
          <w:numId w:val="19"/>
        </w:numPr>
        <w:tabs>
          <w:tab w:pos="2166" w:val="left" w:leader="none"/>
        </w:tabs>
        <w:spacing w:line="240" w:lineRule="auto" w:before="0" w:after="0"/>
        <w:ind w:left="2165" w:right="891" w:hanging="360"/>
        <w:jc w:val="both"/>
        <w:rPr>
          <w:sz w:val="20"/>
        </w:rPr>
      </w:pPr>
      <w:r>
        <w:rPr>
          <w:sz w:val="20"/>
        </w:rPr>
        <w:t>Those who had multiple conciliators were less likely to agree that their conciliators were always available: on the claimant-side four in ten single- conciliator participants reported that the conciliator was always available, compared to a third for those with multiple conciliators. On the employer side, these figures were 28 and 17 per cent. At the time of the survey, multiple conciliators were a feature of cases handled by teams providing cover for conciliator</w:t>
      </w:r>
      <w:r>
        <w:rPr>
          <w:spacing w:val="-18"/>
          <w:sz w:val="20"/>
        </w:rPr>
        <w:t> </w:t>
      </w:r>
      <w:r>
        <w:rPr>
          <w:sz w:val="20"/>
        </w:rPr>
        <w:t>absence;</w:t>
      </w:r>
      <w:r>
        <w:rPr>
          <w:spacing w:val="-18"/>
          <w:sz w:val="20"/>
        </w:rPr>
        <w:t> </w:t>
      </w:r>
      <w:r>
        <w:rPr>
          <w:sz w:val="20"/>
        </w:rPr>
        <w:t>fieldwork</w:t>
      </w:r>
      <w:r>
        <w:rPr>
          <w:spacing w:val="-17"/>
          <w:sz w:val="20"/>
        </w:rPr>
        <w:t> </w:t>
      </w:r>
      <w:r>
        <w:rPr>
          <w:sz w:val="20"/>
        </w:rPr>
        <w:t>pre-dated</w:t>
      </w:r>
      <w:r>
        <w:rPr>
          <w:spacing w:val="-18"/>
          <w:sz w:val="20"/>
        </w:rPr>
        <w:t> </w:t>
      </w:r>
      <w:r>
        <w:rPr>
          <w:sz w:val="20"/>
        </w:rPr>
        <w:t>subsequent</w:t>
      </w:r>
      <w:r>
        <w:rPr>
          <w:spacing w:val="-17"/>
          <w:sz w:val="20"/>
        </w:rPr>
        <w:t> </w:t>
      </w:r>
      <w:r>
        <w:rPr>
          <w:sz w:val="20"/>
        </w:rPr>
        <w:t>pilots</w:t>
      </w:r>
      <w:r>
        <w:rPr>
          <w:spacing w:val="-18"/>
          <w:sz w:val="20"/>
        </w:rPr>
        <w:t> </w:t>
      </w:r>
      <w:r>
        <w:rPr>
          <w:sz w:val="20"/>
        </w:rPr>
        <w:t>of</w:t>
      </w:r>
      <w:r>
        <w:rPr>
          <w:spacing w:val="-18"/>
          <w:sz w:val="20"/>
        </w:rPr>
        <w:t> </w:t>
      </w:r>
      <w:r>
        <w:rPr>
          <w:sz w:val="20"/>
        </w:rPr>
        <w:t>team-based</w:t>
      </w:r>
      <w:r>
        <w:rPr>
          <w:spacing w:val="-17"/>
          <w:sz w:val="20"/>
        </w:rPr>
        <w:t> </w:t>
      </w:r>
      <w:r>
        <w:rPr>
          <w:sz w:val="20"/>
        </w:rPr>
        <w:t>service </w:t>
      </w:r>
      <w:r>
        <w:rPr>
          <w:spacing w:val="-2"/>
          <w:sz w:val="20"/>
        </w:rPr>
        <w:t>delivery.</w:t>
      </w:r>
    </w:p>
    <w:p>
      <w:pPr>
        <w:pStyle w:val="ListParagraph"/>
        <w:numPr>
          <w:ilvl w:val="0"/>
          <w:numId w:val="19"/>
        </w:numPr>
        <w:tabs>
          <w:tab w:pos="2166" w:val="left" w:leader="none"/>
        </w:tabs>
        <w:spacing w:line="240" w:lineRule="auto" w:before="0" w:after="0"/>
        <w:ind w:left="2165" w:right="889" w:hanging="360"/>
        <w:jc w:val="both"/>
        <w:rPr>
          <w:sz w:val="20"/>
        </w:rPr>
      </w:pPr>
      <w:r>
        <w:rPr>
          <w:sz w:val="20"/>
        </w:rPr>
        <w:t>Ratings of the Acas conciliator remained largely positive across claimant and employer</w:t>
      </w:r>
      <w:r>
        <w:rPr>
          <w:spacing w:val="-7"/>
          <w:sz w:val="20"/>
        </w:rPr>
        <w:t> </w:t>
      </w:r>
      <w:r>
        <w:rPr>
          <w:sz w:val="20"/>
        </w:rPr>
        <w:t>side</w:t>
      </w:r>
      <w:r>
        <w:rPr>
          <w:spacing w:val="-7"/>
          <w:sz w:val="20"/>
        </w:rPr>
        <w:t> </w:t>
      </w:r>
      <w:r>
        <w:rPr>
          <w:sz w:val="20"/>
        </w:rPr>
        <w:t>participants</w:t>
      </w:r>
      <w:r>
        <w:rPr>
          <w:spacing w:val="-8"/>
          <w:sz w:val="20"/>
        </w:rPr>
        <w:t> </w:t>
      </w:r>
      <w:r>
        <w:rPr>
          <w:sz w:val="20"/>
        </w:rPr>
        <w:t>that</w:t>
      </w:r>
      <w:r>
        <w:rPr>
          <w:spacing w:val="-6"/>
          <w:sz w:val="20"/>
        </w:rPr>
        <w:t> </w:t>
      </w:r>
      <w:r>
        <w:rPr>
          <w:sz w:val="20"/>
        </w:rPr>
        <w:t>had</w:t>
      </w:r>
      <w:r>
        <w:rPr>
          <w:spacing w:val="-8"/>
          <w:sz w:val="20"/>
        </w:rPr>
        <w:t> </w:t>
      </w:r>
      <w:r>
        <w:rPr>
          <w:sz w:val="20"/>
        </w:rPr>
        <w:t>taken</w:t>
      </w:r>
      <w:r>
        <w:rPr>
          <w:spacing w:val="-7"/>
          <w:sz w:val="20"/>
        </w:rPr>
        <w:t> </w:t>
      </w:r>
      <w:r>
        <w:rPr>
          <w:sz w:val="20"/>
        </w:rPr>
        <w:t>part</w:t>
      </w:r>
      <w:r>
        <w:rPr>
          <w:spacing w:val="-6"/>
          <w:sz w:val="20"/>
        </w:rPr>
        <w:t> </w:t>
      </w:r>
      <w:r>
        <w:rPr>
          <w:sz w:val="20"/>
        </w:rPr>
        <w:t>in</w:t>
      </w:r>
      <w:r>
        <w:rPr>
          <w:spacing w:val="-7"/>
          <w:sz w:val="20"/>
        </w:rPr>
        <w:t> </w:t>
      </w:r>
      <w:r>
        <w:rPr>
          <w:sz w:val="20"/>
        </w:rPr>
        <w:t>EC.</w:t>
      </w:r>
      <w:r>
        <w:rPr>
          <w:spacing w:val="-6"/>
          <w:sz w:val="20"/>
        </w:rPr>
        <w:t> </w:t>
      </w:r>
      <w:r>
        <w:rPr>
          <w:sz w:val="20"/>
        </w:rPr>
        <w:t>Both</w:t>
      </w:r>
      <w:r>
        <w:rPr>
          <w:spacing w:val="-9"/>
          <w:sz w:val="20"/>
        </w:rPr>
        <w:t> </w:t>
      </w:r>
      <w:r>
        <w:rPr>
          <w:sz w:val="20"/>
        </w:rPr>
        <w:t>audiences</w:t>
      </w:r>
      <w:r>
        <w:rPr>
          <w:spacing w:val="-7"/>
          <w:sz w:val="20"/>
        </w:rPr>
        <w:t> </w:t>
      </w:r>
      <w:r>
        <w:rPr>
          <w:sz w:val="20"/>
        </w:rPr>
        <w:t>agreed</w:t>
      </w:r>
      <w:r>
        <w:rPr>
          <w:spacing w:val="-7"/>
          <w:sz w:val="20"/>
        </w:rPr>
        <w:t> </w:t>
      </w:r>
      <w:r>
        <w:rPr>
          <w:sz w:val="20"/>
        </w:rPr>
        <w:t>the conciliator had provided a clear explanation of the conciliation process and listened to what they had to say.</w:t>
      </w:r>
    </w:p>
    <w:p>
      <w:pPr>
        <w:pStyle w:val="ListParagraph"/>
        <w:numPr>
          <w:ilvl w:val="0"/>
          <w:numId w:val="19"/>
        </w:numPr>
        <w:tabs>
          <w:tab w:pos="2166" w:val="left" w:leader="none"/>
        </w:tabs>
        <w:spacing w:line="237" w:lineRule="auto" w:before="0" w:after="0"/>
        <w:ind w:left="2165" w:right="890" w:hanging="360"/>
        <w:jc w:val="both"/>
        <w:rPr>
          <w:sz w:val="20"/>
        </w:rPr>
      </w:pPr>
      <w:r>
        <w:rPr>
          <w:sz w:val="20"/>
        </w:rPr>
        <w:t>However, ratings of how the conciliators communicated employment law as it applied to the case have dropped since 2015 among both audiences.</w:t>
      </w:r>
    </w:p>
    <w:p>
      <w:pPr>
        <w:pStyle w:val="ListParagraph"/>
        <w:numPr>
          <w:ilvl w:val="0"/>
          <w:numId w:val="19"/>
        </w:numPr>
        <w:tabs>
          <w:tab w:pos="2166" w:val="left" w:leader="none"/>
        </w:tabs>
        <w:spacing w:line="240" w:lineRule="auto" w:before="0" w:after="0"/>
        <w:ind w:left="2165" w:right="891" w:hanging="360"/>
        <w:jc w:val="both"/>
        <w:rPr>
          <w:sz w:val="20"/>
        </w:rPr>
      </w:pPr>
      <w:r>
        <w:rPr>
          <w:sz w:val="20"/>
        </w:rPr>
        <w:t>Participants’ ratings of conciliators were influenced by their case outcome, with participants</w:t>
      </w:r>
      <w:r>
        <w:rPr>
          <w:spacing w:val="-4"/>
          <w:sz w:val="20"/>
        </w:rPr>
        <w:t> </w:t>
      </w:r>
      <w:r>
        <w:rPr>
          <w:sz w:val="20"/>
        </w:rPr>
        <w:t>who</w:t>
      </w:r>
      <w:r>
        <w:rPr>
          <w:spacing w:val="-5"/>
          <w:sz w:val="20"/>
        </w:rPr>
        <w:t> </w:t>
      </w:r>
      <w:r>
        <w:rPr>
          <w:sz w:val="20"/>
        </w:rPr>
        <w:t>reached</w:t>
      </w:r>
      <w:r>
        <w:rPr>
          <w:spacing w:val="-4"/>
          <w:sz w:val="20"/>
        </w:rPr>
        <w:t> </w:t>
      </w:r>
      <w:r>
        <w:rPr>
          <w:sz w:val="20"/>
        </w:rPr>
        <w:t>a</w:t>
      </w:r>
      <w:r>
        <w:rPr>
          <w:spacing w:val="-4"/>
          <w:sz w:val="20"/>
        </w:rPr>
        <w:t> </w:t>
      </w:r>
      <w:r>
        <w:rPr>
          <w:sz w:val="20"/>
        </w:rPr>
        <w:t>settlement</w:t>
      </w:r>
      <w:r>
        <w:rPr>
          <w:spacing w:val="-5"/>
          <w:sz w:val="20"/>
        </w:rPr>
        <w:t> </w:t>
      </w:r>
      <w:r>
        <w:rPr>
          <w:sz w:val="20"/>
        </w:rPr>
        <w:t>through</w:t>
      </w:r>
      <w:r>
        <w:rPr>
          <w:spacing w:val="-5"/>
          <w:sz w:val="20"/>
        </w:rPr>
        <w:t> </w:t>
      </w:r>
      <w:r>
        <w:rPr>
          <w:sz w:val="20"/>
        </w:rPr>
        <w:t>EC</w:t>
      </w:r>
      <w:r>
        <w:rPr>
          <w:spacing w:val="-4"/>
          <w:sz w:val="20"/>
        </w:rPr>
        <w:t> </w:t>
      </w:r>
      <w:r>
        <w:rPr>
          <w:sz w:val="20"/>
        </w:rPr>
        <w:t>more</w:t>
      </w:r>
      <w:r>
        <w:rPr>
          <w:spacing w:val="-5"/>
          <w:sz w:val="20"/>
        </w:rPr>
        <w:t> </w:t>
      </w:r>
      <w:r>
        <w:rPr>
          <w:sz w:val="20"/>
        </w:rPr>
        <w:t>likely</w:t>
      </w:r>
      <w:r>
        <w:rPr>
          <w:spacing w:val="-4"/>
          <w:sz w:val="20"/>
        </w:rPr>
        <w:t> </w:t>
      </w:r>
      <w:r>
        <w:rPr>
          <w:sz w:val="20"/>
        </w:rPr>
        <w:t>to</w:t>
      </w:r>
      <w:r>
        <w:rPr>
          <w:spacing w:val="-5"/>
          <w:sz w:val="20"/>
        </w:rPr>
        <w:t> </w:t>
      </w:r>
      <w:r>
        <w:rPr>
          <w:sz w:val="20"/>
        </w:rPr>
        <w:t>rate</w:t>
      </w:r>
      <w:r>
        <w:rPr>
          <w:spacing w:val="-5"/>
          <w:sz w:val="20"/>
        </w:rPr>
        <w:t> </w:t>
      </w:r>
      <w:r>
        <w:rPr>
          <w:sz w:val="20"/>
        </w:rPr>
        <w:t>conciliator availability positively.</w:t>
      </w:r>
    </w:p>
    <w:p>
      <w:pPr>
        <w:pStyle w:val="ListParagraph"/>
        <w:numPr>
          <w:ilvl w:val="0"/>
          <w:numId w:val="19"/>
        </w:numPr>
        <w:tabs>
          <w:tab w:pos="2165" w:val="left" w:leader="none"/>
          <w:tab w:pos="2166" w:val="left" w:leader="none"/>
        </w:tabs>
        <w:spacing w:line="259" w:lineRule="auto" w:before="0" w:after="0"/>
        <w:ind w:left="2165" w:right="1075" w:hanging="360"/>
        <w:jc w:val="left"/>
        <w:rPr>
          <w:sz w:val="20"/>
        </w:rPr>
      </w:pPr>
      <w:r>
        <w:rPr>
          <w:sz w:val="20"/>
        </w:rPr>
        <w:t>Satisfaction with the level of contact provided by Acas conciliators during EC fell</w:t>
      </w:r>
      <w:r>
        <w:rPr>
          <w:spacing w:val="-4"/>
          <w:sz w:val="20"/>
        </w:rPr>
        <w:t> </w:t>
      </w:r>
      <w:r>
        <w:rPr>
          <w:sz w:val="20"/>
        </w:rPr>
        <w:t>among</w:t>
      </w:r>
      <w:r>
        <w:rPr>
          <w:spacing w:val="-3"/>
          <w:sz w:val="20"/>
        </w:rPr>
        <w:t> </w:t>
      </w:r>
      <w:r>
        <w:rPr>
          <w:sz w:val="20"/>
        </w:rPr>
        <w:t>employer-side</w:t>
      </w:r>
      <w:r>
        <w:rPr>
          <w:spacing w:val="-4"/>
          <w:sz w:val="20"/>
        </w:rPr>
        <w:t> </w:t>
      </w:r>
      <w:r>
        <w:rPr>
          <w:sz w:val="20"/>
        </w:rPr>
        <w:t>participants</w:t>
      </w:r>
      <w:r>
        <w:rPr>
          <w:spacing w:val="-4"/>
          <w:sz w:val="20"/>
        </w:rPr>
        <w:t> </w:t>
      </w:r>
      <w:r>
        <w:rPr>
          <w:sz w:val="20"/>
        </w:rPr>
        <w:t>this</w:t>
      </w:r>
      <w:r>
        <w:rPr>
          <w:spacing w:val="-4"/>
          <w:sz w:val="20"/>
        </w:rPr>
        <w:t> </w:t>
      </w:r>
      <w:r>
        <w:rPr>
          <w:sz w:val="20"/>
        </w:rPr>
        <w:t>year,</w:t>
      </w:r>
      <w:r>
        <w:rPr>
          <w:spacing w:val="-3"/>
          <w:sz w:val="20"/>
        </w:rPr>
        <w:t> </w:t>
      </w:r>
      <w:r>
        <w:rPr>
          <w:sz w:val="20"/>
        </w:rPr>
        <w:t>although</w:t>
      </w:r>
      <w:r>
        <w:rPr>
          <w:spacing w:val="-4"/>
          <w:sz w:val="20"/>
        </w:rPr>
        <w:t> </w:t>
      </w:r>
      <w:r>
        <w:rPr>
          <w:sz w:val="20"/>
        </w:rPr>
        <w:t>around</w:t>
      </w:r>
      <w:r>
        <w:rPr>
          <w:spacing w:val="-4"/>
          <w:sz w:val="20"/>
        </w:rPr>
        <w:t> </w:t>
      </w:r>
      <w:r>
        <w:rPr>
          <w:sz w:val="20"/>
        </w:rPr>
        <w:t>four-fifths</w:t>
      </w:r>
      <w:r>
        <w:rPr>
          <w:spacing w:val="-4"/>
          <w:sz w:val="20"/>
        </w:rPr>
        <w:t> </w:t>
      </w:r>
      <w:r>
        <w:rPr>
          <w:sz w:val="20"/>
        </w:rPr>
        <w:t>of this group were still satisfied.</w:t>
      </w:r>
    </w:p>
    <w:p>
      <w:pPr>
        <w:pStyle w:val="ListParagraph"/>
        <w:numPr>
          <w:ilvl w:val="0"/>
          <w:numId w:val="19"/>
        </w:numPr>
        <w:tabs>
          <w:tab w:pos="2166" w:val="left" w:leader="none"/>
        </w:tabs>
        <w:spacing w:line="240" w:lineRule="auto" w:before="0" w:after="0"/>
        <w:ind w:left="2165" w:right="891" w:hanging="360"/>
        <w:jc w:val="both"/>
        <w:rPr>
          <w:sz w:val="20"/>
        </w:rPr>
      </w:pPr>
      <w:r>
        <w:rPr>
          <w:sz w:val="20"/>
        </w:rPr>
        <w:t>Claimant and employer-side participants spent similar amounts of time on the dispute this year. For employer-side participants this represents an increase in time spent since 2015.</w:t>
      </w:r>
    </w:p>
    <w:p>
      <w:pPr>
        <w:pStyle w:val="ListParagraph"/>
        <w:numPr>
          <w:ilvl w:val="0"/>
          <w:numId w:val="19"/>
        </w:numPr>
        <w:tabs>
          <w:tab w:pos="2166" w:val="left" w:leader="none"/>
        </w:tabs>
        <w:spacing w:line="240" w:lineRule="auto" w:before="0" w:after="0"/>
        <w:ind w:left="2165" w:right="891" w:hanging="360"/>
        <w:jc w:val="both"/>
        <w:rPr>
          <w:sz w:val="20"/>
        </w:rPr>
      </w:pPr>
      <w:r>
        <w:rPr>
          <w:sz w:val="20"/>
        </w:rPr>
        <w:t>A</w:t>
      </w:r>
      <w:r>
        <w:rPr>
          <w:spacing w:val="-16"/>
          <w:sz w:val="20"/>
        </w:rPr>
        <w:t> </w:t>
      </w:r>
      <w:r>
        <w:rPr>
          <w:sz w:val="20"/>
        </w:rPr>
        <w:t>majority</w:t>
      </w:r>
      <w:r>
        <w:rPr>
          <w:spacing w:val="-16"/>
          <w:sz w:val="20"/>
        </w:rPr>
        <w:t> </w:t>
      </w:r>
      <w:r>
        <w:rPr>
          <w:sz w:val="20"/>
        </w:rPr>
        <w:t>of</w:t>
      </w:r>
      <w:r>
        <w:rPr>
          <w:spacing w:val="-16"/>
          <w:sz w:val="20"/>
        </w:rPr>
        <w:t> </w:t>
      </w:r>
      <w:r>
        <w:rPr>
          <w:sz w:val="20"/>
        </w:rPr>
        <w:t>claimant</w:t>
      </w:r>
      <w:r>
        <w:rPr>
          <w:spacing w:val="-16"/>
          <w:sz w:val="20"/>
        </w:rPr>
        <w:t> </w:t>
      </w:r>
      <w:r>
        <w:rPr>
          <w:sz w:val="20"/>
        </w:rPr>
        <w:t>side</w:t>
      </w:r>
      <w:r>
        <w:rPr>
          <w:spacing w:val="-17"/>
          <w:sz w:val="20"/>
        </w:rPr>
        <w:t> </w:t>
      </w:r>
      <w:r>
        <w:rPr>
          <w:sz w:val="20"/>
        </w:rPr>
        <w:t>participants</w:t>
      </w:r>
      <w:r>
        <w:rPr>
          <w:spacing w:val="-17"/>
          <w:sz w:val="20"/>
        </w:rPr>
        <w:t> </w:t>
      </w:r>
      <w:r>
        <w:rPr>
          <w:sz w:val="20"/>
        </w:rPr>
        <w:t>were</w:t>
      </w:r>
      <w:r>
        <w:rPr>
          <w:spacing w:val="-17"/>
          <w:sz w:val="20"/>
        </w:rPr>
        <w:t> </w:t>
      </w:r>
      <w:r>
        <w:rPr>
          <w:sz w:val="20"/>
        </w:rPr>
        <w:t>aware</w:t>
      </w:r>
      <w:r>
        <w:rPr>
          <w:spacing w:val="-17"/>
          <w:sz w:val="20"/>
        </w:rPr>
        <w:t> </w:t>
      </w:r>
      <w:r>
        <w:rPr>
          <w:sz w:val="20"/>
        </w:rPr>
        <w:t>of</w:t>
      </w:r>
      <w:r>
        <w:rPr>
          <w:spacing w:val="-16"/>
          <w:sz w:val="20"/>
        </w:rPr>
        <w:t> </w:t>
      </w:r>
      <w:r>
        <w:rPr>
          <w:sz w:val="20"/>
        </w:rPr>
        <w:t>the</w:t>
      </w:r>
      <w:r>
        <w:rPr>
          <w:spacing w:val="-17"/>
          <w:sz w:val="20"/>
        </w:rPr>
        <w:t> </w:t>
      </w:r>
      <w:r>
        <w:rPr>
          <w:sz w:val="20"/>
        </w:rPr>
        <w:t>certificate</w:t>
      </w:r>
      <w:r>
        <w:rPr>
          <w:spacing w:val="-16"/>
          <w:sz w:val="20"/>
        </w:rPr>
        <w:t> </w:t>
      </w:r>
      <w:r>
        <w:rPr>
          <w:sz w:val="20"/>
        </w:rPr>
        <w:t>issued</w:t>
      </w:r>
      <w:r>
        <w:rPr>
          <w:spacing w:val="-16"/>
          <w:sz w:val="20"/>
        </w:rPr>
        <w:t> </w:t>
      </w:r>
      <w:r>
        <w:rPr>
          <w:sz w:val="20"/>
        </w:rPr>
        <w:t>when EC ended</w:t>
      </w:r>
      <w:r>
        <w:rPr>
          <w:spacing w:val="-1"/>
          <w:sz w:val="20"/>
        </w:rPr>
        <w:t> </w:t>
      </w:r>
      <w:r>
        <w:rPr>
          <w:sz w:val="20"/>
        </w:rPr>
        <w:t>in an impasse and</w:t>
      </w:r>
      <w:r>
        <w:rPr>
          <w:spacing w:val="-1"/>
          <w:sz w:val="20"/>
        </w:rPr>
        <w:t> </w:t>
      </w:r>
      <w:r>
        <w:rPr>
          <w:sz w:val="20"/>
        </w:rPr>
        <w:t>recalled receipt. Similarly, a</w:t>
      </w:r>
      <w:r>
        <w:rPr>
          <w:spacing w:val="-1"/>
          <w:sz w:val="20"/>
        </w:rPr>
        <w:t> </w:t>
      </w:r>
      <w:r>
        <w:rPr>
          <w:sz w:val="20"/>
        </w:rPr>
        <w:t>majority of employers understood the purpose of the certificate.</w:t>
      </w:r>
    </w:p>
    <w:p>
      <w:pPr>
        <w:pStyle w:val="BodyText"/>
      </w:pPr>
    </w:p>
    <w:p>
      <w:pPr>
        <w:pStyle w:val="BodyText"/>
      </w:pPr>
    </w:p>
    <w:p>
      <w:pPr>
        <w:pStyle w:val="BodyText"/>
        <w:spacing w:before="7"/>
        <w:rPr>
          <w:sz w:val="21"/>
        </w:rPr>
      </w:pPr>
    </w:p>
    <w:p>
      <w:pPr>
        <w:pStyle w:val="Heading3"/>
        <w:numPr>
          <w:ilvl w:val="1"/>
          <w:numId w:val="2"/>
        </w:numPr>
        <w:tabs>
          <w:tab w:pos="2042" w:val="left" w:leader="none"/>
        </w:tabs>
        <w:spacing w:line="240" w:lineRule="auto" w:before="1" w:after="0"/>
        <w:ind w:left="2041" w:right="0" w:hanging="705"/>
        <w:jc w:val="both"/>
      </w:pPr>
      <w:bookmarkStart w:name="9.1   Contact with the conciliator" w:id="77"/>
      <w:bookmarkEnd w:id="77"/>
      <w:r>
        <w:rPr>
          <w:b w:val="0"/>
        </w:rPr>
      </w:r>
      <w:bookmarkStart w:name="_bookmark18" w:id="78"/>
      <w:bookmarkEnd w:id="78"/>
      <w:r>
        <w:rPr/>
        <w:t>Con</w:t>
      </w:r>
      <w:r>
        <w:rPr/>
        <w:t>tact</w:t>
      </w:r>
      <w:r>
        <w:rPr>
          <w:spacing w:val="-5"/>
        </w:rPr>
        <w:t> </w:t>
      </w:r>
      <w:r>
        <w:rPr/>
        <w:t>with</w:t>
      </w:r>
      <w:r>
        <w:rPr>
          <w:spacing w:val="-2"/>
        </w:rPr>
        <w:t> </w:t>
      </w:r>
      <w:r>
        <w:rPr/>
        <w:t>the</w:t>
      </w:r>
      <w:r>
        <w:rPr>
          <w:spacing w:val="-2"/>
        </w:rPr>
        <w:t> conciliator</w:t>
      </w:r>
    </w:p>
    <w:p>
      <w:pPr>
        <w:pStyle w:val="BodyText"/>
        <w:spacing w:before="119"/>
        <w:ind w:left="1337" w:right="1473"/>
        <w:jc w:val="both"/>
      </w:pPr>
      <w:r>
        <w:rPr/>
        <w:t>All</w:t>
      </w:r>
      <w:r>
        <w:rPr>
          <w:spacing w:val="-14"/>
        </w:rPr>
        <w:t> </w:t>
      </w:r>
      <w:r>
        <w:rPr/>
        <w:t>those</w:t>
      </w:r>
      <w:r>
        <w:rPr>
          <w:spacing w:val="-13"/>
        </w:rPr>
        <w:t> </w:t>
      </w:r>
      <w:r>
        <w:rPr/>
        <w:t>involved</w:t>
      </w:r>
      <w:r>
        <w:rPr>
          <w:spacing w:val="-13"/>
        </w:rPr>
        <w:t> </w:t>
      </w:r>
      <w:r>
        <w:rPr/>
        <w:t>in</w:t>
      </w:r>
      <w:r>
        <w:rPr>
          <w:spacing w:val="-12"/>
        </w:rPr>
        <w:t> </w:t>
      </w:r>
      <w:r>
        <w:rPr/>
        <w:t>a</w:t>
      </w:r>
      <w:r>
        <w:rPr>
          <w:spacing w:val="-14"/>
        </w:rPr>
        <w:t> </w:t>
      </w:r>
      <w:r>
        <w:rPr/>
        <w:t>dispute</w:t>
      </w:r>
      <w:r>
        <w:rPr>
          <w:spacing w:val="-14"/>
        </w:rPr>
        <w:t> </w:t>
      </w:r>
      <w:r>
        <w:rPr/>
        <w:t>which</w:t>
      </w:r>
      <w:r>
        <w:rPr>
          <w:spacing w:val="-13"/>
        </w:rPr>
        <w:t> </w:t>
      </w:r>
      <w:r>
        <w:rPr/>
        <w:t>progressed</w:t>
      </w:r>
      <w:r>
        <w:rPr>
          <w:spacing w:val="-14"/>
        </w:rPr>
        <w:t> </w:t>
      </w:r>
      <w:r>
        <w:rPr/>
        <w:t>to</w:t>
      </w:r>
      <w:r>
        <w:rPr>
          <w:spacing w:val="-14"/>
        </w:rPr>
        <w:t> </w:t>
      </w:r>
      <w:r>
        <w:rPr/>
        <w:t>the</w:t>
      </w:r>
      <w:r>
        <w:rPr>
          <w:spacing w:val="-13"/>
        </w:rPr>
        <w:t> </w:t>
      </w:r>
      <w:r>
        <w:rPr/>
        <w:t>conciliator</w:t>
      </w:r>
      <w:r>
        <w:rPr>
          <w:spacing w:val="-13"/>
        </w:rPr>
        <w:t> </w:t>
      </w:r>
      <w:r>
        <w:rPr/>
        <w:t>stage</w:t>
      </w:r>
      <w:r>
        <w:rPr>
          <w:spacing w:val="-14"/>
        </w:rPr>
        <w:t> </w:t>
      </w:r>
      <w:r>
        <w:rPr/>
        <w:t>were</w:t>
      </w:r>
      <w:r>
        <w:rPr>
          <w:spacing w:val="-13"/>
        </w:rPr>
        <w:t> </w:t>
      </w:r>
      <w:r>
        <w:rPr/>
        <w:t>asked about</w:t>
      </w:r>
      <w:r>
        <w:rPr>
          <w:spacing w:val="-7"/>
        </w:rPr>
        <w:t> </w:t>
      </w:r>
      <w:r>
        <w:rPr/>
        <w:t>their</w:t>
      </w:r>
      <w:r>
        <w:rPr>
          <w:spacing w:val="-7"/>
        </w:rPr>
        <w:t> </w:t>
      </w:r>
      <w:r>
        <w:rPr/>
        <w:t>contact</w:t>
      </w:r>
      <w:r>
        <w:rPr>
          <w:spacing w:val="-8"/>
        </w:rPr>
        <w:t> </w:t>
      </w:r>
      <w:r>
        <w:rPr/>
        <w:t>with</w:t>
      </w:r>
      <w:r>
        <w:rPr>
          <w:spacing w:val="-8"/>
        </w:rPr>
        <w:t> </w:t>
      </w:r>
      <w:r>
        <w:rPr/>
        <w:t>the</w:t>
      </w:r>
      <w:r>
        <w:rPr>
          <w:spacing w:val="-7"/>
        </w:rPr>
        <w:t> </w:t>
      </w:r>
      <w:r>
        <w:rPr/>
        <w:t>conciliator</w:t>
      </w:r>
      <w:r>
        <w:rPr>
          <w:spacing w:val="-7"/>
        </w:rPr>
        <w:t> </w:t>
      </w:r>
      <w:r>
        <w:rPr/>
        <w:t>or</w:t>
      </w:r>
      <w:r>
        <w:rPr>
          <w:spacing w:val="-7"/>
        </w:rPr>
        <w:t> </w:t>
      </w:r>
      <w:r>
        <w:rPr/>
        <w:t>conciliators</w:t>
      </w:r>
      <w:r>
        <w:rPr>
          <w:spacing w:val="-7"/>
        </w:rPr>
        <w:t> </w:t>
      </w:r>
      <w:r>
        <w:rPr/>
        <w:t>who</w:t>
      </w:r>
      <w:r>
        <w:rPr>
          <w:spacing w:val="-9"/>
        </w:rPr>
        <w:t> </w:t>
      </w:r>
      <w:r>
        <w:rPr/>
        <w:t>dealt</w:t>
      </w:r>
      <w:r>
        <w:rPr>
          <w:spacing w:val="-7"/>
        </w:rPr>
        <w:t> </w:t>
      </w:r>
      <w:r>
        <w:rPr/>
        <w:t>with</w:t>
      </w:r>
      <w:r>
        <w:rPr>
          <w:spacing w:val="-6"/>
        </w:rPr>
        <w:t> </w:t>
      </w:r>
      <w:r>
        <w:rPr/>
        <w:t>their</w:t>
      </w:r>
      <w:r>
        <w:rPr>
          <w:spacing w:val="-7"/>
        </w:rPr>
        <w:t> </w:t>
      </w:r>
      <w:r>
        <w:rPr/>
        <w:t>case.</w:t>
      </w:r>
      <w:r>
        <w:rPr>
          <w:spacing w:val="-6"/>
        </w:rPr>
        <w:t> </w:t>
      </w:r>
      <w:r>
        <w:rPr/>
        <w:t>By this point service users would have contacted both ECSOs and conciliators; those surveyed</w:t>
      </w:r>
      <w:r>
        <w:rPr>
          <w:spacing w:val="-9"/>
        </w:rPr>
        <w:t> </w:t>
      </w:r>
      <w:r>
        <w:rPr/>
        <w:t>were</w:t>
      </w:r>
      <w:r>
        <w:rPr>
          <w:spacing w:val="-8"/>
        </w:rPr>
        <w:t> </w:t>
      </w:r>
      <w:r>
        <w:rPr/>
        <w:t>asked</w:t>
      </w:r>
      <w:r>
        <w:rPr>
          <w:spacing w:val="-9"/>
        </w:rPr>
        <w:t> </w:t>
      </w:r>
      <w:r>
        <w:rPr/>
        <w:t>to</w:t>
      </w:r>
      <w:r>
        <w:rPr>
          <w:spacing w:val="-8"/>
        </w:rPr>
        <w:t> </w:t>
      </w:r>
      <w:r>
        <w:rPr/>
        <w:t>answer</w:t>
      </w:r>
      <w:r>
        <w:rPr>
          <w:spacing w:val="-9"/>
        </w:rPr>
        <w:t> </w:t>
      </w:r>
      <w:r>
        <w:rPr/>
        <w:t>these</w:t>
      </w:r>
      <w:r>
        <w:rPr>
          <w:spacing w:val="-8"/>
        </w:rPr>
        <w:t> </w:t>
      </w:r>
      <w:r>
        <w:rPr/>
        <w:t>questions</w:t>
      </w:r>
      <w:r>
        <w:rPr>
          <w:spacing w:val="-9"/>
        </w:rPr>
        <w:t> </w:t>
      </w:r>
      <w:r>
        <w:rPr/>
        <w:t>considering</w:t>
      </w:r>
      <w:r>
        <w:rPr>
          <w:spacing w:val="-9"/>
        </w:rPr>
        <w:t> </w:t>
      </w:r>
      <w:r>
        <w:rPr/>
        <w:t>conciliators</w:t>
      </w:r>
      <w:r>
        <w:rPr>
          <w:spacing w:val="-8"/>
        </w:rPr>
        <w:t> </w:t>
      </w:r>
      <w:r>
        <w:rPr/>
        <w:t>only.</w:t>
      </w:r>
      <w:r>
        <w:rPr>
          <w:spacing w:val="-10"/>
        </w:rPr>
        <w:t> </w:t>
      </w:r>
      <w:r>
        <w:rPr/>
        <w:t>Here it is important to note that not all cases where contact with a conciliator was established ended up with Early Conciliation taking place.</w:t>
      </w:r>
    </w:p>
    <w:p>
      <w:pPr>
        <w:spacing w:after="0"/>
        <w:jc w:val="both"/>
        <w:sectPr>
          <w:pgSz w:w="11910" w:h="16840"/>
          <w:pgMar w:header="0" w:footer="996" w:top="1340" w:bottom="1180" w:left="460" w:right="320"/>
        </w:sectPr>
      </w:pPr>
    </w:p>
    <w:p>
      <w:pPr>
        <w:pStyle w:val="BodyText"/>
        <w:spacing w:before="82"/>
        <w:ind w:left="1336" w:right="1472"/>
        <w:jc w:val="both"/>
      </w:pPr>
      <w:r>
        <w:rPr/>
        <w:t>Most participants confirmed having a single conciliator on their case (79 per cent of</w:t>
      </w:r>
      <w:r>
        <w:rPr>
          <w:spacing w:val="-5"/>
        </w:rPr>
        <w:t> </w:t>
      </w:r>
      <w:r>
        <w:rPr/>
        <w:t>claimant-side</w:t>
      </w:r>
      <w:r>
        <w:rPr>
          <w:spacing w:val="-6"/>
        </w:rPr>
        <w:t> </w:t>
      </w:r>
      <w:r>
        <w:rPr/>
        <w:t>participants</w:t>
      </w:r>
      <w:r>
        <w:rPr>
          <w:spacing w:val="-5"/>
        </w:rPr>
        <w:t> </w:t>
      </w:r>
      <w:r>
        <w:rPr/>
        <w:t>and</w:t>
      </w:r>
      <w:r>
        <w:rPr>
          <w:spacing w:val="-5"/>
        </w:rPr>
        <w:t> </w:t>
      </w:r>
      <w:r>
        <w:rPr/>
        <w:t>84</w:t>
      </w:r>
      <w:r>
        <w:rPr>
          <w:spacing w:val="-7"/>
        </w:rPr>
        <w:t> </w:t>
      </w:r>
      <w:r>
        <w:rPr/>
        <w:t>per</w:t>
      </w:r>
      <w:r>
        <w:rPr>
          <w:spacing w:val="-6"/>
        </w:rPr>
        <w:t> </w:t>
      </w:r>
      <w:r>
        <w:rPr/>
        <w:t>cent</w:t>
      </w:r>
      <w:r>
        <w:rPr>
          <w:spacing w:val="-5"/>
        </w:rPr>
        <w:t> </w:t>
      </w:r>
      <w:r>
        <w:rPr/>
        <w:t>of</w:t>
      </w:r>
      <w:r>
        <w:rPr>
          <w:spacing w:val="-7"/>
        </w:rPr>
        <w:t> </w:t>
      </w:r>
      <w:r>
        <w:rPr/>
        <w:t>employer-side</w:t>
      </w:r>
      <w:r>
        <w:rPr>
          <w:spacing w:val="-6"/>
        </w:rPr>
        <w:t> </w:t>
      </w:r>
      <w:r>
        <w:rPr/>
        <w:t>participants).</w:t>
      </w:r>
      <w:r>
        <w:rPr>
          <w:spacing w:val="-5"/>
        </w:rPr>
        <w:t> </w:t>
      </w:r>
      <w:r>
        <w:rPr/>
        <w:t>Other participants</w:t>
      </w:r>
      <w:r>
        <w:rPr>
          <w:spacing w:val="-5"/>
        </w:rPr>
        <w:t> </w:t>
      </w:r>
      <w:r>
        <w:rPr/>
        <w:t>reported</w:t>
      </w:r>
      <w:r>
        <w:rPr>
          <w:spacing w:val="-5"/>
        </w:rPr>
        <w:t> </w:t>
      </w:r>
      <w:r>
        <w:rPr/>
        <w:t>dealing</w:t>
      </w:r>
      <w:r>
        <w:rPr>
          <w:spacing w:val="-5"/>
        </w:rPr>
        <w:t> </w:t>
      </w:r>
      <w:r>
        <w:rPr/>
        <w:t>with</w:t>
      </w:r>
      <w:r>
        <w:rPr>
          <w:spacing w:val="-7"/>
        </w:rPr>
        <w:t> </w:t>
      </w:r>
      <w:r>
        <w:rPr/>
        <w:t>multiple</w:t>
      </w:r>
      <w:r>
        <w:rPr>
          <w:spacing w:val="-6"/>
        </w:rPr>
        <w:t> </w:t>
      </w:r>
      <w:r>
        <w:rPr/>
        <w:t>conciliators</w:t>
      </w:r>
      <w:r>
        <w:rPr>
          <w:spacing w:val="-5"/>
        </w:rPr>
        <w:t> </w:t>
      </w:r>
      <w:r>
        <w:rPr/>
        <w:t>(i.e.</w:t>
      </w:r>
      <w:r>
        <w:rPr>
          <w:spacing w:val="-5"/>
        </w:rPr>
        <w:t> </w:t>
      </w:r>
      <w:r>
        <w:rPr/>
        <w:t>their</w:t>
      </w:r>
      <w:r>
        <w:rPr>
          <w:spacing w:val="-6"/>
        </w:rPr>
        <w:t> </w:t>
      </w:r>
      <w:r>
        <w:rPr/>
        <w:t>cases</w:t>
      </w:r>
      <w:r>
        <w:rPr>
          <w:spacing w:val="-5"/>
        </w:rPr>
        <w:t> </w:t>
      </w:r>
      <w:r>
        <w:rPr/>
        <w:t>would</w:t>
      </w:r>
      <w:r>
        <w:rPr>
          <w:spacing w:val="-5"/>
        </w:rPr>
        <w:t> </w:t>
      </w:r>
      <w:r>
        <w:rPr/>
        <w:t>have been</w:t>
      </w:r>
      <w:r>
        <w:rPr>
          <w:spacing w:val="-8"/>
        </w:rPr>
        <w:t> </w:t>
      </w:r>
      <w:r>
        <w:rPr/>
        <w:t>handled</w:t>
      </w:r>
      <w:r>
        <w:rPr>
          <w:spacing w:val="-8"/>
        </w:rPr>
        <w:t> </w:t>
      </w:r>
      <w:r>
        <w:rPr/>
        <w:t>by</w:t>
      </w:r>
      <w:r>
        <w:rPr>
          <w:spacing w:val="-9"/>
        </w:rPr>
        <w:t> </w:t>
      </w:r>
      <w:r>
        <w:rPr/>
        <w:t>teams</w:t>
      </w:r>
      <w:r>
        <w:rPr>
          <w:spacing w:val="-10"/>
        </w:rPr>
        <w:t> </w:t>
      </w:r>
      <w:r>
        <w:rPr/>
        <w:t>providing</w:t>
      </w:r>
      <w:r>
        <w:rPr>
          <w:spacing w:val="-8"/>
        </w:rPr>
        <w:t> </w:t>
      </w:r>
      <w:r>
        <w:rPr/>
        <w:t>cover</w:t>
      </w:r>
      <w:r>
        <w:rPr>
          <w:spacing w:val="-8"/>
        </w:rPr>
        <w:t> </w:t>
      </w:r>
      <w:r>
        <w:rPr/>
        <w:t>for</w:t>
      </w:r>
      <w:r>
        <w:rPr>
          <w:spacing w:val="-10"/>
        </w:rPr>
        <w:t> </w:t>
      </w:r>
      <w:r>
        <w:rPr/>
        <w:t>conciliator</w:t>
      </w:r>
      <w:r>
        <w:rPr>
          <w:spacing w:val="-8"/>
        </w:rPr>
        <w:t> </w:t>
      </w:r>
      <w:r>
        <w:rPr/>
        <w:t>absence):</w:t>
      </w:r>
      <w:r>
        <w:rPr>
          <w:spacing w:val="-9"/>
        </w:rPr>
        <w:t> </w:t>
      </w:r>
      <w:r>
        <w:rPr/>
        <w:t>one</w:t>
      </w:r>
      <w:r>
        <w:rPr>
          <w:spacing w:val="-10"/>
        </w:rPr>
        <w:t> </w:t>
      </w:r>
      <w:r>
        <w:rPr/>
        <w:t>in</w:t>
      </w:r>
      <w:r>
        <w:rPr>
          <w:spacing w:val="-8"/>
        </w:rPr>
        <w:t> </w:t>
      </w:r>
      <w:r>
        <w:rPr/>
        <w:t>ten</w:t>
      </w:r>
      <w:r>
        <w:rPr>
          <w:spacing w:val="-9"/>
        </w:rPr>
        <w:t> </w:t>
      </w:r>
      <w:r>
        <w:rPr/>
        <w:t>(13</w:t>
      </w:r>
      <w:r>
        <w:rPr>
          <w:spacing w:val="-9"/>
        </w:rPr>
        <w:t> </w:t>
      </w:r>
      <w:r>
        <w:rPr/>
        <w:t>per cent and 11 per cent respectively) had dealt with two, while just a handful (four per cent and two per cent) reported speaking with three or more conciliators.</w:t>
      </w:r>
      <w:hyperlink w:history="true" w:anchor="_bookmark77">
        <w:r>
          <w:rPr>
            <w:position w:val="7"/>
            <w:sz w:val="13"/>
          </w:rPr>
          <w:t>11</w:t>
        </w:r>
      </w:hyperlink>
      <w:r>
        <w:rPr>
          <w:position w:val="7"/>
          <w:sz w:val="13"/>
        </w:rPr>
        <w:t> </w:t>
      </w:r>
      <w:r>
        <w:rPr/>
        <w:t>There has</w:t>
      </w:r>
      <w:r>
        <w:rPr>
          <w:spacing w:val="-1"/>
        </w:rPr>
        <w:t> </w:t>
      </w:r>
      <w:r>
        <w:rPr/>
        <w:t>been little change since</w:t>
      </w:r>
      <w:r>
        <w:rPr>
          <w:spacing w:val="-1"/>
        </w:rPr>
        <w:t> </w:t>
      </w:r>
      <w:r>
        <w:rPr/>
        <w:t>2015, when a majority (80 per cent and</w:t>
      </w:r>
      <w:r>
        <w:rPr>
          <w:spacing w:val="-1"/>
        </w:rPr>
        <w:t> </w:t>
      </w:r>
      <w:r>
        <w:rPr/>
        <w:t>87</w:t>
      </w:r>
      <w:r>
        <w:rPr>
          <w:spacing w:val="-1"/>
        </w:rPr>
        <w:t> </w:t>
      </w:r>
      <w:r>
        <w:rPr/>
        <w:t>per cent) reported one point of contact, one in ten (14 per cent and eight per cent) reported two, and a minority (four per cent and three per cent) reported three or more</w:t>
      </w:r>
      <w:hyperlink w:history="true" w:anchor="_bookmark78">
        <w:r>
          <w:rPr>
            <w:position w:val="7"/>
            <w:sz w:val="13"/>
          </w:rPr>
          <w:t>12</w:t>
        </w:r>
      </w:hyperlink>
      <w:r>
        <w:rPr/>
        <w:t>.</w:t>
      </w:r>
      <w:r>
        <w:rPr>
          <w:spacing w:val="-8"/>
        </w:rPr>
        <w:t> </w:t>
      </w:r>
      <w:r>
        <w:rPr/>
        <w:t>Unlike</w:t>
      </w:r>
      <w:r>
        <w:rPr>
          <w:spacing w:val="-8"/>
        </w:rPr>
        <w:t> </w:t>
      </w:r>
      <w:r>
        <w:rPr/>
        <w:t>in</w:t>
      </w:r>
      <w:r>
        <w:rPr>
          <w:spacing w:val="-7"/>
        </w:rPr>
        <w:t> </w:t>
      </w:r>
      <w:r>
        <w:rPr/>
        <w:t>2015,</w:t>
      </w:r>
      <w:r>
        <w:rPr>
          <w:spacing w:val="-8"/>
        </w:rPr>
        <w:t> </w:t>
      </w:r>
      <w:r>
        <w:rPr/>
        <w:t>these</w:t>
      </w:r>
      <w:r>
        <w:rPr>
          <w:spacing w:val="-9"/>
        </w:rPr>
        <w:t> </w:t>
      </w:r>
      <w:r>
        <w:rPr/>
        <w:t>results</w:t>
      </w:r>
      <w:r>
        <w:rPr>
          <w:spacing w:val="-9"/>
        </w:rPr>
        <w:t> </w:t>
      </w:r>
      <w:r>
        <w:rPr/>
        <w:t>did</w:t>
      </w:r>
      <w:r>
        <w:rPr>
          <w:spacing w:val="-8"/>
        </w:rPr>
        <w:t> </w:t>
      </w:r>
      <w:r>
        <w:rPr/>
        <w:t>not</w:t>
      </w:r>
      <w:r>
        <w:rPr>
          <w:spacing w:val="-8"/>
        </w:rPr>
        <w:t> </w:t>
      </w:r>
      <w:r>
        <w:rPr/>
        <w:t>differ</w:t>
      </w:r>
      <w:r>
        <w:rPr>
          <w:spacing w:val="-8"/>
        </w:rPr>
        <w:t> </w:t>
      </w:r>
      <w:r>
        <w:rPr/>
        <w:t>significantly</w:t>
      </w:r>
      <w:r>
        <w:rPr>
          <w:spacing w:val="-8"/>
        </w:rPr>
        <w:t> </w:t>
      </w:r>
      <w:r>
        <w:rPr/>
        <w:t>between</w:t>
      </w:r>
      <w:r>
        <w:rPr>
          <w:spacing w:val="-9"/>
        </w:rPr>
        <w:t> </w:t>
      </w:r>
      <w:r>
        <w:rPr/>
        <w:t>claimants, employers and their representatives.</w:t>
      </w:r>
    </w:p>
    <w:p>
      <w:pPr>
        <w:pStyle w:val="BodyText"/>
        <w:spacing w:before="11"/>
        <w:rPr>
          <w:sz w:val="19"/>
        </w:rPr>
      </w:pPr>
    </w:p>
    <w:p>
      <w:pPr>
        <w:pStyle w:val="BodyText"/>
        <w:ind w:left="1337" w:right="1473"/>
        <w:jc w:val="both"/>
      </w:pPr>
      <w:r>
        <w:rPr/>
        <w:t>Telephone</w:t>
      </w:r>
      <w:r>
        <w:rPr>
          <w:spacing w:val="-1"/>
        </w:rPr>
        <w:t> </w:t>
      </w:r>
      <w:r>
        <w:rPr/>
        <w:t>and email were the main ways</w:t>
      </w:r>
      <w:r>
        <w:rPr>
          <w:spacing w:val="-1"/>
        </w:rPr>
        <w:t> </w:t>
      </w:r>
      <w:r>
        <w:rPr/>
        <w:t>in which claimants, employers and</w:t>
      </w:r>
      <w:r>
        <w:rPr>
          <w:spacing w:val="-1"/>
        </w:rPr>
        <w:t> </w:t>
      </w:r>
      <w:r>
        <w:rPr/>
        <w:t>their respective</w:t>
      </w:r>
      <w:r>
        <w:rPr>
          <w:spacing w:val="-18"/>
        </w:rPr>
        <w:t> </w:t>
      </w:r>
      <w:r>
        <w:rPr/>
        <w:t>representatives</w:t>
      </w:r>
      <w:r>
        <w:rPr>
          <w:spacing w:val="-18"/>
        </w:rPr>
        <w:t> </w:t>
      </w:r>
      <w:r>
        <w:rPr/>
        <w:t>liaised</w:t>
      </w:r>
      <w:r>
        <w:rPr>
          <w:spacing w:val="-17"/>
        </w:rPr>
        <w:t> </w:t>
      </w:r>
      <w:r>
        <w:rPr/>
        <w:t>with</w:t>
      </w:r>
      <w:r>
        <w:rPr>
          <w:spacing w:val="-18"/>
        </w:rPr>
        <w:t> </w:t>
      </w:r>
      <w:r>
        <w:rPr/>
        <w:t>the</w:t>
      </w:r>
      <w:r>
        <w:rPr>
          <w:spacing w:val="-17"/>
        </w:rPr>
        <w:t> </w:t>
      </w:r>
      <w:r>
        <w:rPr/>
        <w:t>Acas</w:t>
      </w:r>
      <w:r>
        <w:rPr>
          <w:spacing w:val="-18"/>
        </w:rPr>
        <w:t> </w:t>
      </w:r>
      <w:r>
        <w:rPr/>
        <w:t>conciliator</w:t>
      </w:r>
      <w:r>
        <w:rPr>
          <w:spacing w:val="-18"/>
        </w:rPr>
        <w:t> </w:t>
      </w:r>
      <w:r>
        <w:rPr/>
        <w:t>(see</w:t>
      </w:r>
      <w:r>
        <w:rPr>
          <w:spacing w:val="-17"/>
        </w:rPr>
        <w:t> </w:t>
      </w:r>
      <w:r>
        <w:rPr/>
        <w:t>Table</w:t>
      </w:r>
      <w:r>
        <w:rPr>
          <w:spacing w:val="-18"/>
        </w:rPr>
        <w:t> </w:t>
      </w:r>
      <w:r>
        <w:rPr/>
        <w:t>8).</w:t>
      </w:r>
      <w:r>
        <w:rPr>
          <w:spacing w:val="-17"/>
        </w:rPr>
        <w:t> </w:t>
      </w:r>
      <w:r>
        <w:rPr/>
        <w:t>Telephone remains the primary method of communication used across audiences, although email</w:t>
      </w:r>
      <w:r>
        <w:rPr>
          <w:spacing w:val="-8"/>
        </w:rPr>
        <w:t> </w:t>
      </w:r>
      <w:r>
        <w:rPr/>
        <w:t>use</w:t>
      </w:r>
      <w:r>
        <w:rPr>
          <w:spacing w:val="-7"/>
        </w:rPr>
        <w:t> </w:t>
      </w:r>
      <w:r>
        <w:rPr/>
        <w:t>increased</w:t>
      </w:r>
      <w:r>
        <w:rPr>
          <w:spacing w:val="-7"/>
        </w:rPr>
        <w:t> </w:t>
      </w:r>
      <w:r>
        <w:rPr/>
        <w:t>significantly</w:t>
      </w:r>
      <w:r>
        <w:rPr>
          <w:spacing w:val="-6"/>
        </w:rPr>
        <w:t> </w:t>
      </w:r>
      <w:r>
        <w:rPr/>
        <w:t>from</w:t>
      </w:r>
      <w:r>
        <w:rPr>
          <w:spacing w:val="-7"/>
        </w:rPr>
        <w:t> </w:t>
      </w:r>
      <w:r>
        <w:rPr/>
        <w:t>2015</w:t>
      </w:r>
      <w:r>
        <w:rPr>
          <w:spacing w:val="-8"/>
        </w:rPr>
        <w:t> </w:t>
      </w:r>
      <w:r>
        <w:rPr/>
        <w:t>(up</w:t>
      </w:r>
      <w:r>
        <w:rPr>
          <w:spacing w:val="-7"/>
        </w:rPr>
        <w:t> </w:t>
      </w:r>
      <w:r>
        <w:rPr/>
        <w:t>seven</w:t>
      </w:r>
      <w:r>
        <w:rPr>
          <w:spacing w:val="-7"/>
        </w:rPr>
        <w:t> </w:t>
      </w:r>
      <w:r>
        <w:rPr/>
        <w:t>points</w:t>
      </w:r>
      <w:r>
        <w:rPr>
          <w:spacing w:val="-8"/>
        </w:rPr>
        <w:t> </w:t>
      </w:r>
      <w:r>
        <w:rPr/>
        <w:t>among</w:t>
      </w:r>
      <w:r>
        <w:rPr>
          <w:spacing w:val="-9"/>
        </w:rPr>
        <w:t> </w:t>
      </w:r>
      <w:r>
        <w:rPr/>
        <w:t>claimants</w:t>
      </w:r>
      <w:r>
        <w:rPr>
          <w:spacing w:val="-7"/>
        </w:rPr>
        <w:t> </w:t>
      </w:r>
      <w:r>
        <w:rPr/>
        <w:t>and their</w:t>
      </w:r>
      <w:r>
        <w:rPr>
          <w:spacing w:val="-8"/>
        </w:rPr>
        <w:t> </w:t>
      </w:r>
      <w:r>
        <w:rPr/>
        <w:t>representatives</w:t>
      </w:r>
      <w:r>
        <w:rPr>
          <w:spacing w:val="-8"/>
        </w:rPr>
        <w:t> </w:t>
      </w:r>
      <w:r>
        <w:rPr/>
        <w:t>and</w:t>
      </w:r>
      <w:r>
        <w:rPr>
          <w:spacing w:val="-8"/>
        </w:rPr>
        <w:t> </w:t>
      </w:r>
      <w:r>
        <w:rPr/>
        <w:t>16</w:t>
      </w:r>
      <w:r>
        <w:rPr>
          <w:spacing w:val="-8"/>
        </w:rPr>
        <w:t> </w:t>
      </w:r>
      <w:r>
        <w:rPr/>
        <w:t>points</w:t>
      </w:r>
      <w:r>
        <w:rPr>
          <w:spacing w:val="-8"/>
        </w:rPr>
        <w:t> </w:t>
      </w:r>
      <w:r>
        <w:rPr/>
        <w:t>among</w:t>
      </w:r>
      <w:r>
        <w:rPr>
          <w:spacing w:val="-8"/>
        </w:rPr>
        <w:t> </w:t>
      </w:r>
      <w:r>
        <w:rPr/>
        <w:t>employers</w:t>
      </w:r>
      <w:r>
        <w:rPr>
          <w:spacing w:val="-8"/>
        </w:rPr>
        <w:t> </w:t>
      </w:r>
      <w:r>
        <w:rPr/>
        <w:t>and</w:t>
      </w:r>
      <w:r>
        <w:rPr>
          <w:spacing w:val="-8"/>
        </w:rPr>
        <w:t> </w:t>
      </w:r>
      <w:r>
        <w:rPr/>
        <w:t>their</w:t>
      </w:r>
      <w:r>
        <w:rPr>
          <w:spacing w:val="-8"/>
        </w:rPr>
        <w:t> </w:t>
      </w:r>
      <w:r>
        <w:rPr/>
        <w:t>representatives).</w:t>
      </w:r>
      <w:hyperlink w:history="true" w:anchor="_bookmark79">
        <w:r>
          <w:rPr>
            <w:position w:val="7"/>
            <w:sz w:val="13"/>
          </w:rPr>
          <w:t>13</w:t>
        </w:r>
      </w:hyperlink>
      <w:r>
        <w:rPr>
          <w:position w:val="7"/>
          <w:sz w:val="13"/>
        </w:rPr>
        <w:t> </w:t>
      </w:r>
      <w:r>
        <w:rPr/>
        <w:t>Among employer representatives specifically, email is now the main way in which they communicate with conciliators. Letters were used by a minority of either group, while just a handful reported face-to-face communication.</w:t>
      </w:r>
    </w:p>
    <w:p>
      <w:pPr>
        <w:pStyle w:val="BodyText"/>
        <w:rPr>
          <w:sz w:val="24"/>
        </w:rPr>
      </w:pPr>
    </w:p>
    <w:p>
      <w:pPr>
        <w:pStyle w:val="Heading3"/>
        <w:spacing w:before="196"/>
      </w:pPr>
      <w:r>
        <w:rPr/>
        <w:t>Table</w:t>
      </w:r>
      <w:r>
        <w:rPr>
          <w:spacing w:val="-3"/>
        </w:rPr>
        <w:t> </w:t>
      </w:r>
      <w:r>
        <w:rPr/>
        <w:t>8.</w:t>
      </w:r>
      <w:r>
        <w:rPr>
          <w:spacing w:val="-3"/>
        </w:rPr>
        <w:t> </w:t>
      </w:r>
      <w:r>
        <w:rPr/>
        <w:t>Modes</w:t>
      </w:r>
      <w:r>
        <w:rPr>
          <w:spacing w:val="-3"/>
        </w:rPr>
        <w:t> </w:t>
      </w:r>
      <w:r>
        <w:rPr/>
        <w:t>of</w:t>
      </w:r>
      <w:r>
        <w:rPr>
          <w:spacing w:val="-2"/>
        </w:rPr>
        <w:t> </w:t>
      </w:r>
      <w:r>
        <w:rPr/>
        <w:t>contact</w:t>
      </w:r>
      <w:r>
        <w:rPr>
          <w:spacing w:val="-4"/>
        </w:rPr>
        <w:t> </w:t>
      </w:r>
      <w:r>
        <w:rPr/>
        <w:t>with</w:t>
      </w:r>
      <w:r>
        <w:rPr>
          <w:spacing w:val="-3"/>
        </w:rPr>
        <w:t> </w:t>
      </w:r>
      <w:r>
        <w:rPr/>
        <w:t>the</w:t>
      </w:r>
      <w:r>
        <w:rPr>
          <w:spacing w:val="-2"/>
        </w:rPr>
        <w:t> </w:t>
      </w:r>
      <w:r>
        <w:rPr/>
        <w:t>Acas</w:t>
      </w:r>
      <w:r>
        <w:rPr>
          <w:spacing w:val="-3"/>
        </w:rPr>
        <w:t> </w:t>
      </w:r>
      <w:r>
        <w:rPr>
          <w:spacing w:val="-2"/>
        </w:rPr>
        <w:t>conciliator</w:t>
      </w:r>
    </w:p>
    <w:p>
      <w:pPr>
        <w:pStyle w:val="BodyText"/>
        <w:spacing w:before="3"/>
        <w:rPr>
          <w:b/>
          <w:sz w:val="5"/>
        </w:rPr>
      </w:pPr>
      <w:r>
        <w:rPr/>
        <w:drawing>
          <wp:anchor distT="0" distB="0" distL="0" distR="0" allowOverlap="1" layoutInCell="1" locked="0" behindDoc="0" simplePos="0" relativeHeight="19">
            <wp:simplePos x="0" y="0"/>
            <wp:positionH relativeFrom="page">
              <wp:posOffset>1225600</wp:posOffset>
            </wp:positionH>
            <wp:positionV relativeFrom="paragraph">
              <wp:posOffset>56007</wp:posOffset>
            </wp:positionV>
            <wp:extent cx="5017095" cy="2328957"/>
            <wp:effectExtent l="0" t="0" r="0" b="0"/>
            <wp:wrapTopAndBottom/>
            <wp:docPr id="25" name="image13.png" descr="Table showing modes of contact with the Acas conciliator "/>
            <wp:cNvGraphicFramePr>
              <a:graphicFrameLocks noChangeAspect="1"/>
            </wp:cNvGraphicFramePr>
            <a:graphic>
              <a:graphicData uri="http://schemas.openxmlformats.org/drawingml/2006/picture">
                <pic:pic>
                  <pic:nvPicPr>
                    <pic:cNvPr id="26" name="image13.png"/>
                    <pic:cNvPicPr/>
                  </pic:nvPicPr>
                  <pic:blipFill>
                    <a:blip r:embed="rId25" cstate="print"/>
                    <a:stretch>
                      <a:fillRect/>
                    </a:stretch>
                  </pic:blipFill>
                  <pic:spPr>
                    <a:xfrm>
                      <a:off x="0" y="0"/>
                      <a:ext cx="5017095" cy="2328957"/>
                    </a:xfrm>
                    <a:prstGeom prst="rect">
                      <a:avLst/>
                    </a:prstGeom>
                  </pic:spPr>
                </pic:pic>
              </a:graphicData>
            </a:graphic>
          </wp:anchor>
        </w:drawing>
      </w:r>
    </w:p>
    <w:p>
      <w:pPr>
        <w:pStyle w:val="BodyText"/>
        <w:spacing w:before="3"/>
        <w:rPr>
          <w:b/>
          <w:sz w:val="34"/>
        </w:rPr>
      </w:pPr>
    </w:p>
    <w:p>
      <w:pPr>
        <w:pStyle w:val="BodyText"/>
        <w:spacing w:before="1"/>
        <w:ind w:left="1337" w:right="1474" w:hanging="1"/>
        <w:jc w:val="both"/>
        <w:rPr>
          <w:sz w:val="13"/>
        </w:rPr>
      </w:pPr>
      <w:r>
        <w:rPr/>
        <w:t>Mirroring 2015, those who reached a settlement through EC were more likely to report having written communication (email or letter) with the Acas conciliator.</w:t>
      </w:r>
      <w:hyperlink w:history="true" w:anchor="_bookmark80">
        <w:r>
          <w:rPr>
            <w:position w:val="7"/>
            <w:sz w:val="13"/>
          </w:rPr>
          <w:t>14</w:t>
        </w:r>
      </w:hyperlink>
    </w:p>
    <w:p>
      <w:pPr>
        <w:pStyle w:val="BodyText"/>
        <w:spacing w:before="12"/>
        <w:rPr>
          <w:sz w:val="19"/>
        </w:rPr>
      </w:pPr>
    </w:p>
    <w:p>
      <w:pPr>
        <w:pStyle w:val="BodyText"/>
        <w:ind w:left="1337" w:right="1472"/>
        <w:jc w:val="both"/>
      </w:pPr>
      <w:r>
        <w:rPr/>
        <w:t>There were also differences by claimant type and case track. Employer representatives were significantly more likely than employers to report having communicated with Acas conciliators by email (87 per cent versus 70 per cent); email</w:t>
      </w:r>
      <w:r>
        <w:rPr>
          <w:spacing w:val="-5"/>
        </w:rPr>
        <w:t> </w:t>
      </w:r>
      <w:r>
        <w:rPr/>
        <w:t>usage</w:t>
      </w:r>
      <w:r>
        <w:rPr>
          <w:spacing w:val="-5"/>
        </w:rPr>
        <w:t> </w:t>
      </w:r>
      <w:r>
        <w:rPr/>
        <w:t>was</w:t>
      </w:r>
      <w:r>
        <w:rPr>
          <w:spacing w:val="-4"/>
        </w:rPr>
        <w:t> </w:t>
      </w:r>
      <w:r>
        <w:rPr/>
        <w:t>also</w:t>
      </w:r>
      <w:r>
        <w:rPr>
          <w:spacing w:val="-5"/>
        </w:rPr>
        <w:t> </w:t>
      </w:r>
      <w:r>
        <w:rPr/>
        <w:t>found</w:t>
      </w:r>
      <w:r>
        <w:rPr>
          <w:spacing w:val="-6"/>
        </w:rPr>
        <w:t> </w:t>
      </w:r>
      <w:r>
        <w:rPr/>
        <w:t>to</w:t>
      </w:r>
      <w:r>
        <w:rPr>
          <w:spacing w:val="-5"/>
        </w:rPr>
        <w:t> </w:t>
      </w:r>
      <w:r>
        <w:rPr/>
        <w:t>be</w:t>
      </w:r>
      <w:r>
        <w:rPr>
          <w:spacing w:val="-5"/>
        </w:rPr>
        <w:t> </w:t>
      </w:r>
      <w:r>
        <w:rPr/>
        <w:t>predictive</w:t>
      </w:r>
      <w:r>
        <w:rPr>
          <w:spacing w:val="-5"/>
        </w:rPr>
        <w:t> </w:t>
      </w:r>
      <w:r>
        <w:rPr/>
        <w:t>of</w:t>
      </w:r>
      <w:r>
        <w:rPr>
          <w:spacing w:val="-3"/>
        </w:rPr>
        <w:t> </w:t>
      </w:r>
      <w:r>
        <w:rPr/>
        <w:t>a</w:t>
      </w:r>
      <w:r>
        <w:rPr>
          <w:spacing w:val="-5"/>
        </w:rPr>
        <w:t> </w:t>
      </w:r>
      <w:r>
        <w:rPr/>
        <w:t>successful</w:t>
      </w:r>
      <w:r>
        <w:rPr>
          <w:spacing w:val="-5"/>
        </w:rPr>
        <w:t> </w:t>
      </w:r>
      <w:r>
        <w:rPr/>
        <w:t>conciliation</w:t>
      </w:r>
      <w:r>
        <w:rPr>
          <w:spacing w:val="-4"/>
        </w:rPr>
        <w:t> </w:t>
      </w:r>
      <w:r>
        <w:rPr/>
        <w:t>outcome</w:t>
      </w:r>
      <w:r>
        <w:rPr>
          <w:spacing w:val="-5"/>
        </w:rPr>
        <w:t> </w:t>
      </w:r>
      <w:r>
        <w:rPr/>
        <w:t>in the regression analysis for employers in section 10.2. Claimant-side participants involved in open track disputes were also significantly more likely to have communicated by email than those involved with standard or fast track disputes (78 per cent, 68 per cent and 70 per cent respectively).</w:t>
      </w:r>
    </w:p>
    <w:p>
      <w:pPr>
        <w:pStyle w:val="BodyText"/>
      </w:pPr>
    </w:p>
    <w:p>
      <w:pPr>
        <w:pStyle w:val="BodyText"/>
        <w:spacing w:before="1"/>
        <w:ind w:left="1337" w:right="1474"/>
        <w:jc w:val="both"/>
      </w:pPr>
      <w:r>
        <w:rPr/>
        <w:t>On average, survey participants reported five contacts with the Acas conciliator. For</w:t>
      </w:r>
      <w:r>
        <w:rPr>
          <w:spacing w:val="-14"/>
        </w:rPr>
        <w:t> </w:t>
      </w:r>
      <w:r>
        <w:rPr/>
        <w:t>claimant-side</w:t>
      </w:r>
      <w:r>
        <w:rPr>
          <w:spacing w:val="-14"/>
        </w:rPr>
        <w:t> </w:t>
      </w:r>
      <w:r>
        <w:rPr/>
        <w:t>participants,</w:t>
      </w:r>
      <w:r>
        <w:rPr>
          <w:spacing w:val="-15"/>
        </w:rPr>
        <w:t> </w:t>
      </w:r>
      <w:r>
        <w:rPr/>
        <w:t>this</w:t>
      </w:r>
      <w:r>
        <w:rPr>
          <w:spacing w:val="-15"/>
        </w:rPr>
        <w:t> </w:t>
      </w:r>
      <w:r>
        <w:rPr/>
        <w:t>means</w:t>
      </w:r>
      <w:r>
        <w:rPr>
          <w:spacing w:val="-14"/>
        </w:rPr>
        <w:t> </w:t>
      </w:r>
      <w:r>
        <w:rPr/>
        <w:t>there</w:t>
      </w:r>
      <w:r>
        <w:rPr>
          <w:spacing w:val="-14"/>
        </w:rPr>
        <w:t> </w:t>
      </w:r>
      <w:r>
        <w:rPr/>
        <w:t>has</w:t>
      </w:r>
      <w:r>
        <w:rPr>
          <w:spacing w:val="-15"/>
        </w:rPr>
        <w:t> </w:t>
      </w:r>
      <w:r>
        <w:rPr/>
        <w:t>been</w:t>
      </w:r>
      <w:r>
        <w:rPr>
          <w:spacing w:val="-15"/>
        </w:rPr>
        <w:t> </w:t>
      </w:r>
      <w:r>
        <w:rPr/>
        <w:t>no</w:t>
      </w:r>
      <w:r>
        <w:rPr>
          <w:spacing w:val="-14"/>
        </w:rPr>
        <w:t> </w:t>
      </w:r>
      <w:r>
        <w:rPr/>
        <w:t>change</w:t>
      </w:r>
      <w:r>
        <w:rPr>
          <w:spacing w:val="-14"/>
        </w:rPr>
        <w:t> </w:t>
      </w:r>
      <w:r>
        <w:rPr/>
        <w:t>in</w:t>
      </w:r>
      <w:r>
        <w:rPr>
          <w:spacing w:val="-13"/>
        </w:rPr>
        <w:t> </w:t>
      </w:r>
      <w:r>
        <w:rPr/>
        <w:t>the</w:t>
      </w:r>
      <w:r>
        <w:rPr>
          <w:spacing w:val="-14"/>
        </w:rPr>
        <w:t> </w:t>
      </w:r>
      <w:r>
        <w:rPr/>
        <w:t>average (mean) level of reported contact since 2015. Among employer-side participants, the amount of contact has risen from an average of four.</w:t>
      </w:r>
    </w:p>
    <w:p>
      <w:pPr>
        <w:spacing w:after="0"/>
        <w:jc w:val="both"/>
        <w:sectPr>
          <w:pgSz w:w="11910" w:h="16840"/>
          <w:pgMar w:header="0" w:footer="996" w:top="1340" w:bottom="1180" w:left="460" w:right="320"/>
        </w:sectPr>
      </w:pPr>
    </w:p>
    <w:p>
      <w:pPr>
        <w:pStyle w:val="BodyText"/>
        <w:spacing w:before="82"/>
        <w:ind w:left="1337" w:right="1473"/>
        <w:jc w:val="both"/>
      </w:pPr>
      <w:r>
        <w:rPr/>
        <w:pict>
          <v:shape style="position:absolute;margin-left:334.675018pt;margin-top:725.042969pt;width:8.35pt;height:4.650pt;mso-position-horizontal-relative:page;mso-position-vertical-relative:page;z-index:-18116096" id="docshape19" coordorigin="6694,14501" coordsize="167,93" path="m6777,14593l6735,14501,6694,14593,6777,14593xm6860,14501l6768,14501,6814,14593,6860,14501xe" filled="true" fillcolor="#666666" stroked="false">
            <v:path arrowok="t"/>
            <v:fill type="solid"/>
            <w10:wrap type="none"/>
          </v:shape>
        </w:pict>
      </w:r>
      <w:r>
        <w:rPr/>
        <w:t>Those</w:t>
      </w:r>
      <w:r>
        <w:rPr>
          <w:spacing w:val="-13"/>
        </w:rPr>
        <w:t> </w:t>
      </w:r>
      <w:r>
        <w:rPr/>
        <w:t>who</w:t>
      </w:r>
      <w:r>
        <w:rPr>
          <w:spacing w:val="-13"/>
        </w:rPr>
        <w:t> </w:t>
      </w:r>
      <w:r>
        <w:rPr/>
        <w:t>reached</w:t>
      </w:r>
      <w:r>
        <w:rPr>
          <w:spacing w:val="-13"/>
        </w:rPr>
        <w:t> </w:t>
      </w:r>
      <w:r>
        <w:rPr/>
        <w:t>a</w:t>
      </w:r>
      <w:r>
        <w:rPr>
          <w:spacing w:val="-13"/>
        </w:rPr>
        <w:t> </w:t>
      </w:r>
      <w:r>
        <w:rPr/>
        <w:t>settlement</w:t>
      </w:r>
      <w:r>
        <w:rPr>
          <w:spacing w:val="-12"/>
        </w:rPr>
        <w:t> </w:t>
      </w:r>
      <w:r>
        <w:rPr/>
        <w:t>through</w:t>
      </w:r>
      <w:r>
        <w:rPr>
          <w:spacing w:val="-13"/>
        </w:rPr>
        <w:t> </w:t>
      </w:r>
      <w:r>
        <w:rPr/>
        <w:t>EC</w:t>
      </w:r>
      <w:r>
        <w:rPr>
          <w:spacing w:val="-12"/>
        </w:rPr>
        <w:t> </w:t>
      </w:r>
      <w:r>
        <w:rPr/>
        <w:t>reported</w:t>
      </w:r>
      <w:r>
        <w:rPr>
          <w:spacing w:val="-13"/>
        </w:rPr>
        <w:t> </w:t>
      </w:r>
      <w:r>
        <w:rPr/>
        <w:t>more</w:t>
      </w:r>
      <w:r>
        <w:rPr>
          <w:spacing w:val="-13"/>
        </w:rPr>
        <w:t> </w:t>
      </w:r>
      <w:r>
        <w:rPr/>
        <w:t>contact</w:t>
      </w:r>
      <w:r>
        <w:rPr>
          <w:spacing w:val="-14"/>
        </w:rPr>
        <w:t> </w:t>
      </w:r>
      <w:r>
        <w:rPr/>
        <w:t>than</w:t>
      </w:r>
      <w:r>
        <w:rPr>
          <w:spacing w:val="-12"/>
        </w:rPr>
        <w:t> </w:t>
      </w:r>
      <w:r>
        <w:rPr/>
        <w:t>those</w:t>
      </w:r>
      <w:r>
        <w:rPr>
          <w:spacing w:val="-13"/>
        </w:rPr>
        <w:t> </w:t>
      </w:r>
      <w:r>
        <w:rPr/>
        <w:t>who did</w:t>
      </w:r>
      <w:r>
        <w:rPr>
          <w:spacing w:val="-15"/>
        </w:rPr>
        <w:t> </w:t>
      </w:r>
      <w:r>
        <w:rPr/>
        <w:t>not,</w:t>
      </w:r>
      <w:r>
        <w:rPr>
          <w:spacing w:val="-16"/>
        </w:rPr>
        <w:t> </w:t>
      </w:r>
      <w:r>
        <w:rPr/>
        <w:t>as</w:t>
      </w:r>
      <w:r>
        <w:rPr>
          <w:spacing w:val="-15"/>
        </w:rPr>
        <w:t> </w:t>
      </w:r>
      <w:r>
        <w:rPr/>
        <w:t>did</w:t>
      </w:r>
      <w:r>
        <w:rPr>
          <w:spacing w:val="-15"/>
        </w:rPr>
        <w:t> </w:t>
      </w:r>
      <w:r>
        <w:rPr/>
        <w:t>those</w:t>
      </w:r>
      <w:r>
        <w:rPr>
          <w:spacing w:val="-16"/>
        </w:rPr>
        <w:t> </w:t>
      </w:r>
      <w:r>
        <w:rPr/>
        <w:t>involved</w:t>
      </w:r>
      <w:r>
        <w:rPr>
          <w:spacing w:val="-15"/>
        </w:rPr>
        <w:t> </w:t>
      </w:r>
      <w:r>
        <w:rPr/>
        <w:t>in</w:t>
      </w:r>
      <w:r>
        <w:rPr>
          <w:spacing w:val="-15"/>
        </w:rPr>
        <w:t> </w:t>
      </w:r>
      <w:r>
        <w:rPr/>
        <w:t>open</w:t>
      </w:r>
      <w:r>
        <w:rPr>
          <w:spacing w:val="-15"/>
        </w:rPr>
        <w:t> </w:t>
      </w:r>
      <w:r>
        <w:rPr/>
        <w:t>track</w:t>
      </w:r>
      <w:r>
        <w:rPr>
          <w:spacing w:val="-15"/>
        </w:rPr>
        <w:t> </w:t>
      </w:r>
      <w:r>
        <w:rPr/>
        <w:t>disputes.</w:t>
      </w:r>
      <w:r>
        <w:rPr>
          <w:spacing w:val="-16"/>
        </w:rPr>
        <w:t> </w:t>
      </w:r>
      <w:r>
        <w:rPr/>
        <w:t>Employer</w:t>
      </w:r>
      <w:r>
        <w:rPr>
          <w:spacing w:val="-15"/>
        </w:rPr>
        <w:t> </w:t>
      </w:r>
      <w:r>
        <w:rPr/>
        <w:t>representatives</w:t>
      </w:r>
      <w:r>
        <w:rPr>
          <w:spacing w:val="-15"/>
        </w:rPr>
        <w:t> </w:t>
      </w:r>
      <w:r>
        <w:rPr/>
        <w:t>also reported significantly higher levels of contact than employers.</w:t>
      </w:r>
    </w:p>
    <w:p>
      <w:pPr>
        <w:pStyle w:val="BodyText"/>
      </w:pPr>
    </w:p>
    <w:p>
      <w:pPr>
        <w:pStyle w:val="BodyText"/>
        <w:ind w:left="1337" w:right="1473"/>
        <w:jc w:val="both"/>
      </w:pPr>
      <w:r>
        <w:rPr/>
        <w:t>In</w:t>
      </w:r>
      <w:r>
        <w:rPr>
          <w:spacing w:val="-11"/>
        </w:rPr>
        <w:t> </w:t>
      </w:r>
      <w:r>
        <w:rPr/>
        <w:t>disputes</w:t>
      </w:r>
      <w:r>
        <w:rPr>
          <w:spacing w:val="-14"/>
        </w:rPr>
        <w:t> </w:t>
      </w:r>
      <w:r>
        <w:rPr/>
        <w:t>where</w:t>
      </w:r>
      <w:r>
        <w:rPr>
          <w:spacing w:val="-12"/>
        </w:rPr>
        <w:t> </w:t>
      </w:r>
      <w:r>
        <w:rPr/>
        <w:t>EC</w:t>
      </w:r>
      <w:r>
        <w:rPr>
          <w:spacing w:val="-12"/>
        </w:rPr>
        <w:t> </w:t>
      </w:r>
      <w:r>
        <w:rPr/>
        <w:t>took</w:t>
      </w:r>
      <w:r>
        <w:rPr>
          <w:spacing w:val="-11"/>
        </w:rPr>
        <w:t> </w:t>
      </w:r>
      <w:r>
        <w:rPr/>
        <w:t>place,</w:t>
      </w:r>
      <w:r>
        <w:rPr>
          <w:spacing w:val="-11"/>
        </w:rPr>
        <w:t> </w:t>
      </w:r>
      <w:r>
        <w:rPr/>
        <w:t>there</w:t>
      </w:r>
      <w:r>
        <w:rPr>
          <w:spacing w:val="-12"/>
        </w:rPr>
        <w:t> </w:t>
      </w:r>
      <w:r>
        <w:rPr/>
        <w:t>was</w:t>
      </w:r>
      <w:r>
        <w:rPr>
          <w:spacing w:val="-11"/>
        </w:rPr>
        <w:t> </w:t>
      </w:r>
      <w:r>
        <w:rPr/>
        <w:t>significant</w:t>
      </w:r>
      <w:r>
        <w:rPr>
          <w:spacing w:val="-11"/>
        </w:rPr>
        <w:t> </w:t>
      </w:r>
      <w:r>
        <w:rPr/>
        <w:t>variation</w:t>
      </w:r>
      <w:r>
        <w:rPr>
          <w:spacing w:val="-11"/>
        </w:rPr>
        <w:t> </w:t>
      </w:r>
      <w:r>
        <w:rPr/>
        <w:t>in</w:t>
      </w:r>
      <w:r>
        <w:rPr>
          <w:spacing w:val="-11"/>
        </w:rPr>
        <w:t> </w:t>
      </w:r>
      <w:r>
        <w:rPr/>
        <w:t>contact</w:t>
      </w:r>
      <w:r>
        <w:rPr>
          <w:spacing w:val="-11"/>
        </w:rPr>
        <w:t> </w:t>
      </w:r>
      <w:r>
        <w:rPr/>
        <w:t>initiation between audiences. Half (47 per cent) of claimant-side participants reported that Acas</w:t>
      </w:r>
      <w:r>
        <w:rPr>
          <w:spacing w:val="-12"/>
        </w:rPr>
        <w:t> </w:t>
      </w:r>
      <w:r>
        <w:rPr/>
        <w:t>had</w:t>
      </w:r>
      <w:r>
        <w:rPr>
          <w:spacing w:val="-12"/>
        </w:rPr>
        <w:t> </w:t>
      </w:r>
      <w:r>
        <w:rPr/>
        <w:t>contacted</w:t>
      </w:r>
      <w:r>
        <w:rPr>
          <w:spacing w:val="-12"/>
        </w:rPr>
        <w:t> </w:t>
      </w:r>
      <w:r>
        <w:rPr/>
        <w:t>them</w:t>
      </w:r>
      <w:r>
        <w:rPr>
          <w:spacing w:val="-11"/>
        </w:rPr>
        <w:t> </w:t>
      </w:r>
      <w:r>
        <w:rPr/>
        <w:t>most</w:t>
      </w:r>
      <w:r>
        <w:rPr>
          <w:spacing w:val="-11"/>
        </w:rPr>
        <w:t> </w:t>
      </w:r>
      <w:r>
        <w:rPr/>
        <w:t>of</w:t>
      </w:r>
      <w:r>
        <w:rPr>
          <w:spacing w:val="-11"/>
        </w:rPr>
        <w:t> </w:t>
      </w:r>
      <w:r>
        <w:rPr/>
        <w:t>the</w:t>
      </w:r>
      <w:r>
        <w:rPr>
          <w:spacing w:val="-11"/>
        </w:rPr>
        <w:t> </w:t>
      </w:r>
      <w:r>
        <w:rPr/>
        <w:t>time,</w:t>
      </w:r>
      <w:r>
        <w:rPr>
          <w:spacing w:val="-11"/>
        </w:rPr>
        <w:t> </w:t>
      </w:r>
      <w:r>
        <w:rPr/>
        <w:t>while</w:t>
      </w:r>
      <w:r>
        <w:rPr>
          <w:spacing w:val="-11"/>
        </w:rPr>
        <w:t> </w:t>
      </w:r>
      <w:r>
        <w:rPr/>
        <w:t>a</w:t>
      </w:r>
      <w:r>
        <w:rPr>
          <w:spacing w:val="-11"/>
        </w:rPr>
        <w:t> </w:t>
      </w:r>
      <w:r>
        <w:rPr/>
        <w:t>third</w:t>
      </w:r>
      <w:r>
        <w:rPr>
          <w:spacing w:val="-10"/>
        </w:rPr>
        <w:t> </w:t>
      </w:r>
      <w:r>
        <w:rPr/>
        <w:t>(36</w:t>
      </w:r>
      <w:r>
        <w:rPr>
          <w:spacing w:val="-11"/>
        </w:rPr>
        <w:t> </w:t>
      </w:r>
      <w:r>
        <w:rPr/>
        <w:t>per</w:t>
      </w:r>
      <w:r>
        <w:rPr>
          <w:spacing w:val="-12"/>
        </w:rPr>
        <w:t> </w:t>
      </w:r>
      <w:r>
        <w:rPr/>
        <w:t>cent)</w:t>
      </w:r>
      <w:r>
        <w:rPr>
          <w:spacing w:val="-13"/>
        </w:rPr>
        <w:t> </w:t>
      </w:r>
      <w:r>
        <w:rPr/>
        <w:t>of</w:t>
      </w:r>
      <w:r>
        <w:rPr>
          <w:spacing w:val="-10"/>
        </w:rPr>
        <w:t> </w:t>
      </w:r>
      <w:r>
        <w:rPr/>
        <w:t>employer- side participants reported this to have been the case. Employer-side participants were instead more likely to report that this had been shared equally between themselves and Acas (51 per cent). A minority of both groups said they had initiated contact with Acas most of the time (14 per cent and 12 per cent respectively). Scores have been stable since 2015.</w:t>
      </w:r>
    </w:p>
    <w:p>
      <w:pPr>
        <w:pStyle w:val="BodyText"/>
      </w:pPr>
    </w:p>
    <w:p>
      <w:pPr>
        <w:pStyle w:val="BodyText"/>
        <w:spacing w:before="1"/>
        <w:ind w:left="1337" w:right="1472"/>
        <w:jc w:val="both"/>
      </w:pPr>
      <w:r>
        <w:rPr/>
        <w:t>There</w:t>
      </w:r>
      <w:r>
        <w:rPr>
          <w:spacing w:val="-16"/>
        </w:rPr>
        <w:t> </w:t>
      </w:r>
      <w:r>
        <w:rPr/>
        <w:t>was</w:t>
      </w:r>
      <w:r>
        <w:rPr>
          <w:spacing w:val="-15"/>
        </w:rPr>
        <w:t> </w:t>
      </w:r>
      <w:r>
        <w:rPr/>
        <w:t>significant</w:t>
      </w:r>
      <w:r>
        <w:rPr>
          <w:spacing w:val="-15"/>
        </w:rPr>
        <w:t> </w:t>
      </w:r>
      <w:r>
        <w:rPr/>
        <w:t>variation</w:t>
      </w:r>
      <w:r>
        <w:rPr>
          <w:spacing w:val="-15"/>
        </w:rPr>
        <w:t> </w:t>
      </w:r>
      <w:r>
        <w:rPr/>
        <w:t>in</w:t>
      </w:r>
      <w:r>
        <w:rPr>
          <w:spacing w:val="-15"/>
        </w:rPr>
        <w:t> </w:t>
      </w:r>
      <w:r>
        <w:rPr/>
        <w:t>contact</w:t>
      </w:r>
      <w:r>
        <w:rPr>
          <w:spacing w:val="-15"/>
        </w:rPr>
        <w:t> </w:t>
      </w:r>
      <w:r>
        <w:rPr/>
        <w:t>initiation</w:t>
      </w:r>
      <w:r>
        <w:rPr>
          <w:spacing w:val="-15"/>
        </w:rPr>
        <w:t> </w:t>
      </w:r>
      <w:r>
        <w:rPr/>
        <w:t>by</w:t>
      </w:r>
      <w:r>
        <w:rPr>
          <w:spacing w:val="-15"/>
        </w:rPr>
        <w:t> </w:t>
      </w:r>
      <w:r>
        <w:rPr/>
        <w:t>both</w:t>
      </w:r>
      <w:r>
        <w:rPr>
          <w:spacing w:val="-15"/>
        </w:rPr>
        <w:t> </w:t>
      </w:r>
      <w:r>
        <w:rPr/>
        <w:t>case</w:t>
      </w:r>
      <w:r>
        <w:rPr>
          <w:spacing w:val="-16"/>
        </w:rPr>
        <w:t> </w:t>
      </w:r>
      <w:r>
        <w:rPr/>
        <w:t>track</w:t>
      </w:r>
      <w:r>
        <w:rPr>
          <w:spacing w:val="-15"/>
        </w:rPr>
        <w:t> </w:t>
      </w:r>
      <w:r>
        <w:rPr/>
        <w:t>and</w:t>
      </w:r>
      <w:r>
        <w:rPr>
          <w:spacing w:val="-15"/>
        </w:rPr>
        <w:t> </w:t>
      </w:r>
      <w:r>
        <w:rPr/>
        <w:t>outcome. Claimant and employer-side participants who reached a settlement through EC were more likely to report that the initiation of contact had been shared equally between themselves and Acas, while those involved in fast track disputes tended to report that Acas had initiated contact with them most of the time.</w:t>
      </w:r>
    </w:p>
    <w:p>
      <w:pPr>
        <w:pStyle w:val="BodyText"/>
      </w:pPr>
    </w:p>
    <w:p>
      <w:pPr>
        <w:pStyle w:val="BodyText"/>
        <w:ind w:left="1337" w:right="1473"/>
        <w:jc w:val="both"/>
      </w:pPr>
      <w:r>
        <w:rPr/>
        <w:t>Those who had contact with multiple Acas conciliators were more likely to report that</w:t>
      </w:r>
      <w:r>
        <w:rPr>
          <w:spacing w:val="-4"/>
        </w:rPr>
        <w:t> </w:t>
      </w:r>
      <w:r>
        <w:rPr/>
        <w:t>they</w:t>
      </w:r>
      <w:r>
        <w:rPr>
          <w:spacing w:val="-4"/>
        </w:rPr>
        <w:t> </w:t>
      </w:r>
      <w:r>
        <w:rPr/>
        <w:t>had</w:t>
      </w:r>
      <w:r>
        <w:rPr>
          <w:spacing w:val="-3"/>
        </w:rPr>
        <w:t> </w:t>
      </w:r>
      <w:r>
        <w:rPr/>
        <w:t>initiated</w:t>
      </w:r>
      <w:r>
        <w:rPr>
          <w:spacing w:val="-3"/>
        </w:rPr>
        <w:t> </w:t>
      </w:r>
      <w:r>
        <w:rPr/>
        <w:t>contact</w:t>
      </w:r>
      <w:r>
        <w:rPr>
          <w:spacing w:val="-5"/>
        </w:rPr>
        <w:t> </w:t>
      </w:r>
      <w:r>
        <w:rPr/>
        <w:t>with</w:t>
      </w:r>
      <w:r>
        <w:rPr>
          <w:spacing w:val="-4"/>
        </w:rPr>
        <w:t> </w:t>
      </w:r>
      <w:r>
        <w:rPr/>
        <w:t>Acas</w:t>
      </w:r>
      <w:r>
        <w:rPr>
          <w:spacing w:val="-4"/>
        </w:rPr>
        <w:t> </w:t>
      </w:r>
      <w:r>
        <w:rPr/>
        <w:t>most</w:t>
      </w:r>
      <w:r>
        <w:rPr>
          <w:spacing w:val="-5"/>
        </w:rPr>
        <w:t> </w:t>
      </w:r>
      <w:r>
        <w:rPr/>
        <w:t>of</w:t>
      </w:r>
      <w:r>
        <w:rPr>
          <w:spacing w:val="-3"/>
        </w:rPr>
        <w:t> </w:t>
      </w:r>
      <w:r>
        <w:rPr/>
        <w:t>the</w:t>
      </w:r>
      <w:r>
        <w:rPr>
          <w:spacing w:val="-5"/>
        </w:rPr>
        <w:t> </w:t>
      </w:r>
      <w:r>
        <w:rPr/>
        <w:t>time</w:t>
      </w:r>
      <w:r>
        <w:rPr>
          <w:spacing w:val="-4"/>
        </w:rPr>
        <w:t> </w:t>
      </w:r>
      <w:r>
        <w:rPr/>
        <w:t>than</w:t>
      </w:r>
      <w:r>
        <w:rPr>
          <w:spacing w:val="-4"/>
        </w:rPr>
        <w:t> </w:t>
      </w:r>
      <w:r>
        <w:rPr/>
        <w:t>those</w:t>
      </w:r>
      <w:r>
        <w:rPr>
          <w:spacing w:val="-4"/>
        </w:rPr>
        <w:t> </w:t>
      </w:r>
      <w:r>
        <w:rPr/>
        <w:t>in</w:t>
      </w:r>
      <w:r>
        <w:rPr>
          <w:spacing w:val="-4"/>
        </w:rPr>
        <w:t> </w:t>
      </w:r>
      <w:r>
        <w:rPr/>
        <w:t>touch</w:t>
      </w:r>
      <w:r>
        <w:rPr>
          <w:spacing w:val="-4"/>
        </w:rPr>
        <w:t> </w:t>
      </w:r>
      <w:r>
        <w:rPr/>
        <w:t>with a</w:t>
      </w:r>
      <w:r>
        <w:rPr>
          <w:spacing w:val="-7"/>
        </w:rPr>
        <w:t> </w:t>
      </w:r>
      <w:r>
        <w:rPr/>
        <w:t>single</w:t>
      </w:r>
      <w:r>
        <w:rPr>
          <w:spacing w:val="-7"/>
        </w:rPr>
        <w:t> </w:t>
      </w:r>
      <w:r>
        <w:rPr/>
        <w:t>conciliator.</w:t>
      </w:r>
      <w:r>
        <w:rPr>
          <w:spacing w:val="-6"/>
        </w:rPr>
        <w:t> </w:t>
      </w:r>
      <w:r>
        <w:rPr/>
        <w:t>Among</w:t>
      </w:r>
      <w:r>
        <w:rPr>
          <w:spacing w:val="-6"/>
        </w:rPr>
        <w:t> </w:t>
      </w:r>
      <w:r>
        <w:rPr/>
        <w:t>claimant-side</w:t>
      </w:r>
      <w:r>
        <w:rPr>
          <w:spacing w:val="-7"/>
        </w:rPr>
        <w:t> </w:t>
      </w:r>
      <w:r>
        <w:rPr/>
        <w:t>participants</w:t>
      </w:r>
      <w:r>
        <w:rPr>
          <w:spacing w:val="-6"/>
        </w:rPr>
        <w:t> </w:t>
      </w:r>
      <w:r>
        <w:rPr/>
        <w:t>using</w:t>
      </w:r>
      <w:r>
        <w:rPr>
          <w:spacing w:val="-8"/>
        </w:rPr>
        <w:t> </w:t>
      </w:r>
      <w:r>
        <w:rPr/>
        <w:t>multiple</w:t>
      </w:r>
      <w:r>
        <w:rPr>
          <w:spacing w:val="-7"/>
        </w:rPr>
        <w:t> </w:t>
      </w:r>
      <w:r>
        <w:rPr/>
        <w:t>conciliators,</w:t>
      </w:r>
      <w:r>
        <w:rPr>
          <w:spacing w:val="-6"/>
        </w:rPr>
        <w:t> </w:t>
      </w:r>
      <w:r>
        <w:rPr/>
        <w:t>a quarter</w:t>
      </w:r>
      <w:r>
        <w:rPr>
          <w:spacing w:val="-16"/>
        </w:rPr>
        <w:t> </w:t>
      </w:r>
      <w:r>
        <w:rPr/>
        <w:t>(24</w:t>
      </w:r>
      <w:r>
        <w:rPr>
          <w:spacing w:val="-17"/>
        </w:rPr>
        <w:t> </w:t>
      </w:r>
      <w:r>
        <w:rPr/>
        <w:t>per</w:t>
      </w:r>
      <w:r>
        <w:rPr>
          <w:spacing w:val="-16"/>
        </w:rPr>
        <w:t> </w:t>
      </w:r>
      <w:r>
        <w:rPr/>
        <w:t>cent)</w:t>
      </w:r>
      <w:r>
        <w:rPr>
          <w:spacing w:val="-15"/>
        </w:rPr>
        <w:t> </w:t>
      </w:r>
      <w:r>
        <w:rPr/>
        <w:t>reported</w:t>
      </w:r>
      <w:r>
        <w:rPr>
          <w:spacing w:val="-15"/>
        </w:rPr>
        <w:t> </w:t>
      </w:r>
      <w:r>
        <w:rPr/>
        <w:t>that</w:t>
      </w:r>
      <w:r>
        <w:rPr>
          <w:spacing w:val="-16"/>
        </w:rPr>
        <w:t> </w:t>
      </w:r>
      <w:r>
        <w:rPr/>
        <w:t>they</w:t>
      </w:r>
      <w:r>
        <w:rPr>
          <w:spacing w:val="-16"/>
        </w:rPr>
        <w:t> </w:t>
      </w:r>
      <w:r>
        <w:rPr/>
        <w:t>had</w:t>
      </w:r>
      <w:r>
        <w:rPr>
          <w:spacing w:val="-15"/>
        </w:rPr>
        <w:t> </w:t>
      </w:r>
      <w:r>
        <w:rPr/>
        <w:t>contacted</w:t>
      </w:r>
      <w:r>
        <w:rPr>
          <w:spacing w:val="-15"/>
        </w:rPr>
        <w:t> </w:t>
      </w:r>
      <w:r>
        <w:rPr/>
        <w:t>Acas</w:t>
      </w:r>
      <w:r>
        <w:rPr>
          <w:spacing w:val="-15"/>
        </w:rPr>
        <w:t> </w:t>
      </w:r>
      <w:r>
        <w:rPr/>
        <w:t>most</w:t>
      </w:r>
      <w:r>
        <w:rPr>
          <w:spacing w:val="-15"/>
        </w:rPr>
        <w:t> </w:t>
      </w:r>
      <w:r>
        <w:rPr/>
        <w:t>of</w:t>
      </w:r>
      <w:r>
        <w:rPr>
          <w:spacing w:val="-15"/>
        </w:rPr>
        <w:t> </w:t>
      </w:r>
      <w:r>
        <w:rPr/>
        <w:t>the</w:t>
      </w:r>
      <w:r>
        <w:rPr>
          <w:spacing w:val="-16"/>
        </w:rPr>
        <w:t> </w:t>
      </w:r>
      <w:r>
        <w:rPr/>
        <w:t>time,</w:t>
      </w:r>
      <w:r>
        <w:rPr>
          <w:spacing w:val="-15"/>
        </w:rPr>
        <w:t> </w:t>
      </w:r>
      <w:r>
        <w:rPr/>
        <w:t>while 21 per cent of employer-side participants said the same. This compares with 13 per</w:t>
      </w:r>
      <w:r>
        <w:rPr>
          <w:spacing w:val="-14"/>
        </w:rPr>
        <w:t> </w:t>
      </w:r>
      <w:r>
        <w:rPr/>
        <w:t>cent</w:t>
      </w:r>
      <w:r>
        <w:rPr>
          <w:spacing w:val="-14"/>
        </w:rPr>
        <w:t> </w:t>
      </w:r>
      <w:r>
        <w:rPr/>
        <w:t>of</w:t>
      </w:r>
      <w:r>
        <w:rPr>
          <w:spacing w:val="-15"/>
        </w:rPr>
        <w:t> </w:t>
      </w:r>
      <w:r>
        <w:rPr/>
        <w:t>claimant-side</w:t>
      </w:r>
      <w:r>
        <w:rPr>
          <w:spacing w:val="-14"/>
        </w:rPr>
        <w:t> </w:t>
      </w:r>
      <w:r>
        <w:rPr/>
        <w:t>participants</w:t>
      </w:r>
      <w:r>
        <w:rPr>
          <w:spacing w:val="-14"/>
        </w:rPr>
        <w:t> </w:t>
      </w:r>
      <w:r>
        <w:rPr/>
        <w:t>and</w:t>
      </w:r>
      <w:r>
        <w:rPr>
          <w:spacing w:val="-15"/>
        </w:rPr>
        <w:t> </w:t>
      </w:r>
      <w:r>
        <w:rPr/>
        <w:t>11</w:t>
      </w:r>
      <w:r>
        <w:rPr>
          <w:spacing w:val="-15"/>
        </w:rPr>
        <w:t> </w:t>
      </w:r>
      <w:r>
        <w:rPr/>
        <w:t>per</w:t>
      </w:r>
      <w:r>
        <w:rPr>
          <w:spacing w:val="-14"/>
        </w:rPr>
        <w:t> </w:t>
      </w:r>
      <w:r>
        <w:rPr/>
        <w:t>cent</w:t>
      </w:r>
      <w:r>
        <w:rPr>
          <w:spacing w:val="-14"/>
        </w:rPr>
        <w:t> </w:t>
      </w:r>
      <w:r>
        <w:rPr/>
        <w:t>of</w:t>
      </w:r>
      <w:r>
        <w:rPr>
          <w:spacing w:val="-15"/>
        </w:rPr>
        <w:t> </w:t>
      </w:r>
      <w:r>
        <w:rPr/>
        <w:t>employer-side</w:t>
      </w:r>
      <w:r>
        <w:rPr>
          <w:spacing w:val="-14"/>
        </w:rPr>
        <w:t> </w:t>
      </w:r>
      <w:r>
        <w:rPr/>
        <w:t>participants who</w:t>
      </w:r>
      <w:r>
        <w:rPr>
          <w:spacing w:val="-5"/>
        </w:rPr>
        <w:t> </w:t>
      </w:r>
      <w:r>
        <w:rPr/>
        <w:t>reported</w:t>
      </w:r>
      <w:r>
        <w:rPr>
          <w:spacing w:val="-4"/>
        </w:rPr>
        <w:t> </w:t>
      </w:r>
      <w:r>
        <w:rPr/>
        <w:t>a</w:t>
      </w:r>
      <w:r>
        <w:rPr>
          <w:spacing w:val="-5"/>
        </w:rPr>
        <w:t> </w:t>
      </w:r>
      <w:r>
        <w:rPr/>
        <w:t>single</w:t>
      </w:r>
      <w:r>
        <w:rPr>
          <w:spacing w:val="-5"/>
        </w:rPr>
        <w:t> </w:t>
      </w:r>
      <w:r>
        <w:rPr/>
        <w:t>point</w:t>
      </w:r>
      <w:r>
        <w:rPr>
          <w:spacing w:val="-4"/>
        </w:rPr>
        <w:t> </w:t>
      </w:r>
      <w:r>
        <w:rPr/>
        <w:t>of</w:t>
      </w:r>
      <w:r>
        <w:rPr>
          <w:spacing w:val="-4"/>
        </w:rPr>
        <w:t> </w:t>
      </w:r>
      <w:r>
        <w:rPr/>
        <w:t>contact</w:t>
      </w:r>
      <w:r>
        <w:rPr>
          <w:spacing w:val="-4"/>
        </w:rPr>
        <w:t> </w:t>
      </w:r>
      <w:r>
        <w:rPr/>
        <w:t>at</w:t>
      </w:r>
      <w:r>
        <w:rPr>
          <w:spacing w:val="-5"/>
        </w:rPr>
        <w:t> </w:t>
      </w:r>
      <w:r>
        <w:rPr/>
        <w:t>Acas.</w:t>
      </w:r>
      <w:r>
        <w:rPr>
          <w:spacing w:val="-6"/>
        </w:rPr>
        <w:t> </w:t>
      </w:r>
      <w:r>
        <w:rPr/>
        <w:t>Due</w:t>
      </w:r>
      <w:r>
        <w:rPr>
          <w:spacing w:val="-5"/>
        </w:rPr>
        <w:t> </w:t>
      </w:r>
      <w:r>
        <w:rPr/>
        <w:t>to</w:t>
      </w:r>
      <w:r>
        <w:rPr>
          <w:spacing w:val="-6"/>
        </w:rPr>
        <w:t> </w:t>
      </w:r>
      <w:r>
        <w:rPr/>
        <w:t>the</w:t>
      </w:r>
      <w:r>
        <w:rPr>
          <w:spacing w:val="-7"/>
        </w:rPr>
        <w:t> </w:t>
      </w:r>
      <w:r>
        <w:rPr/>
        <w:t>base</w:t>
      </w:r>
      <w:r>
        <w:rPr>
          <w:spacing w:val="-5"/>
        </w:rPr>
        <w:t> </w:t>
      </w:r>
      <w:r>
        <w:rPr/>
        <w:t>sizes</w:t>
      </w:r>
      <w:r>
        <w:rPr>
          <w:spacing w:val="-4"/>
        </w:rPr>
        <w:t> </w:t>
      </w:r>
      <w:r>
        <w:rPr/>
        <w:t>involved,</w:t>
      </w:r>
      <w:r>
        <w:rPr>
          <w:spacing w:val="-4"/>
        </w:rPr>
        <w:t> </w:t>
      </w:r>
      <w:r>
        <w:rPr/>
        <w:t>it</w:t>
      </w:r>
      <w:r>
        <w:rPr>
          <w:spacing w:val="-4"/>
        </w:rPr>
        <w:t> </w:t>
      </w:r>
      <w:r>
        <w:rPr/>
        <w:t>is not possible to break this down further by case track.</w:t>
      </w:r>
    </w:p>
    <w:p>
      <w:pPr>
        <w:pStyle w:val="BodyText"/>
      </w:pPr>
    </w:p>
    <w:p>
      <w:pPr>
        <w:pStyle w:val="BodyText"/>
        <w:spacing w:before="1"/>
        <w:ind w:left="1337" w:right="1474"/>
        <w:jc w:val="both"/>
      </w:pPr>
      <w:r>
        <w:rPr/>
        <w:t>A</w:t>
      </w:r>
      <w:r>
        <w:rPr>
          <w:spacing w:val="-3"/>
        </w:rPr>
        <w:t> </w:t>
      </w:r>
      <w:r>
        <w:rPr/>
        <w:t>majority</w:t>
      </w:r>
      <w:r>
        <w:rPr>
          <w:spacing w:val="-3"/>
        </w:rPr>
        <w:t> </w:t>
      </w:r>
      <w:r>
        <w:rPr/>
        <w:t>(77</w:t>
      </w:r>
      <w:r>
        <w:rPr>
          <w:spacing w:val="-3"/>
        </w:rPr>
        <w:t> </w:t>
      </w:r>
      <w:r>
        <w:rPr/>
        <w:t>per</w:t>
      </w:r>
      <w:r>
        <w:rPr>
          <w:spacing w:val="-3"/>
        </w:rPr>
        <w:t> </w:t>
      </w:r>
      <w:r>
        <w:rPr/>
        <w:t>cent</w:t>
      </w:r>
      <w:r>
        <w:rPr>
          <w:spacing w:val="-5"/>
        </w:rPr>
        <w:t> </w:t>
      </w:r>
      <w:r>
        <w:rPr/>
        <w:t>of</w:t>
      </w:r>
      <w:r>
        <w:rPr>
          <w:spacing w:val="-3"/>
        </w:rPr>
        <w:t> </w:t>
      </w:r>
      <w:r>
        <w:rPr/>
        <w:t>claimant-side</w:t>
      </w:r>
      <w:r>
        <w:rPr>
          <w:spacing w:val="-4"/>
        </w:rPr>
        <w:t> </w:t>
      </w:r>
      <w:r>
        <w:rPr/>
        <w:t>participants</w:t>
      </w:r>
      <w:r>
        <w:rPr>
          <w:spacing w:val="-4"/>
        </w:rPr>
        <w:t> </w:t>
      </w:r>
      <w:r>
        <w:rPr/>
        <w:t>and</w:t>
      </w:r>
      <w:r>
        <w:rPr>
          <w:spacing w:val="-4"/>
        </w:rPr>
        <w:t> </w:t>
      </w:r>
      <w:r>
        <w:rPr/>
        <w:t>81</w:t>
      </w:r>
      <w:r>
        <w:rPr>
          <w:spacing w:val="-4"/>
        </w:rPr>
        <w:t> </w:t>
      </w:r>
      <w:r>
        <w:rPr/>
        <w:t>per</w:t>
      </w:r>
      <w:r>
        <w:rPr>
          <w:spacing w:val="-3"/>
        </w:rPr>
        <w:t> </w:t>
      </w:r>
      <w:r>
        <w:rPr/>
        <w:t>cent</w:t>
      </w:r>
      <w:r>
        <w:rPr>
          <w:spacing w:val="-3"/>
        </w:rPr>
        <w:t> </w:t>
      </w:r>
      <w:r>
        <w:rPr/>
        <w:t>of</w:t>
      </w:r>
      <w:r>
        <w:rPr>
          <w:spacing w:val="-4"/>
        </w:rPr>
        <w:t> </w:t>
      </w:r>
      <w:r>
        <w:rPr/>
        <w:t>employer- side participants) of those who took part in EC were satisfied with the amount of contact they had with the Acas conciliator. A fifth (20 per cent) of claimant-side participants requested more contact, while a sixth (15 per cent) of employer-side participants said the same. Just a handful of each group requested less (one per cent and two per cent respectively).</w:t>
      </w:r>
    </w:p>
    <w:p>
      <w:pPr>
        <w:pStyle w:val="BodyText"/>
      </w:pPr>
    </w:p>
    <w:p>
      <w:pPr>
        <w:pStyle w:val="BodyText"/>
        <w:ind w:left="1337" w:right="1474"/>
        <w:jc w:val="both"/>
      </w:pPr>
      <w:r>
        <w:rPr/>
        <w:t>Comparing</w:t>
      </w:r>
      <w:r>
        <w:rPr>
          <w:spacing w:val="-3"/>
        </w:rPr>
        <w:t> </w:t>
      </w:r>
      <w:r>
        <w:rPr/>
        <w:t>the</w:t>
      </w:r>
      <w:r>
        <w:rPr>
          <w:spacing w:val="-3"/>
        </w:rPr>
        <w:t> </w:t>
      </w:r>
      <w:r>
        <w:rPr/>
        <w:t>overall</w:t>
      </w:r>
      <w:r>
        <w:rPr>
          <w:spacing w:val="-3"/>
        </w:rPr>
        <w:t> </w:t>
      </w:r>
      <w:r>
        <w:rPr/>
        <w:t>scores</w:t>
      </w:r>
      <w:r>
        <w:rPr>
          <w:spacing w:val="-3"/>
        </w:rPr>
        <w:t> </w:t>
      </w:r>
      <w:r>
        <w:rPr/>
        <w:t>to</w:t>
      </w:r>
      <w:r>
        <w:rPr>
          <w:spacing w:val="-3"/>
        </w:rPr>
        <w:t> </w:t>
      </w:r>
      <w:r>
        <w:rPr/>
        <w:t>2015,</w:t>
      </w:r>
      <w:r>
        <w:rPr>
          <w:spacing w:val="-2"/>
        </w:rPr>
        <w:t> </w:t>
      </w:r>
      <w:r>
        <w:rPr/>
        <w:t>the</w:t>
      </w:r>
      <w:r>
        <w:rPr>
          <w:spacing w:val="-3"/>
        </w:rPr>
        <w:t> </w:t>
      </w:r>
      <w:r>
        <w:rPr/>
        <w:t>proportion</w:t>
      </w:r>
      <w:r>
        <w:rPr>
          <w:spacing w:val="-2"/>
        </w:rPr>
        <w:t> </w:t>
      </w:r>
      <w:r>
        <w:rPr/>
        <w:t>of</w:t>
      </w:r>
      <w:r>
        <w:rPr>
          <w:spacing w:val="-3"/>
        </w:rPr>
        <w:t> </w:t>
      </w:r>
      <w:r>
        <w:rPr/>
        <w:t>claimant-side</w:t>
      </w:r>
      <w:r>
        <w:rPr>
          <w:spacing w:val="-3"/>
        </w:rPr>
        <w:t> </w:t>
      </w:r>
      <w:r>
        <w:rPr/>
        <w:t>participants that</w:t>
      </w:r>
      <w:r>
        <w:rPr>
          <w:spacing w:val="-5"/>
        </w:rPr>
        <w:t> </w:t>
      </w:r>
      <w:r>
        <w:rPr/>
        <w:t>were</w:t>
      </w:r>
      <w:r>
        <w:rPr>
          <w:spacing w:val="-5"/>
        </w:rPr>
        <w:t> </w:t>
      </w:r>
      <w:r>
        <w:rPr/>
        <w:t>satisfied</w:t>
      </w:r>
      <w:r>
        <w:rPr>
          <w:spacing w:val="-4"/>
        </w:rPr>
        <w:t> </w:t>
      </w:r>
      <w:r>
        <w:rPr/>
        <w:t>with</w:t>
      </w:r>
      <w:r>
        <w:rPr>
          <w:spacing w:val="-4"/>
        </w:rPr>
        <w:t> </w:t>
      </w:r>
      <w:r>
        <w:rPr/>
        <w:t>the</w:t>
      </w:r>
      <w:r>
        <w:rPr>
          <w:spacing w:val="-6"/>
        </w:rPr>
        <w:t> </w:t>
      </w:r>
      <w:r>
        <w:rPr/>
        <w:t>amount</w:t>
      </w:r>
      <w:r>
        <w:rPr>
          <w:spacing w:val="-5"/>
        </w:rPr>
        <w:t> </w:t>
      </w:r>
      <w:r>
        <w:rPr/>
        <w:t>of</w:t>
      </w:r>
      <w:r>
        <w:rPr>
          <w:spacing w:val="-4"/>
        </w:rPr>
        <w:t> </w:t>
      </w:r>
      <w:r>
        <w:rPr/>
        <w:t>contact</w:t>
      </w:r>
      <w:r>
        <w:rPr>
          <w:spacing w:val="-4"/>
        </w:rPr>
        <w:t> </w:t>
      </w:r>
      <w:r>
        <w:rPr/>
        <w:t>is</w:t>
      </w:r>
      <w:r>
        <w:rPr>
          <w:spacing w:val="-4"/>
        </w:rPr>
        <w:t> </w:t>
      </w:r>
      <w:r>
        <w:rPr/>
        <w:t>stable</w:t>
      </w:r>
      <w:r>
        <w:rPr>
          <w:spacing w:val="-5"/>
        </w:rPr>
        <w:t> </w:t>
      </w:r>
      <w:r>
        <w:rPr/>
        <w:t>but</w:t>
      </w:r>
      <w:r>
        <w:rPr>
          <w:spacing w:val="-5"/>
        </w:rPr>
        <w:t> </w:t>
      </w:r>
      <w:r>
        <w:rPr/>
        <w:t>there</w:t>
      </w:r>
      <w:r>
        <w:rPr>
          <w:spacing w:val="-6"/>
        </w:rPr>
        <w:t> </w:t>
      </w:r>
      <w:r>
        <w:rPr/>
        <w:t>has</w:t>
      </w:r>
      <w:r>
        <w:rPr>
          <w:spacing w:val="-4"/>
        </w:rPr>
        <w:t> </w:t>
      </w:r>
      <w:r>
        <w:rPr/>
        <w:t>been</w:t>
      </w:r>
      <w:r>
        <w:rPr>
          <w:spacing w:val="-4"/>
        </w:rPr>
        <w:t> </w:t>
      </w:r>
      <w:r>
        <w:rPr/>
        <w:t>a</w:t>
      </w:r>
      <w:r>
        <w:rPr>
          <w:spacing w:val="-5"/>
        </w:rPr>
        <w:t> </w:t>
      </w:r>
      <w:r>
        <w:rPr/>
        <w:t>fall</w:t>
      </w:r>
      <w:r>
        <w:rPr>
          <w:spacing w:val="-5"/>
        </w:rPr>
        <w:t> </w:t>
      </w:r>
      <w:r>
        <w:rPr/>
        <w:t>in the proportion of employer-side participants that are satisfied (see Table 9).</w:t>
      </w:r>
    </w:p>
    <w:p>
      <w:pPr>
        <w:pStyle w:val="BodyText"/>
        <w:rPr>
          <w:sz w:val="24"/>
        </w:rPr>
      </w:pPr>
    </w:p>
    <w:p>
      <w:pPr>
        <w:pStyle w:val="BodyText"/>
        <w:spacing w:before="9"/>
        <w:rPr>
          <w:sz w:val="30"/>
        </w:rPr>
      </w:pPr>
    </w:p>
    <w:p>
      <w:pPr>
        <w:pStyle w:val="Heading3"/>
        <w:spacing w:before="1"/>
      </w:pPr>
      <w:r>
        <w:rPr/>
        <w:t>Table</w:t>
      </w:r>
      <w:r>
        <w:rPr>
          <w:spacing w:val="-3"/>
        </w:rPr>
        <w:t> </w:t>
      </w:r>
      <w:r>
        <w:rPr/>
        <w:t>9.</w:t>
      </w:r>
      <w:r>
        <w:rPr>
          <w:spacing w:val="-3"/>
        </w:rPr>
        <w:t> </w:t>
      </w:r>
      <w:r>
        <w:rPr/>
        <w:t>Contact</w:t>
      </w:r>
      <w:r>
        <w:rPr>
          <w:spacing w:val="-3"/>
        </w:rPr>
        <w:t> </w:t>
      </w:r>
      <w:r>
        <w:rPr>
          <w:spacing w:val="-2"/>
        </w:rPr>
        <w:t>preferences</w:t>
      </w:r>
    </w:p>
    <w:p>
      <w:pPr>
        <w:tabs>
          <w:tab w:pos="3069" w:val="left" w:leader="none"/>
        </w:tabs>
        <w:spacing w:before="58"/>
        <w:ind w:left="0" w:right="183" w:firstLine="0"/>
        <w:jc w:val="center"/>
        <w:rPr>
          <w:sz w:val="12"/>
        </w:rPr>
      </w:pPr>
      <w:r>
        <w:rPr/>
        <w:pict>
          <v:shape style="position:absolute;margin-left:267.567749pt;margin-top:53.213249pt;width:4.2pt;height:4.650pt;mso-position-horizontal-relative:page;mso-position-vertical-relative:paragraph;z-index:-18117120" id="docshape20" coordorigin="5351,1064" coordsize="84,93" path="m5351,1157l5435,1157,5393,1064,5351,1157xe" filled="true" fillcolor="#666666" stroked="false">
            <v:path arrowok="t"/>
            <v:fill type="solid"/>
            <w10:wrap type="none"/>
          </v:shape>
        </w:pict>
      </w:r>
      <w:r>
        <w:rPr/>
        <w:pict>
          <v:shape style="position:absolute;margin-left:267.567749pt;margin-top:73.544174pt;width:4.2pt;height:4.2pt;mso-position-horizontal-relative:page;mso-position-vertical-relative:paragraph;z-index:-18116608" id="docshape21" coordorigin="5351,1471" coordsize="84,84" path="m5351,1471l5435,1471,5393,1554,5351,1471xe" filled="true" fillcolor="#666666" stroked="false">
            <v:path arrowok="t"/>
            <v:fill type="solid"/>
            <w10:wrap type="none"/>
          </v:shape>
        </w:pict>
      </w:r>
      <w:r>
        <w:rPr>
          <w:sz w:val="12"/>
        </w:rPr>
        <w:t>Employer-side</w:t>
      </w:r>
      <w:r>
        <w:rPr>
          <w:spacing w:val="21"/>
          <w:sz w:val="12"/>
        </w:rPr>
        <w:t> </w:t>
      </w:r>
      <w:r>
        <w:rPr>
          <w:spacing w:val="-2"/>
          <w:sz w:val="12"/>
        </w:rPr>
        <w:t>participants</w:t>
      </w:r>
      <w:r>
        <w:rPr>
          <w:sz w:val="12"/>
        </w:rPr>
        <w:tab/>
        <w:t>Claimant-side</w:t>
      </w:r>
      <w:r>
        <w:rPr>
          <w:spacing w:val="17"/>
          <w:sz w:val="12"/>
        </w:rPr>
        <w:t> </w:t>
      </w:r>
      <w:r>
        <w:rPr>
          <w:spacing w:val="-2"/>
          <w:sz w:val="12"/>
        </w:rPr>
        <w:t>participants</w:t>
      </w:r>
    </w:p>
    <w:p>
      <w:pPr>
        <w:pStyle w:val="BodyText"/>
        <w:spacing w:before="9"/>
        <w:rPr>
          <w:sz w:val="28"/>
        </w:rPr>
      </w:pPr>
    </w:p>
    <w:tbl>
      <w:tblPr>
        <w:tblW w:w="0" w:type="auto"/>
        <w:jc w:val="left"/>
        <w:tblInd w:w="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7"/>
        <w:gridCol w:w="1100"/>
        <w:gridCol w:w="1552"/>
        <w:gridCol w:w="1518"/>
        <w:gridCol w:w="2064"/>
      </w:tblGrid>
      <w:tr>
        <w:trPr>
          <w:trHeight w:val="186" w:hRule="atLeast"/>
        </w:trPr>
        <w:tc>
          <w:tcPr>
            <w:tcW w:w="1597" w:type="dxa"/>
            <w:vMerge w:val="restart"/>
            <w:tcBorders>
              <w:bottom w:val="single" w:sz="4" w:space="0" w:color="000000"/>
            </w:tcBorders>
          </w:tcPr>
          <w:p>
            <w:pPr>
              <w:pStyle w:val="TableParagraph"/>
              <w:rPr>
                <w:rFonts w:ascii="Times New Roman"/>
                <w:sz w:val="18"/>
              </w:rPr>
            </w:pPr>
          </w:p>
        </w:tc>
        <w:tc>
          <w:tcPr>
            <w:tcW w:w="1100" w:type="dxa"/>
          </w:tcPr>
          <w:p>
            <w:pPr>
              <w:pStyle w:val="TableParagraph"/>
              <w:ind w:left="189"/>
              <w:rPr>
                <w:sz w:val="12"/>
              </w:rPr>
            </w:pPr>
            <w:r>
              <w:rPr>
                <w:w w:val="100"/>
                <w:sz w:val="12"/>
              </w:rPr>
              <w:t>%</w:t>
            </w:r>
          </w:p>
        </w:tc>
        <w:tc>
          <w:tcPr>
            <w:tcW w:w="1552" w:type="dxa"/>
          </w:tcPr>
          <w:p>
            <w:pPr>
              <w:pStyle w:val="TableParagraph"/>
              <w:rPr>
                <w:rFonts w:ascii="Times New Roman"/>
                <w:sz w:val="12"/>
              </w:rPr>
            </w:pPr>
          </w:p>
        </w:tc>
        <w:tc>
          <w:tcPr>
            <w:tcW w:w="1518" w:type="dxa"/>
          </w:tcPr>
          <w:p>
            <w:pPr>
              <w:pStyle w:val="TableParagraph"/>
              <w:ind w:left="607"/>
              <w:rPr>
                <w:sz w:val="12"/>
              </w:rPr>
            </w:pPr>
            <w:r>
              <w:rPr>
                <w:w w:val="100"/>
                <w:sz w:val="12"/>
              </w:rPr>
              <w:t>%</w:t>
            </w:r>
          </w:p>
        </w:tc>
        <w:tc>
          <w:tcPr>
            <w:tcW w:w="2064" w:type="dxa"/>
          </w:tcPr>
          <w:p>
            <w:pPr>
              <w:pStyle w:val="TableParagraph"/>
              <w:rPr>
                <w:rFonts w:ascii="Times New Roman"/>
                <w:sz w:val="12"/>
              </w:rPr>
            </w:pPr>
          </w:p>
        </w:tc>
      </w:tr>
      <w:tr>
        <w:trPr>
          <w:trHeight w:val="241" w:hRule="atLeast"/>
        </w:trPr>
        <w:tc>
          <w:tcPr>
            <w:tcW w:w="1597" w:type="dxa"/>
            <w:vMerge/>
            <w:tcBorders>
              <w:top w:val="nil"/>
              <w:bottom w:val="single" w:sz="4" w:space="0" w:color="000000"/>
            </w:tcBorders>
          </w:tcPr>
          <w:p>
            <w:pPr>
              <w:rPr>
                <w:sz w:val="2"/>
                <w:szCs w:val="2"/>
              </w:rPr>
            </w:pPr>
          </w:p>
        </w:tc>
        <w:tc>
          <w:tcPr>
            <w:tcW w:w="1100" w:type="dxa"/>
            <w:tcBorders>
              <w:bottom w:val="single" w:sz="4" w:space="0" w:color="000000"/>
            </w:tcBorders>
          </w:tcPr>
          <w:p>
            <w:pPr>
              <w:pStyle w:val="TableParagraph"/>
              <w:spacing w:before="40"/>
              <w:ind w:left="189"/>
              <w:rPr>
                <w:sz w:val="12"/>
              </w:rPr>
            </w:pPr>
            <w:r>
              <w:rPr>
                <w:spacing w:val="-4"/>
                <w:sz w:val="12"/>
              </w:rPr>
              <w:t>2015</w:t>
            </w:r>
          </w:p>
        </w:tc>
        <w:tc>
          <w:tcPr>
            <w:tcW w:w="1552" w:type="dxa"/>
            <w:tcBorders>
              <w:bottom w:val="single" w:sz="4" w:space="0" w:color="000000"/>
            </w:tcBorders>
          </w:tcPr>
          <w:p>
            <w:pPr>
              <w:pStyle w:val="TableParagraph"/>
              <w:spacing w:before="40"/>
              <w:ind w:left="624"/>
              <w:rPr>
                <w:b/>
                <w:sz w:val="12"/>
              </w:rPr>
            </w:pPr>
            <w:r>
              <w:rPr>
                <w:b/>
                <w:spacing w:val="-4"/>
                <w:sz w:val="12"/>
              </w:rPr>
              <w:t>2019</w:t>
            </w:r>
          </w:p>
        </w:tc>
        <w:tc>
          <w:tcPr>
            <w:tcW w:w="1518" w:type="dxa"/>
            <w:tcBorders>
              <w:bottom w:val="single" w:sz="4" w:space="0" w:color="000000"/>
            </w:tcBorders>
          </w:tcPr>
          <w:p>
            <w:pPr>
              <w:pStyle w:val="TableParagraph"/>
              <w:spacing w:before="40"/>
              <w:ind w:left="607"/>
              <w:rPr>
                <w:sz w:val="12"/>
              </w:rPr>
            </w:pPr>
            <w:r>
              <w:rPr>
                <w:spacing w:val="-4"/>
                <w:sz w:val="12"/>
              </w:rPr>
              <w:t>2015</w:t>
            </w:r>
          </w:p>
        </w:tc>
        <w:tc>
          <w:tcPr>
            <w:tcW w:w="2064" w:type="dxa"/>
            <w:tcBorders>
              <w:bottom w:val="single" w:sz="4" w:space="0" w:color="000000"/>
            </w:tcBorders>
          </w:tcPr>
          <w:p>
            <w:pPr>
              <w:pStyle w:val="TableParagraph"/>
              <w:spacing w:before="40"/>
              <w:ind w:left="623"/>
              <w:rPr>
                <w:b/>
                <w:sz w:val="12"/>
              </w:rPr>
            </w:pPr>
            <w:r>
              <w:rPr>
                <w:b/>
                <w:spacing w:val="-4"/>
                <w:sz w:val="12"/>
              </w:rPr>
              <w:t>2019</w:t>
            </w:r>
          </w:p>
        </w:tc>
      </w:tr>
      <w:tr>
        <w:trPr>
          <w:trHeight w:val="379" w:hRule="atLeast"/>
        </w:trPr>
        <w:tc>
          <w:tcPr>
            <w:tcW w:w="1597" w:type="dxa"/>
            <w:tcBorders>
              <w:top w:val="single" w:sz="4" w:space="0" w:color="000000"/>
            </w:tcBorders>
          </w:tcPr>
          <w:p>
            <w:pPr>
              <w:pStyle w:val="TableParagraph"/>
              <w:spacing w:line="242" w:lineRule="auto" w:before="39"/>
              <w:ind w:left="95"/>
              <w:rPr>
                <w:sz w:val="12"/>
              </w:rPr>
            </w:pPr>
            <w:r>
              <w:rPr>
                <w:sz w:val="12"/>
              </w:rPr>
              <w:t>Would</w:t>
            </w:r>
            <w:r>
              <w:rPr>
                <w:spacing w:val="-7"/>
                <w:sz w:val="12"/>
              </w:rPr>
              <w:t> </w:t>
            </w:r>
            <w:r>
              <w:rPr>
                <w:sz w:val="12"/>
              </w:rPr>
              <w:t>have</w:t>
            </w:r>
            <w:r>
              <w:rPr>
                <w:spacing w:val="-11"/>
                <w:sz w:val="12"/>
              </w:rPr>
              <w:t> </w:t>
            </w:r>
            <w:r>
              <w:rPr>
                <w:sz w:val="12"/>
              </w:rPr>
              <w:t>preferred </w:t>
            </w:r>
            <w:r>
              <w:rPr>
                <w:spacing w:val="-4"/>
                <w:sz w:val="12"/>
              </w:rPr>
              <w:t>more</w:t>
            </w:r>
          </w:p>
        </w:tc>
        <w:tc>
          <w:tcPr>
            <w:tcW w:w="1100" w:type="dxa"/>
            <w:tcBorders>
              <w:top w:val="single" w:sz="4" w:space="0" w:color="000000"/>
            </w:tcBorders>
          </w:tcPr>
          <w:p>
            <w:pPr>
              <w:pStyle w:val="TableParagraph"/>
              <w:spacing w:before="39"/>
              <w:ind w:left="189"/>
              <w:rPr>
                <w:sz w:val="12"/>
              </w:rPr>
            </w:pPr>
            <w:r>
              <w:rPr>
                <w:w w:val="100"/>
                <w:sz w:val="12"/>
              </w:rPr>
              <w:t>8</w:t>
            </w:r>
          </w:p>
        </w:tc>
        <w:tc>
          <w:tcPr>
            <w:tcW w:w="1552" w:type="dxa"/>
            <w:tcBorders>
              <w:top w:val="single" w:sz="4" w:space="0" w:color="000000"/>
            </w:tcBorders>
          </w:tcPr>
          <w:p>
            <w:pPr>
              <w:pStyle w:val="TableParagraph"/>
              <w:spacing w:before="39"/>
              <w:ind w:left="624"/>
              <w:rPr>
                <w:b/>
                <w:sz w:val="12"/>
              </w:rPr>
            </w:pPr>
            <w:r>
              <w:rPr>
                <w:b/>
                <w:spacing w:val="-5"/>
                <w:sz w:val="12"/>
              </w:rPr>
              <w:t>15</w:t>
            </w:r>
          </w:p>
        </w:tc>
        <w:tc>
          <w:tcPr>
            <w:tcW w:w="1518" w:type="dxa"/>
            <w:tcBorders>
              <w:top w:val="single" w:sz="4" w:space="0" w:color="000000"/>
            </w:tcBorders>
          </w:tcPr>
          <w:p>
            <w:pPr>
              <w:pStyle w:val="TableParagraph"/>
              <w:spacing w:before="39"/>
              <w:ind w:left="607"/>
              <w:rPr>
                <w:sz w:val="12"/>
              </w:rPr>
            </w:pPr>
            <w:r>
              <w:rPr>
                <w:spacing w:val="-5"/>
                <w:sz w:val="12"/>
              </w:rPr>
              <w:t>24</w:t>
            </w:r>
          </w:p>
        </w:tc>
        <w:tc>
          <w:tcPr>
            <w:tcW w:w="2064" w:type="dxa"/>
            <w:tcBorders>
              <w:top w:val="single" w:sz="4" w:space="0" w:color="000000"/>
            </w:tcBorders>
          </w:tcPr>
          <w:p>
            <w:pPr>
              <w:pStyle w:val="TableParagraph"/>
              <w:spacing w:before="39"/>
              <w:ind w:left="623"/>
              <w:rPr>
                <w:b/>
                <w:sz w:val="12"/>
              </w:rPr>
            </w:pPr>
            <w:r>
              <w:rPr>
                <w:b/>
                <w:spacing w:val="-5"/>
                <w:sz w:val="12"/>
              </w:rPr>
              <w:t>20</w:t>
            </w:r>
          </w:p>
        </w:tc>
      </w:tr>
      <w:tr>
        <w:trPr>
          <w:trHeight w:val="382" w:hRule="atLeast"/>
        </w:trPr>
        <w:tc>
          <w:tcPr>
            <w:tcW w:w="1597" w:type="dxa"/>
            <w:tcBorders>
              <w:left w:val="single" w:sz="6" w:space="0" w:color="FFFFFF"/>
            </w:tcBorders>
          </w:tcPr>
          <w:p>
            <w:pPr>
              <w:pStyle w:val="TableParagraph"/>
              <w:spacing w:line="242" w:lineRule="auto" w:before="44"/>
              <w:ind w:left="87" w:right="35"/>
              <w:rPr>
                <w:sz w:val="12"/>
              </w:rPr>
            </w:pPr>
            <w:r>
              <w:rPr>
                <w:sz w:val="12"/>
              </w:rPr>
              <w:t>Would</w:t>
            </w:r>
            <w:r>
              <w:rPr>
                <w:spacing w:val="-7"/>
                <w:sz w:val="12"/>
              </w:rPr>
              <w:t> </w:t>
            </w:r>
            <w:r>
              <w:rPr>
                <w:sz w:val="12"/>
              </w:rPr>
              <w:t>have</w:t>
            </w:r>
            <w:r>
              <w:rPr>
                <w:spacing w:val="-11"/>
                <w:sz w:val="12"/>
              </w:rPr>
              <w:t> </w:t>
            </w:r>
            <w:r>
              <w:rPr>
                <w:sz w:val="12"/>
              </w:rPr>
              <w:t>preferred the</w:t>
            </w:r>
            <w:r>
              <w:rPr>
                <w:spacing w:val="-5"/>
                <w:sz w:val="12"/>
              </w:rPr>
              <w:t> </w:t>
            </w:r>
            <w:r>
              <w:rPr>
                <w:sz w:val="12"/>
              </w:rPr>
              <w:t>same</w:t>
            </w:r>
          </w:p>
        </w:tc>
        <w:tc>
          <w:tcPr>
            <w:tcW w:w="1100" w:type="dxa"/>
          </w:tcPr>
          <w:p>
            <w:pPr>
              <w:pStyle w:val="TableParagraph"/>
              <w:spacing w:before="44"/>
              <w:ind w:left="189"/>
              <w:rPr>
                <w:sz w:val="12"/>
              </w:rPr>
            </w:pPr>
            <w:r>
              <w:rPr>
                <w:spacing w:val="-5"/>
                <w:sz w:val="12"/>
              </w:rPr>
              <w:t>88</w:t>
            </w:r>
          </w:p>
        </w:tc>
        <w:tc>
          <w:tcPr>
            <w:tcW w:w="1552" w:type="dxa"/>
          </w:tcPr>
          <w:p>
            <w:pPr>
              <w:pStyle w:val="TableParagraph"/>
              <w:spacing w:before="44"/>
              <w:ind w:left="624"/>
              <w:rPr>
                <w:b/>
                <w:sz w:val="12"/>
              </w:rPr>
            </w:pPr>
            <w:r>
              <w:rPr>
                <w:b/>
                <w:spacing w:val="-5"/>
                <w:sz w:val="12"/>
              </w:rPr>
              <w:t>81</w:t>
            </w:r>
          </w:p>
        </w:tc>
        <w:tc>
          <w:tcPr>
            <w:tcW w:w="1518" w:type="dxa"/>
          </w:tcPr>
          <w:p>
            <w:pPr>
              <w:pStyle w:val="TableParagraph"/>
              <w:spacing w:before="44"/>
              <w:ind w:left="607"/>
              <w:rPr>
                <w:sz w:val="12"/>
              </w:rPr>
            </w:pPr>
            <w:r>
              <w:rPr>
                <w:spacing w:val="-5"/>
                <w:sz w:val="12"/>
              </w:rPr>
              <w:t>74</w:t>
            </w:r>
          </w:p>
        </w:tc>
        <w:tc>
          <w:tcPr>
            <w:tcW w:w="2064" w:type="dxa"/>
          </w:tcPr>
          <w:p>
            <w:pPr>
              <w:pStyle w:val="TableParagraph"/>
              <w:spacing w:before="44"/>
              <w:ind w:left="623"/>
              <w:rPr>
                <w:b/>
                <w:sz w:val="12"/>
              </w:rPr>
            </w:pPr>
            <w:r>
              <w:rPr>
                <w:b/>
                <w:spacing w:val="-5"/>
                <w:sz w:val="12"/>
              </w:rPr>
              <w:t>77</w:t>
            </w:r>
          </w:p>
        </w:tc>
      </w:tr>
      <w:tr>
        <w:trPr>
          <w:trHeight w:val="384" w:hRule="atLeast"/>
        </w:trPr>
        <w:tc>
          <w:tcPr>
            <w:tcW w:w="1597" w:type="dxa"/>
            <w:tcBorders>
              <w:left w:val="single" w:sz="6" w:space="0" w:color="FFFFFF"/>
            </w:tcBorders>
          </w:tcPr>
          <w:p>
            <w:pPr>
              <w:pStyle w:val="TableParagraph"/>
              <w:spacing w:line="242" w:lineRule="auto" w:before="45"/>
              <w:ind w:left="87" w:right="35"/>
              <w:rPr>
                <w:sz w:val="12"/>
              </w:rPr>
            </w:pPr>
            <w:r>
              <w:rPr>
                <w:sz w:val="12"/>
              </w:rPr>
              <w:t>Would</w:t>
            </w:r>
            <w:r>
              <w:rPr>
                <w:spacing w:val="-7"/>
                <w:sz w:val="12"/>
              </w:rPr>
              <w:t> </w:t>
            </w:r>
            <w:r>
              <w:rPr>
                <w:sz w:val="12"/>
              </w:rPr>
              <w:t>have</w:t>
            </w:r>
            <w:r>
              <w:rPr>
                <w:spacing w:val="-11"/>
                <w:sz w:val="12"/>
              </w:rPr>
              <w:t> </w:t>
            </w:r>
            <w:r>
              <w:rPr>
                <w:sz w:val="12"/>
              </w:rPr>
              <w:t>preferred </w:t>
            </w:r>
            <w:r>
              <w:rPr>
                <w:spacing w:val="-4"/>
                <w:sz w:val="12"/>
              </w:rPr>
              <w:t>less</w:t>
            </w:r>
          </w:p>
        </w:tc>
        <w:tc>
          <w:tcPr>
            <w:tcW w:w="1100" w:type="dxa"/>
          </w:tcPr>
          <w:p>
            <w:pPr>
              <w:pStyle w:val="TableParagraph"/>
              <w:spacing w:before="45"/>
              <w:ind w:left="189"/>
              <w:rPr>
                <w:sz w:val="12"/>
              </w:rPr>
            </w:pPr>
            <w:r>
              <w:rPr>
                <w:w w:val="100"/>
                <w:sz w:val="12"/>
              </w:rPr>
              <w:t>2</w:t>
            </w:r>
          </w:p>
        </w:tc>
        <w:tc>
          <w:tcPr>
            <w:tcW w:w="1552" w:type="dxa"/>
          </w:tcPr>
          <w:p>
            <w:pPr>
              <w:pStyle w:val="TableParagraph"/>
              <w:spacing w:before="45"/>
              <w:ind w:left="624"/>
              <w:rPr>
                <w:b/>
                <w:sz w:val="12"/>
              </w:rPr>
            </w:pPr>
            <w:r>
              <w:rPr>
                <w:b/>
                <w:w w:val="100"/>
                <w:sz w:val="12"/>
              </w:rPr>
              <w:t>2</w:t>
            </w:r>
          </w:p>
        </w:tc>
        <w:tc>
          <w:tcPr>
            <w:tcW w:w="1518" w:type="dxa"/>
          </w:tcPr>
          <w:p>
            <w:pPr>
              <w:pStyle w:val="TableParagraph"/>
              <w:spacing w:before="45"/>
              <w:ind w:left="607"/>
              <w:rPr>
                <w:sz w:val="12"/>
              </w:rPr>
            </w:pPr>
            <w:r>
              <w:rPr>
                <w:w w:val="100"/>
                <w:sz w:val="12"/>
              </w:rPr>
              <w:t>1</w:t>
            </w:r>
          </w:p>
        </w:tc>
        <w:tc>
          <w:tcPr>
            <w:tcW w:w="2064" w:type="dxa"/>
          </w:tcPr>
          <w:p>
            <w:pPr>
              <w:pStyle w:val="TableParagraph"/>
              <w:spacing w:before="45"/>
              <w:ind w:left="623"/>
              <w:rPr>
                <w:b/>
                <w:sz w:val="12"/>
              </w:rPr>
            </w:pPr>
            <w:r>
              <w:rPr>
                <w:b/>
                <w:w w:val="100"/>
                <w:sz w:val="12"/>
              </w:rPr>
              <w:t>1</w:t>
            </w:r>
          </w:p>
        </w:tc>
      </w:tr>
      <w:tr>
        <w:trPr>
          <w:trHeight w:val="254" w:hRule="atLeast"/>
        </w:trPr>
        <w:tc>
          <w:tcPr>
            <w:tcW w:w="1597" w:type="dxa"/>
            <w:tcBorders>
              <w:left w:val="single" w:sz="6" w:space="0" w:color="FFFFFF"/>
            </w:tcBorders>
          </w:tcPr>
          <w:p>
            <w:pPr>
              <w:pStyle w:val="TableParagraph"/>
              <w:spacing w:before="45"/>
              <w:ind w:left="87"/>
              <w:rPr>
                <w:sz w:val="12"/>
              </w:rPr>
            </w:pPr>
            <w:r>
              <w:rPr>
                <w:sz w:val="12"/>
              </w:rPr>
              <w:t>Don’t</w:t>
            </w:r>
            <w:r>
              <w:rPr>
                <w:spacing w:val="4"/>
                <w:sz w:val="12"/>
              </w:rPr>
              <w:t> </w:t>
            </w:r>
            <w:r>
              <w:rPr>
                <w:spacing w:val="-4"/>
                <w:sz w:val="12"/>
              </w:rPr>
              <w:t>know</w:t>
            </w:r>
          </w:p>
        </w:tc>
        <w:tc>
          <w:tcPr>
            <w:tcW w:w="1100" w:type="dxa"/>
          </w:tcPr>
          <w:p>
            <w:pPr>
              <w:pStyle w:val="TableParagraph"/>
              <w:spacing w:before="45"/>
              <w:ind w:left="189"/>
              <w:rPr>
                <w:sz w:val="12"/>
              </w:rPr>
            </w:pPr>
            <w:r>
              <w:rPr>
                <w:w w:val="100"/>
                <w:sz w:val="12"/>
              </w:rPr>
              <w:t>1</w:t>
            </w:r>
          </w:p>
        </w:tc>
        <w:tc>
          <w:tcPr>
            <w:tcW w:w="1552" w:type="dxa"/>
          </w:tcPr>
          <w:p>
            <w:pPr>
              <w:pStyle w:val="TableParagraph"/>
              <w:spacing w:before="45"/>
              <w:ind w:left="624"/>
              <w:rPr>
                <w:b/>
                <w:sz w:val="12"/>
              </w:rPr>
            </w:pPr>
            <w:r>
              <w:rPr>
                <w:b/>
                <w:w w:val="100"/>
                <w:sz w:val="12"/>
              </w:rPr>
              <w:t>2</w:t>
            </w:r>
          </w:p>
        </w:tc>
        <w:tc>
          <w:tcPr>
            <w:tcW w:w="1518" w:type="dxa"/>
          </w:tcPr>
          <w:p>
            <w:pPr>
              <w:pStyle w:val="TableParagraph"/>
              <w:spacing w:before="45"/>
              <w:ind w:left="607"/>
              <w:rPr>
                <w:sz w:val="12"/>
              </w:rPr>
            </w:pPr>
            <w:r>
              <w:rPr>
                <w:w w:val="100"/>
                <w:sz w:val="12"/>
              </w:rPr>
              <w:t>1</w:t>
            </w:r>
          </w:p>
        </w:tc>
        <w:tc>
          <w:tcPr>
            <w:tcW w:w="2064" w:type="dxa"/>
          </w:tcPr>
          <w:p>
            <w:pPr>
              <w:pStyle w:val="TableParagraph"/>
              <w:spacing w:before="45"/>
              <w:ind w:left="623"/>
              <w:rPr>
                <w:b/>
                <w:sz w:val="12"/>
              </w:rPr>
            </w:pPr>
            <w:r>
              <w:rPr>
                <w:b/>
                <w:w w:val="100"/>
                <w:sz w:val="12"/>
              </w:rPr>
              <w:t>2</w:t>
            </w:r>
          </w:p>
        </w:tc>
      </w:tr>
      <w:tr>
        <w:trPr>
          <w:trHeight w:val="284" w:hRule="atLeast"/>
        </w:trPr>
        <w:tc>
          <w:tcPr>
            <w:tcW w:w="1597" w:type="dxa"/>
            <w:tcBorders>
              <w:left w:val="single" w:sz="6" w:space="0" w:color="FFFFFF"/>
              <w:bottom w:val="single" w:sz="6" w:space="0" w:color="000000"/>
            </w:tcBorders>
          </w:tcPr>
          <w:p>
            <w:pPr>
              <w:pStyle w:val="TableParagraph"/>
              <w:spacing w:before="63"/>
              <w:ind w:left="87"/>
              <w:rPr>
                <w:i/>
                <w:sz w:val="12"/>
              </w:rPr>
            </w:pPr>
            <w:r>
              <w:rPr>
                <w:i/>
                <w:sz w:val="12"/>
              </w:rPr>
              <w:t>Unweighted</w:t>
            </w:r>
            <w:r>
              <w:rPr>
                <w:i/>
                <w:spacing w:val="16"/>
                <w:sz w:val="12"/>
              </w:rPr>
              <w:t> </w:t>
            </w:r>
            <w:r>
              <w:rPr>
                <w:i/>
                <w:spacing w:val="-4"/>
                <w:sz w:val="12"/>
              </w:rPr>
              <w:t>base</w:t>
            </w:r>
          </w:p>
        </w:tc>
        <w:tc>
          <w:tcPr>
            <w:tcW w:w="1100" w:type="dxa"/>
            <w:tcBorders>
              <w:bottom w:val="single" w:sz="6" w:space="0" w:color="000000"/>
            </w:tcBorders>
          </w:tcPr>
          <w:p>
            <w:pPr>
              <w:pStyle w:val="TableParagraph"/>
              <w:spacing w:before="63"/>
              <w:ind w:left="189"/>
              <w:rPr>
                <w:i/>
                <w:sz w:val="12"/>
              </w:rPr>
            </w:pPr>
            <w:r>
              <w:rPr>
                <w:i/>
                <w:spacing w:val="-4"/>
                <w:sz w:val="12"/>
              </w:rPr>
              <w:t>1050</w:t>
            </w:r>
          </w:p>
        </w:tc>
        <w:tc>
          <w:tcPr>
            <w:tcW w:w="1552" w:type="dxa"/>
            <w:tcBorders>
              <w:bottom w:val="single" w:sz="6" w:space="0" w:color="000000"/>
            </w:tcBorders>
          </w:tcPr>
          <w:p>
            <w:pPr>
              <w:pStyle w:val="TableParagraph"/>
              <w:spacing w:before="63"/>
              <w:ind w:left="624"/>
              <w:rPr>
                <w:b/>
                <w:i/>
                <w:sz w:val="12"/>
              </w:rPr>
            </w:pPr>
            <w:r>
              <w:rPr>
                <w:b/>
                <w:i/>
                <w:spacing w:val="-5"/>
                <w:sz w:val="12"/>
              </w:rPr>
              <w:t>649</w:t>
            </w:r>
          </w:p>
        </w:tc>
        <w:tc>
          <w:tcPr>
            <w:tcW w:w="1518" w:type="dxa"/>
            <w:tcBorders>
              <w:bottom w:val="single" w:sz="6" w:space="0" w:color="000000"/>
            </w:tcBorders>
          </w:tcPr>
          <w:p>
            <w:pPr>
              <w:pStyle w:val="TableParagraph"/>
              <w:spacing w:before="63"/>
              <w:ind w:left="607"/>
              <w:rPr>
                <w:i/>
                <w:sz w:val="12"/>
              </w:rPr>
            </w:pPr>
            <w:r>
              <w:rPr>
                <w:i/>
                <w:spacing w:val="-5"/>
                <w:sz w:val="12"/>
              </w:rPr>
              <w:t>914</w:t>
            </w:r>
          </w:p>
        </w:tc>
        <w:tc>
          <w:tcPr>
            <w:tcW w:w="2064" w:type="dxa"/>
            <w:tcBorders>
              <w:bottom w:val="single" w:sz="6" w:space="0" w:color="000000"/>
            </w:tcBorders>
          </w:tcPr>
          <w:p>
            <w:pPr>
              <w:pStyle w:val="TableParagraph"/>
              <w:spacing w:before="63"/>
              <w:ind w:left="623"/>
              <w:rPr>
                <w:b/>
                <w:i/>
                <w:sz w:val="12"/>
              </w:rPr>
            </w:pPr>
            <w:r>
              <w:rPr>
                <w:b/>
                <w:i/>
                <w:spacing w:val="-5"/>
                <w:sz w:val="12"/>
              </w:rPr>
              <w:t>545</w:t>
            </w:r>
          </w:p>
        </w:tc>
      </w:tr>
      <w:tr>
        <w:trPr>
          <w:trHeight w:val="344" w:hRule="atLeast"/>
        </w:trPr>
        <w:tc>
          <w:tcPr>
            <w:tcW w:w="7831" w:type="dxa"/>
            <w:gridSpan w:val="5"/>
            <w:tcBorders>
              <w:top w:val="single" w:sz="6" w:space="0" w:color="000000"/>
              <w:left w:val="single" w:sz="6" w:space="0" w:color="FFFFFF"/>
              <w:bottom w:val="single" w:sz="6" w:space="0" w:color="FFFFFF"/>
              <w:right w:val="single" w:sz="6" w:space="0" w:color="FFFFFF"/>
            </w:tcBorders>
          </w:tcPr>
          <w:p>
            <w:pPr>
              <w:pStyle w:val="TableParagraph"/>
              <w:spacing w:line="146" w:lineRule="exact" w:before="36"/>
              <w:ind w:left="87"/>
              <w:rPr>
                <w:sz w:val="12"/>
              </w:rPr>
            </w:pPr>
            <w:r>
              <w:rPr>
                <w:sz w:val="12"/>
              </w:rPr>
              <w:t>Base:</w:t>
            </w:r>
            <w:r>
              <w:rPr>
                <w:spacing w:val="14"/>
                <w:sz w:val="12"/>
              </w:rPr>
              <w:t> </w:t>
            </w:r>
            <w:r>
              <w:rPr>
                <w:sz w:val="12"/>
              </w:rPr>
              <w:t>All</w:t>
            </w:r>
            <w:r>
              <w:rPr>
                <w:spacing w:val="8"/>
                <w:sz w:val="12"/>
              </w:rPr>
              <w:t> </w:t>
            </w:r>
            <w:r>
              <w:rPr>
                <w:sz w:val="12"/>
              </w:rPr>
              <w:t>participants</w:t>
            </w:r>
            <w:r>
              <w:rPr>
                <w:spacing w:val="7"/>
                <w:sz w:val="12"/>
              </w:rPr>
              <w:t> </w:t>
            </w:r>
            <w:r>
              <w:rPr>
                <w:sz w:val="12"/>
              </w:rPr>
              <w:t>who</w:t>
            </w:r>
            <w:r>
              <w:rPr>
                <w:spacing w:val="14"/>
                <w:sz w:val="12"/>
              </w:rPr>
              <w:t> </w:t>
            </w:r>
            <w:r>
              <w:rPr>
                <w:sz w:val="12"/>
              </w:rPr>
              <w:t>participated</w:t>
            </w:r>
            <w:r>
              <w:rPr>
                <w:spacing w:val="3"/>
                <w:sz w:val="12"/>
              </w:rPr>
              <w:t> </w:t>
            </w:r>
            <w:r>
              <w:rPr>
                <w:sz w:val="12"/>
              </w:rPr>
              <w:t>in</w:t>
            </w:r>
            <w:r>
              <w:rPr>
                <w:spacing w:val="12"/>
                <w:sz w:val="12"/>
              </w:rPr>
              <w:t> </w:t>
            </w:r>
            <w:r>
              <w:rPr>
                <w:spacing w:val="-5"/>
                <w:sz w:val="12"/>
              </w:rPr>
              <w:t>EC</w:t>
            </w:r>
          </w:p>
          <w:p>
            <w:pPr>
              <w:pStyle w:val="TableParagraph"/>
              <w:spacing w:line="143" w:lineRule="exact"/>
              <w:ind w:left="5072" w:right="-15"/>
              <w:rPr>
                <w:sz w:val="12"/>
              </w:rPr>
            </w:pPr>
            <w:r>
              <w:rPr>
                <w:sz w:val="12"/>
              </w:rPr>
              <w:t>Statistically significant</w:t>
            </w:r>
            <w:r>
              <w:rPr>
                <w:spacing w:val="26"/>
                <w:sz w:val="12"/>
              </w:rPr>
              <w:t> </w:t>
            </w:r>
            <w:r>
              <w:rPr>
                <w:sz w:val="12"/>
              </w:rPr>
              <w:t>difference</w:t>
            </w:r>
            <w:r>
              <w:rPr>
                <w:spacing w:val="10"/>
                <w:sz w:val="12"/>
              </w:rPr>
              <w:t> </w:t>
            </w:r>
            <w:r>
              <w:rPr>
                <w:sz w:val="12"/>
              </w:rPr>
              <w:t>since</w:t>
            </w:r>
            <w:r>
              <w:rPr>
                <w:spacing w:val="11"/>
                <w:sz w:val="12"/>
              </w:rPr>
              <w:t> </w:t>
            </w:r>
            <w:r>
              <w:rPr>
                <w:spacing w:val="-4"/>
                <w:sz w:val="12"/>
              </w:rPr>
              <w:t>2015</w:t>
            </w:r>
          </w:p>
        </w:tc>
      </w:tr>
    </w:tbl>
    <w:p>
      <w:pPr>
        <w:spacing w:after="0" w:line="143" w:lineRule="exact"/>
        <w:rPr>
          <w:sz w:val="12"/>
        </w:rPr>
        <w:sectPr>
          <w:pgSz w:w="11910" w:h="16840"/>
          <w:pgMar w:header="0" w:footer="996" w:top="1340" w:bottom="1180" w:left="460" w:right="320"/>
        </w:sectPr>
      </w:pPr>
    </w:p>
    <w:p>
      <w:pPr>
        <w:pStyle w:val="BodyText"/>
        <w:spacing w:before="82"/>
        <w:ind w:left="1337" w:right="1472"/>
        <w:jc w:val="both"/>
      </w:pPr>
      <w:r>
        <w:rPr/>
        <w:t>A</w:t>
      </w:r>
      <w:r>
        <w:rPr>
          <w:spacing w:val="-18"/>
        </w:rPr>
        <w:t> </w:t>
      </w:r>
      <w:r>
        <w:rPr/>
        <w:t>quarter</w:t>
      </w:r>
      <w:r>
        <w:rPr>
          <w:spacing w:val="-18"/>
        </w:rPr>
        <w:t> </w:t>
      </w:r>
      <w:r>
        <w:rPr/>
        <w:t>(24</w:t>
      </w:r>
      <w:r>
        <w:rPr>
          <w:spacing w:val="-17"/>
        </w:rPr>
        <w:t> </w:t>
      </w:r>
      <w:r>
        <w:rPr/>
        <w:t>per</w:t>
      </w:r>
      <w:r>
        <w:rPr>
          <w:spacing w:val="-18"/>
        </w:rPr>
        <w:t> </w:t>
      </w:r>
      <w:r>
        <w:rPr/>
        <w:t>cent)</w:t>
      </w:r>
      <w:r>
        <w:rPr>
          <w:spacing w:val="-17"/>
        </w:rPr>
        <w:t> </w:t>
      </w:r>
      <w:r>
        <w:rPr/>
        <w:t>of</w:t>
      </w:r>
      <w:r>
        <w:rPr>
          <w:spacing w:val="-17"/>
        </w:rPr>
        <w:t> </w:t>
      </w:r>
      <w:r>
        <w:rPr/>
        <w:t>claimant-side</w:t>
      </w:r>
      <w:r>
        <w:rPr>
          <w:spacing w:val="-18"/>
        </w:rPr>
        <w:t> </w:t>
      </w:r>
      <w:r>
        <w:rPr/>
        <w:t>participants</w:t>
      </w:r>
      <w:r>
        <w:rPr>
          <w:spacing w:val="-16"/>
        </w:rPr>
        <w:t> </w:t>
      </w:r>
      <w:r>
        <w:rPr/>
        <w:t>involved</w:t>
      </w:r>
      <w:r>
        <w:rPr>
          <w:spacing w:val="-17"/>
        </w:rPr>
        <w:t> </w:t>
      </w:r>
      <w:r>
        <w:rPr/>
        <w:t>in</w:t>
      </w:r>
      <w:r>
        <w:rPr>
          <w:spacing w:val="-17"/>
        </w:rPr>
        <w:t> </w:t>
      </w:r>
      <w:r>
        <w:rPr/>
        <w:t>open</w:t>
      </w:r>
      <w:r>
        <w:rPr>
          <w:spacing w:val="-18"/>
        </w:rPr>
        <w:t> </w:t>
      </w:r>
      <w:r>
        <w:rPr/>
        <w:t>track</w:t>
      </w:r>
      <w:r>
        <w:rPr>
          <w:spacing w:val="-16"/>
        </w:rPr>
        <w:t> </w:t>
      </w:r>
      <w:r>
        <w:rPr/>
        <w:t>disputes expressed</w:t>
      </w:r>
      <w:r>
        <w:rPr>
          <w:spacing w:val="-4"/>
        </w:rPr>
        <w:t> </w:t>
      </w:r>
      <w:r>
        <w:rPr/>
        <w:t>a</w:t>
      </w:r>
      <w:r>
        <w:rPr>
          <w:spacing w:val="-6"/>
        </w:rPr>
        <w:t> </w:t>
      </w:r>
      <w:r>
        <w:rPr/>
        <w:t>preference</w:t>
      </w:r>
      <w:r>
        <w:rPr>
          <w:spacing w:val="-6"/>
        </w:rPr>
        <w:t> </w:t>
      </w:r>
      <w:r>
        <w:rPr/>
        <w:t>for</w:t>
      </w:r>
      <w:r>
        <w:rPr>
          <w:spacing w:val="-5"/>
        </w:rPr>
        <w:t> </w:t>
      </w:r>
      <w:r>
        <w:rPr/>
        <w:t>more</w:t>
      </w:r>
      <w:r>
        <w:rPr>
          <w:spacing w:val="-5"/>
        </w:rPr>
        <w:t> </w:t>
      </w:r>
      <w:r>
        <w:rPr/>
        <w:t>contact,</w:t>
      </w:r>
      <w:r>
        <w:rPr>
          <w:spacing w:val="-5"/>
        </w:rPr>
        <w:t> </w:t>
      </w:r>
      <w:r>
        <w:rPr/>
        <w:t>significantly</w:t>
      </w:r>
      <w:r>
        <w:rPr>
          <w:spacing w:val="-4"/>
        </w:rPr>
        <w:t> </w:t>
      </w:r>
      <w:r>
        <w:rPr/>
        <w:t>above</w:t>
      </w:r>
      <w:r>
        <w:rPr>
          <w:spacing w:val="-5"/>
        </w:rPr>
        <w:t> </w:t>
      </w:r>
      <w:r>
        <w:rPr/>
        <w:t>those</w:t>
      </w:r>
      <w:r>
        <w:rPr>
          <w:spacing w:val="-6"/>
        </w:rPr>
        <w:t> </w:t>
      </w:r>
      <w:r>
        <w:rPr/>
        <w:t>involved</w:t>
      </w:r>
      <w:r>
        <w:rPr>
          <w:spacing w:val="-4"/>
        </w:rPr>
        <w:t> </w:t>
      </w:r>
      <w:r>
        <w:rPr/>
        <w:t>in</w:t>
      </w:r>
      <w:r>
        <w:rPr>
          <w:spacing w:val="-4"/>
        </w:rPr>
        <w:t> </w:t>
      </w:r>
      <w:r>
        <w:rPr/>
        <w:t>fast track</w:t>
      </w:r>
      <w:r>
        <w:rPr>
          <w:spacing w:val="-8"/>
        </w:rPr>
        <w:t> </w:t>
      </w:r>
      <w:r>
        <w:rPr/>
        <w:t>cases</w:t>
      </w:r>
      <w:r>
        <w:rPr>
          <w:spacing w:val="-8"/>
        </w:rPr>
        <w:t> </w:t>
      </w:r>
      <w:r>
        <w:rPr/>
        <w:t>(15</w:t>
      </w:r>
      <w:r>
        <w:rPr>
          <w:spacing w:val="-7"/>
        </w:rPr>
        <w:t> </w:t>
      </w:r>
      <w:r>
        <w:rPr/>
        <w:t>per</w:t>
      </w:r>
      <w:r>
        <w:rPr>
          <w:spacing w:val="-8"/>
        </w:rPr>
        <w:t> </w:t>
      </w:r>
      <w:r>
        <w:rPr/>
        <w:t>cent).</w:t>
      </w:r>
      <w:r>
        <w:rPr>
          <w:spacing w:val="-9"/>
        </w:rPr>
        <w:t> </w:t>
      </w:r>
      <w:r>
        <w:rPr/>
        <w:t>However,</w:t>
      </w:r>
      <w:r>
        <w:rPr>
          <w:spacing w:val="-7"/>
        </w:rPr>
        <w:t> </w:t>
      </w:r>
      <w:r>
        <w:rPr/>
        <w:t>seven</w:t>
      </w:r>
      <w:r>
        <w:rPr>
          <w:spacing w:val="-8"/>
        </w:rPr>
        <w:t> </w:t>
      </w:r>
      <w:r>
        <w:rPr/>
        <w:t>in</w:t>
      </w:r>
      <w:r>
        <w:rPr>
          <w:spacing w:val="-8"/>
        </w:rPr>
        <w:t> </w:t>
      </w:r>
      <w:r>
        <w:rPr/>
        <w:t>ten</w:t>
      </w:r>
      <w:r>
        <w:rPr>
          <w:spacing w:val="-6"/>
        </w:rPr>
        <w:t> </w:t>
      </w:r>
      <w:r>
        <w:rPr/>
        <w:t>(71</w:t>
      </w:r>
      <w:r>
        <w:rPr>
          <w:spacing w:val="-8"/>
        </w:rPr>
        <w:t> </w:t>
      </w:r>
      <w:r>
        <w:rPr/>
        <w:t>per</w:t>
      </w:r>
      <w:r>
        <w:rPr>
          <w:spacing w:val="-7"/>
        </w:rPr>
        <w:t> </w:t>
      </w:r>
      <w:r>
        <w:rPr/>
        <w:t>cent)</w:t>
      </w:r>
      <w:r>
        <w:rPr>
          <w:spacing w:val="-8"/>
        </w:rPr>
        <w:t> </w:t>
      </w:r>
      <w:r>
        <w:rPr/>
        <w:t>of</w:t>
      </w:r>
      <w:r>
        <w:rPr>
          <w:spacing w:val="-8"/>
        </w:rPr>
        <w:t> </w:t>
      </w:r>
      <w:r>
        <w:rPr/>
        <w:t>the</w:t>
      </w:r>
      <w:r>
        <w:rPr>
          <w:spacing w:val="-8"/>
        </w:rPr>
        <w:t> </w:t>
      </w:r>
      <w:r>
        <w:rPr/>
        <w:t>former</w:t>
      </w:r>
      <w:r>
        <w:rPr>
          <w:spacing w:val="-7"/>
        </w:rPr>
        <w:t> </w:t>
      </w:r>
      <w:r>
        <w:rPr/>
        <w:t>group felt the level of contact had been about right. Participants who used multiple conciliators were also more likely to say they would have liked more contact (30 per cent among both claimant and employer sides). However, as with open track cases, most claimant and employer side participants who</w:t>
      </w:r>
      <w:r>
        <w:rPr>
          <w:spacing w:val="-1"/>
        </w:rPr>
        <w:t> </w:t>
      </w:r>
      <w:r>
        <w:rPr/>
        <w:t>use multiple conciliators (64</w:t>
      </w:r>
      <w:r>
        <w:rPr>
          <w:spacing w:val="-10"/>
        </w:rPr>
        <w:t> </w:t>
      </w:r>
      <w:r>
        <w:rPr/>
        <w:t>per</w:t>
      </w:r>
      <w:r>
        <w:rPr>
          <w:spacing w:val="-8"/>
        </w:rPr>
        <w:t> </w:t>
      </w:r>
      <w:r>
        <w:rPr/>
        <w:t>cent</w:t>
      </w:r>
      <w:r>
        <w:rPr>
          <w:spacing w:val="-8"/>
        </w:rPr>
        <w:t> </w:t>
      </w:r>
      <w:r>
        <w:rPr/>
        <w:t>and</w:t>
      </w:r>
      <w:r>
        <w:rPr>
          <w:spacing w:val="-9"/>
        </w:rPr>
        <w:t> </w:t>
      </w:r>
      <w:r>
        <w:rPr/>
        <w:t>66</w:t>
      </w:r>
      <w:r>
        <w:rPr>
          <w:spacing w:val="-8"/>
        </w:rPr>
        <w:t> </w:t>
      </w:r>
      <w:r>
        <w:rPr/>
        <w:t>per</w:t>
      </w:r>
      <w:r>
        <w:rPr>
          <w:spacing w:val="-10"/>
        </w:rPr>
        <w:t> </w:t>
      </w:r>
      <w:r>
        <w:rPr/>
        <w:t>cent)</w:t>
      </w:r>
      <w:r>
        <w:rPr>
          <w:spacing w:val="-9"/>
        </w:rPr>
        <w:t> </w:t>
      </w:r>
      <w:r>
        <w:rPr/>
        <w:t>said</w:t>
      </w:r>
      <w:r>
        <w:rPr>
          <w:spacing w:val="-7"/>
        </w:rPr>
        <w:t> </w:t>
      </w:r>
      <w:r>
        <w:rPr/>
        <w:t>the</w:t>
      </w:r>
      <w:r>
        <w:rPr>
          <w:spacing w:val="-9"/>
        </w:rPr>
        <w:t> </w:t>
      </w:r>
      <w:r>
        <w:rPr/>
        <w:t>amount</w:t>
      </w:r>
      <w:r>
        <w:rPr>
          <w:spacing w:val="-9"/>
        </w:rPr>
        <w:t> </w:t>
      </w:r>
      <w:r>
        <w:rPr/>
        <w:t>of</w:t>
      </w:r>
      <w:r>
        <w:rPr>
          <w:spacing w:val="-8"/>
        </w:rPr>
        <w:t> </w:t>
      </w:r>
      <w:r>
        <w:rPr/>
        <w:t>contact</w:t>
      </w:r>
      <w:r>
        <w:rPr>
          <w:spacing w:val="-8"/>
        </w:rPr>
        <w:t> </w:t>
      </w:r>
      <w:r>
        <w:rPr/>
        <w:t>received</w:t>
      </w:r>
      <w:r>
        <w:rPr>
          <w:spacing w:val="-8"/>
        </w:rPr>
        <w:t> </w:t>
      </w:r>
      <w:r>
        <w:rPr/>
        <w:t>was</w:t>
      </w:r>
      <w:r>
        <w:rPr>
          <w:spacing w:val="-8"/>
        </w:rPr>
        <w:t> </w:t>
      </w:r>
      <w:r>
        <w:rPr/>
        <w:t>about</w:t>
      </w:r>
      <w:r>
        <w:rPr>
          <w:spacing w:val="-8"/>
        </w:rPr>
        <w:t> </w:t>
      </w:r>
      <w:r>
        <w:rPr>
          <w:spacing w:val="-2"/>
        </w:rPr>
        <w:t>right.</w:t>
      </w:r>
    </w:p>
    <w:p>
      <w:pPr>
        <w:pStyle w:val="BodyText"/>
      </w:pPr>
    </w:p>
    <w:p>
      <w:pPr>
        <w:pStyle w:val="BodyText"/>
        <w:spacing w:before="1"/>
        <w:ind w:left="1337" w:right="1474"/>
        <w:jc w:val="both"/>
      </w:pPr>
      <w:r>
        <w:rPr/>
        <w:t>Claimants were significantly more likely to want more contact than claimant representatives, employers, or employer representatives (24 per cent, compared with 12</w:t>
      </w:r>
      <w:r>
        <w:rPr>
          <w:spacing w:val="-2"/>
        </w:rPr>
        <w:t> </w:t>
      </w:r>
      <w:r>
        <w:rPr/>
        <w:t>per</w:t>
      </w:r>
      <w:r>
        <w:rPr>
          <w:spacing w:val="-2"/>
        </w:rPr>
        <w:t> </w:t>
      </w:r>
      <w:r>
        <w:rPr/>
        <w:t>cent,</w:t>
      </w:r>
      <w:r>
        <w:rPr>
          <w:spacing w:val="-2"/>
        </w:rPr>
        <w:t> </w:t>
      </w:r>
      <w:r>
        <w:rPr/>
        <w:t>16</w:t>
      </w:r>
      <w:r>
        <w:rPr>
          <w:spacing w:val="-1"/>
        </w:rPr>
        <w:t> </w:t>
      </w:r>
      <w:r>
        <w:rPr/>
        <w:t>percent and</w:t>
      </w:r>
      <w:r>
        <w:rPr>
          <w:spacing w:val="-1"/>
        </w:rPr>
        <w:t> </w:t>
      </w:r>
      <w:r>
        <w:rPr/>
        <w:t>13</w:t>
      </w:r>
      <w:r>
        <w:rPr>
          <w:spacing w:val="-1"/>
        </w:rPr>
        <w:t> </w:t>
      </w:r>
      <w:r>
        <w:rPr/>
        <w:t>per</w:t>
      </w:r>
      <w:r>
        <w:rPr>
          <w:spacing w:val="-1"/>
        </w:rPr>
        <w:t> </w:t>
      </w:r>
      <w:r>
        <w:rPr/>
        <w:t>cent respectively). Among</w:t>
      </w:r>
      <w:r>
        <w:rPr>
          <w:spacing w:val="-2"/>
        </w:rPr>
        <w:t> </w:t>
      </w:r>
      <w:r>
        <w:rPr/>
        <w:t>both</w:t>
      </w:r>
      <w:r>
        <w:rPr>
          <w:spacing w:val="-1"/>
        </w:rPr>
        <w:t> </w:t>
      </w:r>
      <w:r>
        <w:rPr/>
        <w:t>claimant- and employer-side participants, those who reached a settlement were more satisfied with the level of contact than those who did not.</w:t>
      </w:r>
    </w:p>
    <w:p>
      <w:pPr>
        <w:pStyle w:val="BodyText"/>
        <w:rPr>
          <w:sz w:val="24"/>
        </w:rPr>
      </w:pPr>
    </w:p>
    <w:p>
      <w:pPr>
        <w:pStyle w:val="Heading3"/>
        <w:numPr>
          <w:ilvl w:val="1"/>
          <w:numId w:val="2"/>
        </w:numPr>
        <w:tabs>
          <w:tab w:pos="1974" w:val="left" w:leader="none"/>
        </w:tabs>
        <w:spacing w:line="240" w:lineRule="auto" w:before="195" w:after="0"/>
        <w:ind w:left="1973" w:right="0" w:hanging="637"/>
        <w:jc w:val="both"/>
      </w:pPr>
      <w:bookmarkStart w:name="9.2  Perceptions of the conciliator" w:id="79"/>
      <w:bookmarkEnd w:id="79"/>
      <w:r>
        <w:rPr>
          <w:b w:val="0"/>
        </w:rPr>
      </w:r>
      <w:bookmarkStart w:name="_bookmark19" w:id="80"/>
      <w:bookmarkEnd w:id="80"/>
      <w:r>
        <w:rPr/>
        <w:t>P</w:t>
      </w:r>
      <w:r>
        <w:rPr/>
        <w:t>erceptions</w:t>
      </w:r>
      <w:r>
        <w:rPr>
          <w:spacing w:val="-5"/>
        </w:rPr>
        <w:t> </w:t>
      </w:r>
      <w:r>
        <w:rPr/>
        <w:t>of</w:t>
      </w:r>
      <w:r>
        <w:rPr>
          <w:spacing w:val="-4"/>
        </w:rPr>
        <w:t> </w:t>
      </w:r>
      <w:r>
        <w:rPr/>
        <w:t>the</w:t>
      </w:r>
      <w:r>
        <w:rPr>
          <w:spacing w:val="-3"/>
        </w:rPr>
        <w:t> </w:t>
      </w:r>
      <w:r>
        <w:rPr>
          <w:spacing w:val="-2"/>
        </w:rPr>
        <w:t>conciliator</w:t>
      </w:r>
    </w:p>
    <w:p>
      <w:pPr>
        <w:pStyle w:val="BodyText"/>
        <w:spacing w:before="119"/>
        <w:ind w:left="1337" w:right="1473"/>
        <w:jc w:val="both"/>
      </w:pPr>
      <w:r>
        <w:rPr/>
        <w:t>Claimants,</w:t>
      </w:r>
      <w:r>
        <w:rPr>
          <w:spacing w:val="-5"/>
        </w:rPr>
        <w:t> </w:t>
      </w:r>
      <w:r>
        <w:rPr/>
        <w:t>employers</w:t>
      </w:r>
      <w:r>
        <w:rPr>
          <w:spacing w:val="-4"/>
        </w:rPr>
        <w:t> </w:t>
      </w:r>
      <w:r>
        <w:rPr/>
        <w:t>and</w:t>
      </w:r>
      <w:r>
        <w:rPr>
          <w:spacing w:val="-4"/>
        </w:rPr>
        <w:t> </w:t>
      </w:r>
      <w:r>
        <w:rPr/>
        <w:t>their</w:t>
      </w:r>
      <w:r>
        <w:rPr>
          <w:spacing w:val="-5"/>
        </w:rPr>
        <w:t> </w:t>
      </w:r>
      <w:r>
        <w:rPr/>
        <w:t>representatives</w:t>
      </w:r>
      <w:r>
        <w:rPr>
          <w:spacing w:val="-4"/>
        </w:rPr>
        <w:t> </w:t>
      </w:r>
      <w:r>
        <w:rPr/>
        <w:t>who</w:t>
      </w:r>
      <w:r>
        <w:rPr>
          <w:spacing w:val="-5"/>
        </w:rPr>
        <w:t> </w:t>
      </w:r>
      <w:r>
        <w:rPr/>
        <w:t>took</w:t>
      </w:r>
      <w:r>
        <w:rPr>
          <w:spacing w:val="-5"/>
        </w:rPr>
        <w:t> </w:t>
      </w:r>
      <w:r>
        <w:rPr/>
        <w:t>part</w:t>
      </w:r>
      <w:r>
        <w:rPr>
          <w:spacing w:val="-4"/>
        </w:rPr>
        <w:t> </w:t>
      </w:r>
      <w:r>
        <w:rPr/>
        <w:t>in</w:t>
      </w:r>
      <w:r>
        <w:rPr>
          <w:spacing w:val="-5"/>
        </w:rPr>
        <w:t> </w:t>
      </w:r>
      <w:r>
        <w:rPr/>
        <w:t>EC</w:t>
      </w:r>
      <w:r>
        <w:rPr>
          <w:spacing w:val="-5"/>
        </w:rPr>
        <w:t> </w:t>
      </w:r>
      <w:r>
        <w:rPr/>
        <w:t>were</w:t>
      </w:r>
      <w:r>
        <w:rPr>
          <w:spacing w:val="-5"/>
        </w:rPr>
        <w:t> </w:t>
      </w:r>
      <w:r>
        <w:rPr/>
        <w:t>asked</w:t>
      </w:r>
      <w:r>
        <w:rPr>
          <w:spacing w:val="-5"/>
        </w:rPr>
        <w:t> </w:t>
      </w:r>
      <w:r>
        <w:rPr/>
        <w:t>to rate the quality of their conciliator across a range of performance attributes. As seen in Figure 7 below, ratings were largely positive, with most claimant-side participants</w:t>
      </w:r>
      <w:r>
        <w:rPr>
          <w:spacing w:val="-6"/>
        </w:rPr>
        <w:t> </w:t>
      </w:r>
      <w:r>
        <w:rPr/>
        <w:t>rating</w:t>
      </w:r>
      <w:r>
        <w:rPr>
          <w:spacing w:val="-6"/>
        </w:rPr>
        <w:t> </w:t>
      </w:r>
      <w:r>
        <w:rPr/>
        <w:t>Acas</w:t>
      </w:r>
      <w:r>
        <w:rPr>
          <w:spacing w:val="-6"/>
        </w:rPr>
        <w:t> </w:t>
      </w:r>
      <w:r>
        <w:rPr/>
        <w:t>as</w:t>
      </w:r>
      <w:r>
        <w:rPr>
          <w:spacing w:val="-6"/>
        </w:rPr>
        <w:t> </w:t>
      </w:r>
      <w:r>
        <w:rPr/>
        <w:t>good</w:t>
      </w:r>
      <w:r>
        <w:rPr>
          <w:spacing w:val="-6"/>
        </w:rPr>
        <w:t> </w:t>
      </w:r>
      <w:r>
        <w:rPr/>
        <w:t>across</w:t>
      </w:r>
      <w:r>
        <w:rPr>
          <w:spacing w:val="-6"/>
        </w:rPr>
        <w:t> </w:t>
      </w:r>
      <w:r>
        <w:rPr/>
        <w:t>all</w:t>
      </w:r>
      <w:r>
        <w:rPr>
          <w:spacing w:val="-7"/>
        </w:rPr>
        <w:t> </w:t>
      </w:r>
      <w:r>
        <w:rPr/>
        <w:t>metrics.</w:t>
      </w:r>
      <w:r>
        <w:rPr>
          <w:spacing w:val="-5"/>
        </w:rPr>
        <w:t> </w:t>
      </w:r>
      <w:r>
        <w:rPr/>
        <w:t>On</w:t>
      </w:r>
      <w:r>
        <w:rPr>
          <w:spacing w:val="-5"/>
        </w:rPr>
        <w:t> </w:t>
      </w:r>
      <w:r>
        <w:rPr/>
        <w:t>the</w:t>
      </w:r>
      <w:r>
        <w:rPr>
          <w:spacing w:val="-6"/>
        </w:rPr>
        <w:t> </w:t>
      </w:r>
      <w:r>
        <w:rPr/>
        <w:t>employer-side</w:t>
      </w:r>
      <w:r>
        <w:rPr>
          <w:spacing w:val="-6"/>
        </w:rPr>
        <w:t> </w:t>
      </w:r>
      <w:r>
        <w:rPr/>
        <w:t>less</w:t>
      </w:r>
      <w:r>
        <w:rPr>
          <w:spacing w:val="-6"/>
        </w:rPr>
        <w:t> </w:t>
      </w:r>
      <w:r>
        <w:rPr/>
        <w:t>than half of participants rated their conciliators’ performance as good for some traits. However, for all attributes participants were more likely to rate the conciliator as good than poor.</w:t>
      </w:r>
    </w:p>
    <w:p>
      <w:pPr>
        <w:pStyle w:val="BodyText"/>
        <w:rPr>
          <w:sz w:val="24"/>
        </w:rPr>
      </w:pPr>
    </w:p>
    <w:p>
      <w:pPr>
        <w:pStyle w:val="Heading3"/>
        <w:spacing w:before="195"/>
      </w:pPr>
      <w:r>
        <w:rPr/>
        <w:drawing>
          <wp:anchor distT="0" distB="0" distL="0" distR="0" allowOverlap="1" layoutInCell="1" locked="0" behindDoc="0" simplePos="0" relativeHeight="23">
            <wp:simplePos x="0" y="0"/>
            <wp:positionH relativeFrom="page">
              <wp:posOffset>1191741</wp:posOffset>
            </wp:positionH>
            <wp:positionV relativeFrom="paragraph">
              <wp:posOffset>297127</wp:posOffset>
            </wp:positionV>
            <wp:extent cx="5184986" cy="3851814"/>
            <wp:effectExtent l="0" t="0" r="0" b="0"/>
            <wp:wrapTopAndBottom/>
            <wp:docPr id="27" name="image14.png" descr="Table showing ratings of the conciliator "/>
            <wp:cNvGraphicFramePr>
              <a:graphicFrameLocks noChangeAspect="1"/>
            </wp:cNvGraphicFramePr>
            <a:graphic>
              <a:graphicData uri="http://schemas.openxmlformats.org/drawingml/2006/picture">
                <pic:pic>
                  <pic:nvPicPr>
                    <pic:cNvPr id="28" name="image14.png"/>
                    <pic:cNvPicPr/>
                  </pic:nvPicPr>
                  <pic:blipFill>
                    <a:blip r:embed="rId26" cstate="print"/>
                    <a:stretch>
                      <a:fillRect/>
                    </a:stretch>
                  </pic:blipFill>
                  <pic:spPr>
                    <a:xfrm>
                      <a:off x="0" y="0"/>
                      <a:ext cx="5184986" cy="3851814"/>
                    </a:xfrm>
                    <a:prstGeom prst="rect">
                      <a:avLst/>
                    </a:prstGeom>
                  </pic:spPr>
                </pic:pic>
              </a:graphicData>
            </a:graphic>
          </wp:anchor>
        </w:drawing>
      </w:r>
      <w:r>
        <w:rPr/>
        <w:t>Figure</w:t>
      </w:r>
      <w:r>
        <w:rPr>
          <w:spacing w:val="-5"/>
        </w:rPr>
        <w:t> </w:t>
      </w:r>
      <w:r>
        <w:rPr/>
        <w:t>7.</w:t>
      </w:r>
      <w:r>
        <w:rPr>
          <w:spacing w:val="-3"/>
        </w:rPr>
        <w:t> </w:t>
      </w:r>
      <w:r>
        <w:rPr/>
        <w:t>Ratings</w:t>
      </w:r>
      <w:r>
        <w:rPr>
          <w:spacing w:val="-4"/>
        </w:rPr>
        <w:t> </w:t>
      </w:r>
      <w:r>
        <w:rPr/>
        <w:t>of</w:t>
      </w:r>
      <w:r>
        <w:rPr>
          <w:spacing w:val="-2"/>
        </w:rPr>
        <w:t> </w:t>
      </w:r>
      <w:r>
        <w:rPr/>
        <w:t>the</w:t>
      </w:r>
      <w:r>
        <w:rPr>
          <w:spacing w:val="-2"/>
        </w:rPr>
        <w:t> conciliator</w:t>
      </w:r>
    </w:p>
    <w:p>
      <w:pPr>
        <w:spacing w:after="0"/>
        <w:sectPr>
          <w:pgSz w:w="11910" w:h="16840"/>
          <w:pgMar w:header="0" w:footer="996" w:top="1340" w:bottom="1180" w:left="460" w:right="320"/>
        </w:sectPr>
      </w:pPr>
    </w:p>
    <w:p>
      <w:pPr>
        <w:pStyle w:val="BodyText"/>
        <w:spacing w:before="84"/>
        <w:ind w:left="1337" w:right="1472"/>
        <w:jc w:val="both"/>
      </w:pPr>
      <w:r>
        <w:rPr/>
        <w:t>Across all audiences, conciliators were most highly rated for their explanation of the</w:t>
      </w:r>
      <w:r>
        <w:rPr>
          <w:spacing w:val="-4"/>
        </w:rPr>
        <w:t> </w:t>
      </w:r>
      <w:r>
        <w:rPr/>
        <w:t>conciliation</w:t>
      </w:r>
      <w:r>
        <w:rPr>
          <w:spacing w:val="-3"/>
        </w:rPr>
        <w:t> </w:t>
      </w:r>
      <w:r>
        <w:rPr/>
        <w:t>process</w:t>
      </w:r>
      <w:r>
        <w:rPr>
          <w:spacing w:val="-4"/>
        </w:rPr>
        <w:t> </w:t>
      </w:r>
      <w:r>
        <w:rPr/>
        <w:t>and</w:t>
      </w:r>
      <w:r>
        <w:rPr>
          <w:spacing w:val="-3"/>
        </w:rPr>
        <w:t> </w:t>
      </w:r>
      <w:r>
        <w:rPr/>
        <w:t>joint-lowest</w:t>
      </w:r>
      <w:r>
        <w:rPr>
          <w:spacing w:val="-4"/>
        </w:rPr>
        <w:t> </w:t>
      </w:r>
      <w:r>
        <w:rPr/>
        <w:t>for</w:t>
      </w:r>
      <w:r>
        <w:rPr>
          <w:spacing w:val="-5"/>
        </w:rPr>
        <w:t> </w:t>
      </w:r>
      <w:r>
        <w:rPr/>
        <w:t>helping</w:t>
      </w:r>
      <w:r>
        <w:rPr>
          <w:spacing w:val="-3"/>
        </w:rPr>
        <w:t> </w:t>
      </w:r>
      <w:r>
        <w:rPr/>
        <w:t>participants</w:t>
      </w:r>
      <w:r>
        <w:rPr>
          <w:spacing w:val="-4"/>
        </w:rPr>
        <w:t> </w:t>
      </w:r>
      <w:r>
        <w:rPr/>
        <w:t>to</w:t>
      </w:r>
      <w:r>
        <w:rPr>
          <w:spacing w:val="-5"/>
        </w:rPr>
        <w:t> </w:t>
      </w:r>
      <w:r>
        <w:rPr/>
        <w:t>understand</w:t>
      </w:r>
      <w:r>
        <w:rPr>
          <w:spacing w:val="-4"/>
        </w:rPr>
        <w:t> </w:t>
      </w:r>
      <w:r>
        <w:rPr/>
        <w:t>the strengths and</w:t>
      </w:r>
      <w:r>
        <w:rPr>
          <w:spacing w:val="-1"/>
        </w:rPr>
        <w:t> </w:t>
      </w:r>
      <w:r>
        <w:rPr/>
        <w:t>weaknesses of the potential claim and outlining employment law as it</w:t>
      </w:r>
      <w:r>
        <w:rPr>
          <w:spacing w:val="-11"/>
        </w:rPr>
        <w:t> </w:t>
      </w:r>
      <w:r>
        <w:rPr/>
        <w:t>applied</w:t>
      </w:r>
      <w:r>
        <w:rPr>
          <w:spacing w:val="-12"/>
        </w:rPr>
        <w:t> </w:t>
      </w:r>
      <w:r>
        <w:rPr/>
        <w:t>to</w:t>
      </w:r>
      <w:r>
        <w:rPr>
          <w:spacing w:val="-11"/>
        </w:rPr>
        <w:t> </w:t>
      </w:r>
      <w:r>
        <w:rPr/>
        <w:t>their</w:t>
      </w:r>
      <w:r>
        <w:rPr>
          <w:spacing w:val="-12"/>
        </w:rPr>
        <w:t> </w:t>
      </w:r>
      <w:r>
        <w:rPr/>
        <w:t>problem.</w:t>
      </w:r>
      <w:r>
        <w:rPr>
          <w:spacing w:val="-11"/>
        </w:rPr>
        <w:t> </w:t>
      </w:r>
      <w:r>
        <w:rPr/>
        <w:t>The</w:t>
      </w:r>
      <w:r>
        <w:rPr>
          <w:spacing w:val="-12"/>
        </w:rPr>
        <w:t> </w:t>
      </w:r>
      <w:r>
        <w:rPr/>
        <w:t>biggest</w:t>
      </w:r>
      <w:r>
        <w:rPr>
          <w:spacing w:val="-11"/>
        </w:rPr>
        <w:t> </w:t>
      </w:r>
      <w:r>
        <w:rPr/>
        <w:t>change</w:t>
      </w:r>
      <w:r>
        <w:rPr>
          <w:spacing w:val="-12"/>
        </w:rPr>
        <w:t> </w:t>
      </w:r>
      <w:r>
        <w:rPr/>
        <w:t>since</w:t>
      </w:r>
      <w:r>
        <w:rPr>
          <w:spacing w:val="-13"/>
        </w:rPr>
        <w:t> </w:t>
      </w:r>
      <w:r>
        <w:rPr/>
        <w:t>2015</w:t>
      </w:r>
      <w:r>
        <w:rPr>
          <w:spacing w:val="-12"/>
        </w:rPr>
        <w:t> </w:t>
      </w:r>
      <w:r>
        <w:rPr/>
        <w:t>has</w:t>
      </w:r>
      <w:r>
        <w:rPr>
          <w:spacing w:val="-12"/>
        </w:rPr>
        <w:t> </w:t>
      </w:r>
      <w:r>
        <w:rPr/>
        <w:t>been</w:t>
      </w:r>
      <w:r>
        <w:rPr>
          <w:spacing w:val="-11"/>
        </w:rPr>
        <w:t> </w:t>
      </w:r>
      <w:r>
        <w:rPr/>
        <w:t>a</w:t>
      </w:r>
      <w:r>
        <w:rPr>
          <w:spacing w:val="-12"/>
        </w:rPr>
        <w:t> </w:t>
      </w:r>
      <w:r>
        <w:rPr/>
        <w:t>fall</w:t>
      </w:r>
      <w:r>
        <w:rPr>
          <w:spacing w:val="-13"/>
        </w:rPr>
        <w:t> </w:t>
      </w:r>
      <w:r>
        <w:rPr/>
        <w:t>in</w:t>
      </w:r>
      <w:r>
        <w:rPr>
          <w:spacing w:val="-11"/>
        </w:rPr>
        <w:t> </w:t>
      </w:r>
      <w:r>
        <w:rPr/>
        <w:t>ratings of the conciliator on the latter, with the proportion rating the conciliator as good down 15 points among</w:t>
      </w:r>
      <w:r>
        <w:rPr>
          <w:spacing w:val="-1"/>
        </w:rPr>
        <w:t> </w:t>
      </w:r>
      <w:r>
        <w:rPr/>
        <w:t>claimant-side participants and 16</w:t>
      </w:r>
      <w:r>
        <w:rPr>
          <w:spacing w:val="-1"/>
        </w:rPr>
        <w:t> </w:t>
      </w:r>
      <w:r>
        <w:rPr/>
        <w:t>points among employer- side participants. However, there has not been a significant increase in the proportion</w:t>
      </w:r>
      <w:r>
        <w:rPr>
          <w:spacing w:val="-6"/>
        </w:rPr>
        <w:t> </w:t>
      </w:r>
      <w:r>
        <w:rPr/>
        <w:t>rating</w:t>
      </w:r>
      <w:r>
        <w:rPr>
          <w:spacing w:val="-6"/>
        </w:rPr>
        <w:t> </w:t>
      </w:r>
      <w:r>
        <w:rPr/>
        <w:t>conciliators</w:t>
      </w:r>
      <w:r>
        <w:rPr>
          <w:spacing w:val="-6"/>
        </w:rPr>
        <w:t> </w:t>
      </w:r>
      <w:r>
        <w:rPr/>
        <w:t>as</w:t>
      </w:r>
      <w:r>
        <w:rPr>
          <w:spacing w:val="-6"/>
        </w:rPr>
        <w:t> </w:t>
      </w:r>
      <w:r>
        <w:rPr/>
        <w:t>‘poor’</w:t>
      </w:r>
      <w:r>
        <w:rPr>
          <w:spacing w:val="-6"/>
        </w:rPr>
        <w:t> </w:t>
      </w:r>
      <w:r>
        <w:rPr/>
        <w:t>in</w:t>
      </w:r>
      <w:r>
        <w:rPr>
          <w:spacing w:val="-6"/>
        </w:rPr>
        <w:t> </w:t>
      </w:r>
      <w:r>
        <w:rPr/>
        <w:t>this</w:t>
      </w:r>
      <w:r>
        <w:rPr>
          <w:spacing w:val="-6"/>
        </w:rPr>
        <w:t> </w:t>
      </w:r>
      <w:r>
        <w:rPr/>
        <w:t>area,</w:t>
      </w:r>
      <w:r>
        <w:rPr>
          <w:spacing w:val="-6"/>
        </w:rPr>
        <w:t> </w:t>
      </w:r>
      <w:r>
        <w:rPr/>
        <w:t>suggesting</w:t>
      </w:r>
      <w:r>
        <w:rPr>
          <w:spacing w:val="-6"/>
        </w:rPr>
        <w:t> </w:t>
      </w:r>
      <w:r>
        <w:rPr/>
        <w:t>that</w:t>
      </w:r>
      <w:r>
        <w:rPr>
          <w:spacing w:val="-7"/>
        </w:rPr>
        <w:t> </w:t>
      </w:r>
      <w:r>
        <w:rPr/>
        <w:t>recent</w:t>
      </w:r>
      <w:r>
        <w:rPr>
          <w:spacing w:val="-6"/>
        </w:rPr>
        <w:t> </w:t>
      </w:r>
      <w:r>
        <w:rPr/>
        <w:t>changes in employment law around this area may be a cause. In terms of the audiences driving these scores, both claimant and employer reps and</w:t>
      </w:r>
      <w:r>
        <w:rPr>
          <w:spacing w:val="-1"/>
        </w:rPr>
        <w:t> </w:t>
      </w:r>
      <w:r>
        <w:rPr/>
        <w:t>those involved in open track cases tend to give less positive scores in this area, as do employer-side participants in smaller organisations.</w:t>
      </w:r>
    </w:p>
    <w:p>
      <w:pPr>
        <w:pStyle w:val="BodyText"/>
        <w:spacing w:before="1"/>
      </w:pPr>
    </w:p>
    <w:p>
      <w:pPr>
        <w:pStyle w:val="BodyText"/>
        <w:ind w:left="1337" w:right="1472"/>
        <w:jc w:val="both"/>
      </w:pPr>
      <w:r>
        <w:rPr/>
        <w:t>As noted above, employer-side participants were less likely to rate the conciliator as ‘good’ than claimant-side participants for all but one attribute. This is comparable with 2015 and largely driven by a greater proportion of this group reporting that the conciliator ‘did not do this’ for individual attributes rather than indicating that the conciliator performance was ‘poor’.</w:t>
      </w:r>
    </w:p>
    <w:p>
      <w:pPr>
        <w:pStyle w:val="BodyText"/>
        <w:spacing w:before="1"/>
      </w:pPr>
    </w:p>
    <w:p>
      <w:pPr>
        <w:pStyle w:val="BodyText"/>
        <w:ind w:left="1337" w:right="1471"/>
        <w:jc w:val="both"/>
      </w:pPr>
      <w:r>
        <w:rPr/>
        <w:t>For</w:t>
      </w:r>
      <w:r>
        <w:rPr>
          <w:spacing w:val="-9"/>
        </w:rPr>
        <w:t> </w:t>
      </w:r>
      <w:r>
        <w:rPr/>
        <w:t>both</w:t>
      </w:r>
      <w:r>
        <w:rPr>
          <w:spacing w:val="-10"/>
        </w:rPr>
        <w:t> </w:t>
      </w:r>
      <w:r>
        <w:rPr/>
        <w:t>claimant-</w:t>
      </w:r>
      <w:r>
        <w:rPr>
          <w:spacing w:val="-9"/>
        </w:rPr>
        <w:t> </w:t>
      </w:r>
      <w:r>
        <w:rPr/>
        <w:t>and</w:t>
      </w:r>
      <w:r>
        <w:rPr>
          <w:spacing w:val="-11"/>
        </w:rPr>
        <w:t> </w:t>
      </w:r>
      <w:r>
        <w:rPr/>
        <w:t>employer-side</w:t>
      </w:r>
      <w:r>
        <w:rPr>
          <w:spacing w:val="-10"/>
        </w:rPr>
        <w:t> </w:t>
      </w:r>
      <w:r>
        <w:rPr/>
        <w:t>audiences,</w:t>
      </w:r>
      <w:r>
        <w:rPr>
          <w:spacing w:val="-9"/>
        </w:rPr>
        <w:t> </w:t>
      </w:r>
      <w:r>
        <w:rPr/>
        <w:t>representatives</w:t>
      </w:r>
      <w:r>
        <w:rPr>
          <w:spacing w:val="-9"/>
        </w:rPr>
        <w:t> </w:t>
      </w:r>
      <w:r>
        <w:rPr/>
        <w:t>tended</w:t>
      </w:r>
      <w:r>
        <w:rPr>
          <w:spacing w:val="-9"/>
        </w:rPr>
        <w:t> </w:t>
      </w:r>
      <w:r>
        <w:rPr/>
        <w:t>to</w:t>
      </w:r>
      <w:r>
        <w:rPr>
          <w:spacing w:val="-9"/>
        </w:rPr>
        <w:t> </w:t>
      </w:r>
      <w:r>
        <w:rPr/>
        <w:t>be</w:t>
      </w:r>
      <w:r>
        <w:rPr>
          <w:spacing w:val="-11"/>
        </w:rPr>
        <w:t> </w:t>
      </w:r>
      <w:r>
        <w:rPr/>
        <w:t>less likely than unrepresented claimants and employers to rate their conciliator as ‘good’.</w:t>
      </w:r>
      <w:hyperlink w:history="true" w:anchor="_bookmark81">
        <w:r>
          <w:rPr>
            <w:position w:val="7"/>
            <w:sz w:val="13"/>
          </w:rPr>
          <w:t>15</w:t>
        </w:r>
      </w:hyperlink>
      <w:r>
        <w:rPr>
          <w:spacing w:val="40"/>
          <w:position w:val="7"/>
          <w:sz w:val="13"/>
        </w:rPr>
        <w:t> </w:t>
      </w:r>
      <w:r>
        <w:rPr/>
        <w:t>There was one notable exception to this rule. For both audiences, representatives</w:t>
      </w:r>
      <w:r>
        <w:rPr>
          <w:spacing w:val="-3"/>
        </w:rPr>
        <w:t> </w:t>
      </w:r>
      <w:r>
        <w:rPr/>
        <w:t>were</w:t>
      </w:r>
      <w:r>
        <w:rPr>
          <w:spacing w:val="-4"/>
        </w:rPr>
        <w:t> </w:t>
      </w:r>
      <w:r>
        <w:rPr/>
        <w:t>more</w:t>
      </w:r>
      <w:r>
        <w:rPr>
          <w:spacing w:val="-4"/>
        </w:rPr>
        <w:t> </w:t>
      </w:r>
      <w:r>
        <w:rPr/>
        <w:t>likely</w:t>
      </w:r>
      <w:r>
        <w:rPr>
          <w:spacing w:val="-3"/>
        </w:rPr>
        <w:t> </w:t>
      </w:r>
      <w:r>
        <w:rPr/>
        <w:t>to</w:t>
      </w:r>
      <w:r>
        <w:rPr>
          <w:spacing w:val="-4"/>
        </w:rPr>
        <w:t> </w:t>
      </w:r>
      <w:r>
        <w:rPr/>
        <w:t>rate</w:t>
      </w:r>
      <w:r>
        <w:rPr>
          <w:spacing w:val="-4"/>
        </w:rPr>
        <w:t> </w:t>
      </w:r>
      <w:r>
        <w:rPr/>
        <w:t>the</w:t>
      </w:r>
      <w:r>
        <w:rPr>
          <w:spacing w:val="-5"/>
        </w:rPr>
        <w:t> </w:t>
      </w:r>
      <w:r>
        <w:rPr/>
        <w:t>conciliator</w:t>
      </w:r>
      <w:r>
        <w:rPr>
          <w:spacing w:val="-4"/>
        </w:rPr>
        <w:t> </w:t>
      </w:r>
      <w:r>
        <w:rPr/>
        <w:t>as</w:t>
      </w:r>
      <w:r>
        <w:rPr>
          <w:spacing w:val="-3"/>
        </w:rPr>
        <w:t> </w:t>
      </w:r>
      <w:r>
        <w:rPr/>
        <w:t>‘good’</w:t>
      </w:r>
      <w:r>
        <w:rPr>
          <w:spacing w:val="-3"/>
        </w:rPr>
        <w:t> </w:t>
      </w:r>
      <w:r>
        <w:rPr/>
        <w:t>than</w:t>
      </w:r>
      <w:r>
        <w:rPr>
          <w:spacing w:val="-4"/>
        </w:rPr>
        <w:t> </w:t>
      </w:r>
      <w:r>
        <w:rPr/>
        <w:t>claimants</w:t>
      </w:r>
      <w:r>
        <w:rPr>
          <w:spacing w:val="-3"/>
        </w:rPr>
        <w:t> </w:t>
      </w:r>
      <w:r>
        <w:rPr/>
        <w:t>or employers</w:t>
      </w:r>
      <w:r>
        <w:rPr>
          <w:spacing w:val="-6"/>
        </w:rPr>
        <w:t> </w:t>
      </w:r>
      <w:r>
        <w:rPr/>
        <w:t>for</w:t>
      </w:r>
      <w:r>
        <w:rPr>
          <w:spacing w:val="-6"/>
        </w:rPr>
        <w:t> </w:t>
      </w:r>
      <w:r>
        <w:rPr/>
        <w:t>‘relaying</w:t>
      </w:r>
      <w:r>
        <w:rPr>
          <w:spacing w:val="-7"/>
        </w:rPr>
        <w:t> </w:t>
      </w:r>
      <w:r>
        <w:rPr/>
        <w:t>proposals</w:t>
      </w:r>
      <w:r>
        <w:rPr>
          <w:spacing w:val="-6"/>
        </w:rPr>
        <w:t> </w:t>
      </w:r>
      <w:r>
        <w:rPr/>
        <w:t>/</w:t>
      </w:r>
      <w:r>
        <w:rPr>
          <w:spacing w:val="-7"/>
        </w:rPr>
        <w:t> </w:t>
      </w:r>
      <w:r>
        <w:rPr/>
        <w:t>offers</w:t>
      </w:r>
      <w:r>
        <w:rPr>
          <w:spacing w:val="-7"/>
        </w:rPr>
        <w:t> </w:t>
      </w:r>
      <w:r>
        <w:rPr/>
        <w:t>to</w:t>
      </w:r>
      <w:r>
        <w:rPr>
          <w:spacing w:val="-6"/>
        </w:rPr>
        <w:t> </w:t>
      </w:r>
      <w:r>
        <w:rPr/>
        <w:t>and</w:t>
      </w:r>
      <w:r>
        <w:rPr>
          <w:spacing w:val="-6"/>
        </w:rPr>
        <w:t> </w:t>
      </w:r>
      <w:r>
        <w:rPr/>
        <w:t>from</w:t>
      </w:r>
      <w:r>
        <w:rPr>
          <w:spacing w:val="-7"/>
        </w:rPr>
        <w:t> </w:t>
      </w:r>
      <w:r>
        <w:rPr/>
        <w:t>employer</w:t>
      </w:r>
      <w:r>
        <w:rPr>
          <w:spacing w:val="-6"/>
        </w:rPr>
        <w:t> </w:t>
      </w:r>
      <w:r>
        <w:rPr/>
        <w:t>/</w:t>
      </w:r>
      <w:r>
        <w:rPr>
          <w:spacing w:val="-7"/>
        </w:rPr>
        <w:t> </w:t>
      </w:r>
      <w:r>
        <w:rPr/>
        <w:t>claimant’;</w:t>
      </w:r>
      <w:r>
        <w:rPr>
          <w:spacing w:val="-7"/>
        </w:rPr>
        <w:t> </w:t>
      </w:r>
      <w:r>
        <w:rPr/>
        <w:t>76</w:t>
      </w:r>
      <w:r>
        <w:rPr>
          <w:spacing w:val="-7"/>
        </w:rPr>
        <w:t> </w:t>
      </w:r>
      <w:r>
        <w:rPr/>
        <w:t>per cent of claimant reps and 74 per cent of employer reps rated the conciliator as ‘good’ on this measure, compared with 58 per cent and 64 per cent of claimants and employers respectively.</w:t>
      </w:r>
    </w:p>
    <w:p>
      <w:pPr>
        <w:pStyle w:val="BodyText"/>
        <w:spacing w:before="11"/>
        <w:rPr>
          <w:sz w:val="19"/>
        </w:rPr>
      </w:pPr>
    </w:p>
    <w:p>
      <w:pPr>
        <w:pStyle w:val="BodyText"/>
        <w:spacing w:before="1"/>
        <w:ind w:left="1337" w:right="1473"/>
        <w:jc w:val="both"/>
      </w:pPr>
      <w:r>
        <w:rPr/>
        <w:t>Ratings</w:t>
      </w:r>
      <w:r>
        <w:rPr>
          <w:spacing w:val="-1"/>
        </w:rPr>
        <w:t> </w:t>
      </w:r>
      <w:r>
        <w:rPr/>
        <w:t>of</w:t>
      </w:r>
      <w:r>
        <w:rPr>
          <w:spacing w:val="-2"/>
        </w:rPr>
        <w:t> </w:t>
      </w:r>
      <w:r>
        <w:rPr/>
        <w:t>the</w:t>
      </w:r>
      <w:r>
        <w:rPr>
          <w:spacing w:val="-1"/>
        </w:rPr>
        <w:t> </w:t>
      </w:r>
      <w:r>
        <w:rPr/>
        <w:t>conciliator</w:t>
      </w:r>
      <w:r>
        <w:rPr>
          <w:spacing w:val="-1"/>
        </w:rPr>
        <w:t> </w:t>
      </w:r>
      <w:r>
        <w:rPr/>
        <w:t>were</w:t>
      </w:r>
      <w:r>
        <w:rPr>
          <w:spacing w:val="-1"/>
        </w:rPr>
        <w:t> </w:t>
      </w:r>
      <w:r>
        <w:rPr/>
        <w:t>significantly lower</w:t>
      </w:r>
      <w:r>
        <w:rPr>
          <w:spacing w:val="-1"/>
        </w:rPr>
        <w:t> </w:t>
      </w:r>
      <w:r>
        <w:rPr/>
        <w:t>than average</w:t>
      </w:r>
      <w:r>
        <w:rPr>
          <w:spacing w:val="-1"/>
        </w:rPr>
        <w:t> </w:t>
      </w:r>
      <w:r>
        <w:rPr/>
        <w:t>among</w:t>
      </w:r>
      <w:r>
        <w:rPr>
          <w:spacing w:val="-1"/>
        </w:rPr>
        <w:t> </w:t>
      </w:r>
      <w:r>
        <w:rPr/>
        <w:t>two</w:t>
      </w:r>
      <w:r>
        <w:rPr>
          <w:spacing w:val="-1"/>
        </w:rPr>
        <w:t> </w:t>
      </w:r>
      <w:r>
        <w:rPr/>
        <w:t>groups for both claimant-side and employer-side audiences, following patterns observed in 2015:</w:t>
      </w:r>
    </w:p>
    <w:p>
      <w:pPr>
        <w:pStyle w:val="ListParagraph"/>
        <w:numPr>
          <w:ilvl w:val="0"/>
          <w:numId w:val="20"/>
        </w:numPr>
        <w:tabs>
          <w:tab w:pos="2058" w:val="left" w:leader="none"/>
        </w:tabs>
        <w:spacing w:line="240" w:lineRule="auto" w:before="0" w:after="0"/>
        <w:ind w:left="2057" w:right="1472" w:hanging="360"/>
        <w:jc w:val="both"/>
        <w:rPr>
          <w:sz w:val="20"/>
        </w:rPr>
      </w:pPr>
      <w:r>
        <w:rPr>
          <w:sz w:val="20"/>
        </w:rPr>
        <w:t>Those</w:t>
      </w:r>
      <w:r>
        <w:rPr>
          <w:spacing w:val="-11"/>
          <w:sz w:val="20"/>
        </w:rPr>
        <w:t> </w:t>
      </w:r>
      <w:r>
        <w:rPr>
          <w:sz w:val="20"/>
        </w:rPr>
        <w:t>in</w:t>
      </w:r>
      <w:r>
        <w:rPr>
          <w:spacing w:val="-10"/>
          <w:sz w:val="20"/>
        </w:rPr>
        <w:t> </w:t>
      </w:r>
      <w:r>
        <w:rPr>
          <w:sz w:val="20"/>
        </w:rPr>
        <w:t>open</w:t>
      </w:r>
      <w:r>
        <w:rPr>
          <w:spacing w:val="-10"/>
          <w:sz w:val="20"/>
        </w:rPr>
        <w:t> </w:t>
      </w:r>
      <w:r>
        <w:rPr>
          <w:sz w:val="20"/>
        </w:rPr>
        <w:t>track</w:t>
      </w:r>
      <w:r>
        <w:rPr>
          <w:spacing w:val="-10"/>
          <w:sz w:val="20"/>
        </w:rPr>
        <w:t> </w:t>
      </w:r>
      <w:r>
        <w:rPr>
          <w:sz w:val="20"/>
        </w:rPr>
        <w:t>disputes</w:t>
      </w:r>
      <w:r>
        <w:rPr>
          <w:spacing w:val="-10"/>
          <w:sz w:val="20"/>
        </w:rPr>
        <w:t> </w:t>
      </w:r>
      <w:r>
        <w:rPr>
          <w:sz w:val="20"/>
        </w:rPr>
        <w:t>were</w:t>
      </w:r>
      <w:r>
        <w:rPr>
          <w:spacing w:val="-11"/>
          <w:sz w:val="20"/>
        </w:rPr>
        <w:t> </w:t>
      </w:r>
      <w:r>
        <w:rPr>
          <w:sz w:val="20"/>
        </w:rPr>
        <w:t>less</w:t>
      </w:r>
      <w:r>
        <w:rPr>
          <w:spacing w:val="-10"/>
          <w:sz w:val="20"/>
        </w:rPr>
        <w:t> </w:t>
      </w:r>
      <w:r>
        <w:rPr>
          <w:sz w:val="20"/>
        </w:rPr>
        <w:t>likely</w:t>
      </w:r>
      <w:r>
        <w:rPr>
          <w:spacing w:val="-10"/>
          <w:sz w:val="20"/>
        </w:rPr>
        <w:t> </w:t>
      </w:r>
      <w:r>
        <w:rPr>
          <w:sz w:val="20"/>
        </w:rPr>
        <w:t>to</w:t>
      </w:r>
      <w:r>
        <w:rPr>
          <w:spacing w:val="-10"/>
          <w:sz w:val="20"/>
        </w:rPr>
        <w:t> </w:t>
      </w:r>
      <w:r>
        <w:rPr>
          <w:sz w:val="20"/>
        </w:rPr>
        <w:t>rate</w:t>
      </w:r>
      <w:r>
        <w:rPr>
          <w:spacing w:val="-11"/>
          <w:sz w:val="20"/>
        </w:rPr>
        <w:t> </w:t>
      </w:r>
      <w:r>
        <w:rPr>
          <w:sz w:val="20"/>
        </w:rPr>
        <w:t>the</w:t>
      </w:r>
      <w:r>
        <w:rPr>
          <w:spacing w:val="-11"/>
          <w:sz w:val="20"/>
        </w:rPr>
        <w:t> </w:t>
      </w:r>
      <w:r>
        <w:rPr>
          <w:sz w:val="20"/>
        </w:rPr>
        <w:t>conciliator</w:t>
      </w:r>
      <w:r>
        <w:rPr>
          <w:spacing w:val="-11"/>
          <w:sz w:val="20"/>
        </w:rPr>
        <w:t> </w:t>
      </w:r>
      <w:r>
        <w:rPr>
          <w:sz w:val="20"/>
        </w:rPr>
        <w:t>as</w:t>
      </w:r>
      <w:r>
        <w:rPr>
          <w:spacing w:val="-10"/>
          <w:sz w:val="20"/>
        </w:rPr>
        <w:t> </w:t>
      </w:r>
      <w:r>
        <w:rPr>
          <w:sz w:val="20"/>
        </w:rPr>
        <w:t>‘good’ than those in fast track disputes. Exceptions to this were witnessed on the employer-side, where there was no variation in scores by track for ‘explaining</w:t>
      </w:r>
      <w:r>
        <w:rPr>
          <w:spacing w:val="-18"/>
          <w:sz w:val="20"/>
        </w:rPr>
        <w:t> </w:t>
      </w:r>
      <w:r>
        <w:rPr>
          <w:sz w:val="20"/>
        </w:rPr>
        <w:t>the</w:t>
      </w:r>
      <w:r>
        <w:rPr>
          <w:spacing w:val="-18"/>
          <w:sz w:val="20"/>
        </w:rPr>
        <w:t> </w:t>
      </w:r>
      <w:r>
        <w:rPr>
          <w:sz w:val="20"/>
        </w:rPr>
        <w:t>conciliation</w:t>
      </w:r>
      <w:r>
        <w:rPr>
          <w:spacing w:val="-17"/>
          <w:sz w:val="20"/>
        </w:rPr>
        <w:t> </w:t>
      </w:r>
      <w:r>
        <w:rPr>
          <w:sz w:val="20"/>
        </w:rPr>
        <w:t>process’</w:t>
      </w:r>
      <w:r>
        <w:rPr>
          <w:spacing w:val="-18"/>
          <w:sz w:val="20"/>
        </w:rPr>
        <w:t> </w:t>
      </w:r>
      <w:r>
        <w:rPr>
          <w:sz w:val="20"/>
        </w:rPr>
        <w:t>and</w:t>
      </w:r>
      <w:r>
        <w:rPr>
          <w:spacing w:val="-17"/>
          <w:sz w:val="20"/>
        </w:rPr>
        <w:t> </w:t>
      </w:r>
      <w:r>
        <w:rPr>
          <w:sz w:val="20"/>
        </w:rPr>
        <w:t>‘relaying</w:t>
      </w:r>
      <w:r>
        <w:rPr>
          <w:spacing w:val="-18"/>
          <w:sz w:val="20"/>
        </w:rPr>
        <w:t> </w:t>
      </w:r>
      <w:r>
        <w:rPr>
          <w:sz w:val="20"/>
        </w:rPr>
        <w:t>proposals</w:t>
      </w:r>
      <w:r>
        <w:rPr>
          <w:spacing w:val="-18"/>
          <w:sz w:val="20"/>
        </w:rPr>
        <w:t> </w:t>
      </w:r>
      <w:r>
        <w:rPr>
          <w:sz w:val="20"/>
        </w:rPr>
        <w:t>and</w:t>
      </w:r>
      <w:r>
        <w:rPr>
          <w:spacing w:val="-17"/>
          <w:sz w:val="20"/>
        </w:rPr>
        <w:t> </w:t>
      </w:r>
      <w:r>
        <w:rPr>
          <w:sz w:val="20"/>
        </w:rPr>
        <w:t>offers</w:t>
      </w:r>
      <w:r>
        <w:rPr>
          <w:spacing w:val="-18"/>
          <w:sz w:val="20"/>
        </w:rPr>
        <w:t> </w:t>
      </w:r>
      <w:r>
        <w:rPr>
          <w:sz w:val="20"/>
        </w:rPr>
        <w:t>to</w:t>
      </w:r>
      <w:r>
        <w:rPr>
          <w:spacing w:val="-17"/>
          <w:sz w:val="20"/>
        </w:rPr>
        <w:t> </w:t>
      </w:r>
      <w:r>
        <w:rPr>
          <w:sz w:val="20"/>
        </w:rPr>
        <w:t>and from employer / claimant’.</w:t>
      </w:r>
    </w:p>
    <w:p>
      <w:pPr>
        <w:pStyle w:val="ListParagraph"/>
        <w:numPr>
          <w:ilvl w:val="0"/>
          <w:numId w:val="20"/>
        </w:numPr>
        <w:tabs>
          <w:tab w:pos="2058" w:val="left" w:leader="none"/>
        </w:tabs>
        <w:spacing w:line="240" w:lineRule="auto" w:before="0" w:after="0"/>
        <w:ind w:left="2057" w:right="1473" w:hanging="360"/>
        <w:jc w:val="both"/>
        <w:rPr>
          <w:sz w:val="20"/>
        </w:rPr>
      </w:pPr>
      <w:r>
        <w:rPr>
          <w:sz w:val="20"/>
        </w:rPr>
        <w:t>Those who did not reach a settlement through EC were less likely to rate the conciliator as ‘good’ than those who did. Again, for employer-side participants, there was no variation by outcome for ‘explaining the conciliation process’ but there was for other attributes.</w:t>
      </w:r>
    </w:p>
    <w:p>
      <w:pPr>
        <w:pStyle w:val="BodyText"/>
        <w:spacing w:before="8"/>
        <w:rPr>
          <w:sz w:val="19"/>
        </w:rPr>
      </w:pPr>
    </w:p>
    <w:p>
      <w:pPr>
        <w:pStyle w:val="BodyText"/>
        <w:spacing w:before="1"/>
        <w:ind w:left="1337" w:right="1474"/>
        <w:jc w:val="both"/>
      </w:pPr>
      <w:r>
        <w:rPr/>
        <w:t>However,</w:t>
      </w:r>
      <w:r>
        <w:rPr>
          <w:spacing w:val="-18"/>
        </w:rPr>
        <w:t> </w:t>
      </w:r>
      <w:r>
        <w:rPr/>
        <w:t>in</w:t>
      </w:r>
      <w:r>
        <w:rPr>
          <w:spacing w:val="-18"/>
        </w:rPr>
        <w:t> </w:t>
      </w:r>
      <w:r>
        <w:rPr/>
        <w:t>both</w:t>
      </w:r>
      <w:r>
        <w:rPr>
          <w:spacing w:val="-17"/>
        </w:rPr>
        <w:t> </w:t>
      </w:r>
      <w:r>
        <w:rPr/>
        <w:t>circumstances,</w:t>
      </w:r>
      <w:r>
        <w:rPr>
          <w:spacing w:val="-18"/>
        </w:rPr>
        <w:t> </w:t>
      </w:r>
      <w:r>
        <w:rPr/>
        <w:t>claimant</w:t>
      </w:r>
      <w:r>
        <w:rPr>
          <w:spacing w:val="-17"/>
        </w:rPr>
        <w:t> </w:t>
      </w:r>
      <w:r>
        <w:rPr/>
        <w:t>and</w:t>
      </w:r>
      <w:r>
        <w:rPr>
          <w:spacing w:val="-18"/>
        </w:rPr>
        <w:t> </w:t>
      </w:r>
      <w:r>
        <w:rPr/>
        <w:t>employer-side</w:t>
      </w:r>
      <w:r>
        <w:rPr>
          <w:spacing w:val="-18"/>
        </w:rPr>
        <w:t> </w:t>
      </w:r>
      <w:r>
        <w:rPr/>
        <w:t>participants</w:t>
      </w:r>
      <w:r>
        <w:rPr>
          <w:spacing w:val="-17"/>
        </w:rPr>
        <w:t> </w:t>
      </w:r>
      <w:r>
        <w:rPr/>
        <w:t>remained more likely to rate their conciliator as ‘good’ than ‘poor’.</w:t>
      </w:r>
    </w:p>
    <w:p>
      <w:pPr>
        <w:pStyle w:val="BodyText"/>
      </w:pPr>
    </w:p>
    <w:p>
      <w:pPr>
        <w:pStyle w:val="BodyText"/>
        <w:ind w:left="1337" w:right="1474"/>
        <w:jc w:val="both"/>
      </w:pPr>
      <w:r>
        <w:rPr/>
        <w:t>The number of conciliators involved in a case did not have a significant impact on conciliator ratings for either claimant or employer-side users – although a directional pattern is noted for some attributes on the employer-side.</w:t>
      </w:r>
    </w:p>
    <w:p>
      <w:pPr>
        <w:spacing w:after="0"/>
        <w:jc w:val="both"/>
        <w:sectPr>
          <w:pgSz w:w="11910" w:h="16840"/>
          <w:pgMar w:header="0" w:footer="996" w:top="1580" w:bottom="1180" w:left="460" w:right="320"/>
        </w:sectPr>
      </w:pPr>
    </w:p>
    <w:p>
      <w:pPr>
        <w:pStyle w:val="Heading3"/>
        <w:spacing w:before="82"/>
      </w:pPr>
      <w:r>
        <w:rPr/>
        <w:t>Table</w:t>
      </w:r>
      <w:r>
        <w:rPr>
          <w:spacing w:val="-6"/>
        </w:rPr>
        <w:t> </w:t>
      </w:r>
      <w:r>
        <w:rPr/>
        <w:t>10.</w:t>
      </w:r>
      <w:r>
        <w:rPr>
          <w:spacing w:val="-5"/>
        </w:rPr>
        <w:t> </w:t>
      </w:r>
      <w:r>
        <w:rPr/>
        <w:t>Conciliator</w:t>
      </w:r>
      <w:r>
        <w:rPr>
          <w:spacing w:val="-5"/>
        </w:rPr>
        <w:t> </w:t>
      </w:r>
      <w:r>
        <w:rPr/>
        <w:t>performance</w:t>
      </w:r>
      <w:r>
        <w:rPr>
          <w:spacing w:val="-4"/>
        </w:rPr>
        <w:t> </w:t>
      </w:r>
      <w:r>
        <w:rPr/>
        <w:t>by</w:t>
      </w:r>
      <w:r>
        <w:rPr>
          <w:spacing w:val="-3"/>
        </w:rPr>
        <w:t> </w:t>
      </w:r>
      <w:r>
        <w:rPr/>
        <w:t>number</w:t>
      </w:r>
      <w:r>
        <w:rPr>
          <w:spacing w:val="-3"/>
        </w:rPr>
        <w:t> </w:t>
      </w:r>
      <w:r>
        <w:rPr/>
        <w:t>of</w:t>
      </w:r>
      <w:r>
        <w:rPr>
          <w:spacing w:val="-3"/>
        </w:rPr>
        <w:t> </w:t>
      </w:r>
      <w:r>
        <w:rPr>
          <w:spacing w:val="-2"/>
        </w:rPr>
        <w:t>conciliators</w:t>
      </w:r>
    </w:p>
    <w:p>
      <w:pPr>
        <w:pStyle w:val="BodyText"/>
        <w:spacing w:before="4"/>
        <w:rPr>
          <w:b/>
          <w:sz w:val="5"/>
        </w:rPr>
      </w:pPr>
      <w:r>
        <w:rPr/>
        <w:drawing>
          <wp:anchor distT="0" distB="0" distL="0" distR="0" allowOverlap="1" layoutInCell="1" locked="0" behindDoc="0" simplePos="0" relativeHeight="24">
            <wp:simplePos x="0" y="0"/>
            <wp:positionH relativeFrom="page">
              <wp:posOffset>1197717</wp:posOffset>
            </wp:positionH>
            <wp:positionV relativeFrom="paragraph">
              <wp:posOffset>56675</wp:posOffset>
            </wp:positionV>
            <wp:extent cx="5094282" cy="3147060"/>
            <wp:effectExtent l="0" t="0" r="0" b="0"/>
            <wp:wrapTopAndBottom/>
            <wp:docPr id="29" name="image15.png" descr="Table showing conciliator performance by number of conciliators "/>
            <wp:cNvGraphicFramePr>
              <a:graphicFrameLocks noChangeAspect="1"/>
            </wp:cNvGraphicFramePr>
            <a:graphic>
              <a:graphicData uri="http://schemas.openxmlformats.org/drawingml/2006/picture">
                <pic:pic>
                  <pic:nvPicPr>
                    <pic:cNvPr id="30" name="image15.png"/>
                    <pic:cNvPicPr/>
                  </pic:nvPicPr>
                  <pic:blipFill>
                    <a:blip r:embed="rId27" cstate="print"/>
                    <a:stretch>
                      <a:fillRect/>
                    </a:stretch>
                  </pic:blipFill>
                  <pic:spPr>
                    <a:xfrm>
                      <a:off x="0" y="0"/>
                      <a:ext cx="5094282" cy="3147060"/>
                    </a:xfrm>
                    <a:prstGeom prst="rect">
                      <a:avLst/>
                    </a:prstGeom>
                  </pic:spPr>
                </pic:pic>
              </a:graphicData>
            </a:graphic>
          </wp:anchor>
        </w:drawing>
      </w:r>
    </w:p>
    <w:p>
      <w:pPr>
        <w:pStyle w:val="BodyText"/>
        <w:rPr>
          <w:b/>
          <w:sz w:val="24"/>
        </w:rPr>
      </w:pPr>
    </w:p>
    <w:p>
      <w:pPr>
        <w:pStyle w:val="BodyText"/>
        <w:spacing w:before="4"/>
        <w:rPr>
          <w:b/>
          <w:sz w:val="25"/>
        </w:rPr>
      </w:pPr>
    </w:p>
    <w:p>
      <w:pPr>
        <w:pStyle w:val="BodyText"/>
        <w:spacing w:before="1"/>
        <w:ind w:left="1337" w:right="1473"/>
        <w:jc w:val="both"/>
      </w:pPr>
      <w:r>
        <w:rPr/>
        <w:t>Impressions</w:t>
      </w:r>
      <w:r>
        <w:rPr>
          <w:spacing w:val="-4"/>
        </w:rPr>
        <w:t> </w:t>
      </w:r>
      <w:r>
        <w:rPr/>
        <w:t>of</w:t>
      </w:r>
      <w:r>
        <w:rPr>
          <w:spacing w:val="-4"/>
        </w:rPr>
        <w:t> </w:t>
      </w:r>
      <w:r>
        <w:rPr/>
        <w:t>conciliators’</w:t>
      </w:r>
      <w:r>
        <w:rPr>
          <w:spacing w:val="-4"/>
        </w:rPr>
        <w:t> </w:t>
      </w:r>
      <w:r>
        <w:rPr/>
        <w:t>personal</w:t>
      </w:r>
      <w:r>
        <w:rPr>
          <w:spacing w:val="-5"/>
        </w:rPr>
        <w:t> </w:t>
      </w:r>
      <w:r>
        <w:rPr/>
        <w:t>attributes</w:t>
      </w:r>
      <w:r>
        <w:rPr>
          <w:spacing w:val="-4"/>
        </w:rPr>
        <w:t> </w:t>
      </w:r>
      <w:r>
        <w:rPr/>
        <w:t>were</w:t>
      </w:r>
      <w:r>
        <w:rPr>
          <w:spacing w:val="-5"/>
        </w:rPr>
        <w:t> </w:t>
      </w:r>
      <w:r>
        <w:rPr/>
        <w:t>strongly</w:t>
      </w:r>
      <w:r>
        <w:rPr>
          <w:spacing w:val="-4"/>
        </w:rPr>
        <w:t> </w:t>
      </w:r>
      <w:r>
        <w:rPr/>
        <w:t>positive</w:t>
      </w:r>
      <w:r>
        <w:rPr>
          <w:spacing w:val="-3"/>
        </w:rPr>
        <w:t> </w:t>
      </w:r>
      <w:r>
        <w:rPr/>
        <w:t>overall,</w:t>
      </w:r>
      <w:r>
        <w:rPr>
          <w:spacing w:val="-4"/>
        </w:rPr>
        <w:t> </w:t>
      </w:r>
      <w:r>
        <w:rPr/>
        <w:t>with a majority of both claimant and employer-side participants agreeing with all bar one</w:t>
      </w:r>
      <w:r>
        <w:rPr>
          <w:spacing w:val="-12"/>
        </w:rPr>
        <w:t> </w:t>
      </w:r>
      <w:r>
        <w:rPr/>
        <w:t>of</w:t>
      </w:r>
      <w:r>
        <w:rPr>
          <w:spacing w:val="-12"/>
        </w:rPr>
        <w:t> </w:t>
      </w:r>
      <w:r>
        <w:rPr/>
        <w:t>the</w:t>
      </w:r>
      <w:r>
        <w:rPr>
          <w:spacing w:val="-13"/>
        </w:rPr>
        <w:t> </w:t>
      </w:r>
      <w:r>
        <w:rPr/>
        <w:t>statements</w:t>
      </w:r>
      <w:r>
        <w:rPr>
          <w:spacing w:val="-13"/>
        </w:rPr>
        <w:t> </w:t>
      </w:r>
      <w:r>
        <w:rPr/>
        <w:t>presented</w:t>
      </w:r>
      <w:r>
        <w:rPr>
          <w:spacing w:val="-12"/>
        </w:rPr>
        <w:t> </w:t>
      </w:r>
      <w:r>
        <w:rPr/>
        <w:t>to</w:t>
      </w:r>
      <w:r>
        <w:rPr>
          <w:spacing w:val="-13"/>
        </w:rPr>
        <w:t> </w:t>
      </w:r>
      <w:r>
        <w:rPr/>
        <w:t>them.</w:t>
      </w:r>
      <w:r>
        <w:rPr>
          <w:spacing w:val="-13"/>
        </w:rPr>
        <w:t> </w:t>
      </w:r>
      <w:r>
        <w:rPr/>
        <w:t>Conciliators</w:t>
      </w:r>
      <w:r>
        <w:rPr>
          <w:spacing w:val="-12"/>
        </w:rPr>
        <w:t> </w:t>
      </w:r>
      <w:r>
        <w:rPr/>
        <w:t>were</w:t>
      </w:r>
      <w:r>
        <w:rPr>
          <w:spacing w:val="-13"/>
        </w:rPr>
        <w:t> </w:t>
      </w:r>
      <w:r>
        <w:rPr/>
        <w:t>rated</w:t>
      </w:r>
      <w:r>
        <w:rPr>
          <w:spacing w:val="-12"/>
        </w:rPr>
        <w:t> </w:t>
      </w:r>
      <w:r>
        <w:rPr/>
        <w:t>best</w:t>
      </w:r>
      <w:r>
        <w:rPr>
          <w:spacing w:val="-13"/>
        </w:rPr>
        <w:t> </w:t>
      </w:r>
      <w:r>
        <w:rPr/>
        <w:t>for</w:t>
      </w:r>
      <w:r>
        <w:rPr>
          <w:spacing w:val="-12"/>
        </w:rPr>
        <w:t> </w:t>
      </w:r>
      <w:r>
        <w:rPr/>
        <w:t>‘listening to</w:t>
      </w:r>
      <w:r>
        <w:rPr>
          <w:spacing w:val="-13"/>
        </w:rPr>
        <w:t> </w:t>
      </w:r>
      <w:r>
        <w:rPr/>
        <w:t>what</w:t>
      </w:r>
      <w:r>
        <w:rPr>
          <w:spacing w:val="-13"/>
        </w:rPr>
        <w:t> </w:t>
      </w:r>
      <w:r>
        <w:rPr/>
        <w:t>[participants]</w:t>
      </w:r>
      <w:r>
        <w:rPr>
          <w:spacing w:val="-13"/>
        </w:rPr>
        <w:t> </w:t>
      </w:r>
      <w:r>
        <w:rPr/>
        <w:t>had</w:t>
      </w:r>
      <w:r>
        <w:rPr>
          <w:spacing w:val="-13"/>
        </w:rPr>
        <w:t> </w:t>
      </w:r>
      <w:r>
        <w:rPr/>
        <w:t>to</w:t>
      </w:r>
      <w:r>
        <w:rPr>
          <w:spacing w:val="-13"/>
        </w:rPr>
        <w:t> </w:t>
      </w:r>
      <w:r>
        <w:rPr/>
        <w:t>say’</w:t>
      </w:r>
      <w:r>
        <w:rPr>
          <w:spacing w:val="-13"/>
        </w:rPr>
        <w:t> </w:t>
      </w:r>
      <w:r>
        <w:rPr/>
        <w:t>and</w:t>
      </w:r>
      <w:r>
        <w:rPr>
          <w:spacing w:val="-13"/>
        </w:rPr>
        <w:t> </w:t>
      </w:r>
      <w:r>
        <w:rPr/>
        <w:t>being</w:t>
      </w:r>
      <w:r>
        <w:rPr>
          <w:spacing w:val="-13"/>
        </w:rPr>
        <w:t> </w:t>
      </w:r>
      <w:r>
        <w:rPr/>
        <w:t>‘trustworthy’,</w:t>
      </w:r>
      <w:r>
        <w:rPr>
          <w:spacing w:val="-14"/>
        </w:rPr>
        <w:t> </w:t>
      </w:r>
      <w:r>
        <w:rPr/>
        <w:t>and</w:t>
      </w:r>
      <w:r>
        <w:rPr>
          <w:spacing w:val="-13"/>
        </w:rPr>
        <w:t> </w:t>
      </w:r>
      <w:r>
        <w:rPr/>
        <w:t>least</w:t>
      </w:r>
      <w:r>
        <w:rPr>
          <w:spacing w:val="-13"/>
        </w:rPr>
        <w:t> </w:t>
      </w:r>
      <w:r>
        <w:rPr/>
        <w:t>well</w:t>
      </w:r>
      <w:r>
        <w:rPr>
          <w:spacing w:val="-14"/>
        </w:rPr>
        <w:t> </w:t>
      </w:r>
      <w:r>
        <w:rPr/>
        <w:t>for</w:t>
      </w:r>
      <w:r>
        <w:rPr>
          <w:spacing w:val="-13"/>
        </w:rPr>
        <w:t> </w:t>
      </w:r>
      <w:r>
        <w:rPr/>
        <w:t>helping participants decide whether to settle their case without undue influence. This final measure was the one on which the proportion of employer-side participants agreeing with the statement fell below half – although still significantly more employer-side participants agreed with this statement than disagreed.</w:t>
      </w:r>
    </w:p>
    <w:p>
      <w:pPr>
        <w:spacing w:after="0"/>
        <w:jc w:val="both"/>
        <w:sectPr>
          <w:pgSz w:w="11910" w:h="16840"/>
          <w:pgMar w:header="0" w:footer="996" w:top="1340" w:bottom="1180" w:left="460" w:right="320"/>
        </w:sectPr>
      </w:pPr>
    </w:p>
    <w:p>
      <w:pPr>
        <w:pStyle w:val="Heading3"/>
        <w:spacing w:before="82"/>
      </w:pPr>
      <w:r>
        <w:rPr/>
        <w:t>Figure</w:t>
      </w:r>
      <w:r>
        <w:rPr>
          <w:spacing w:val="-5"/>
        </w:rPr>
        <w:t> </w:t>
      </w:r>
      <w:r>
        <w:rPr/>
        <w:t>8.</w:t>
      </w:r>
      <w:r>
        <w:rPr>
          <w:spacing w:val="-3"/>
        </w:rPr>
        <w:t> </w:t>
      </w:r>
      <w:r>
        <w:rPr/>
        <w:t>Ratings</w:t>
      </w:r>
      <w:r>
        <w:rPr>
          <w:spacing w:val="-4"/>
        </w:rPr>
        <w:t> </w:t>
      </w:r>
      <w:r>
        <w:rPr/>
        <w:t>of</w:t>
      </w:r>
      <w:r>
        <w:rPr>
          <w:spacing w:val="-2"/>
        </w:rPr>
        <w:t> </w:t>
      </w:r>
      <w:r>
        <w:rPr/>
        <w:t>the</w:t>
      </w:r>
      <w:r>
        <w:rPr>
          <w:spacing w:val="-2"/>
        </w:rPr>
        <w:t> conciliator</w:t>
      </w:r>
    </w:p>
    <w:p>
      <w:pPr>
        <w:pStyle w:val="BodyText"/>
        <w:ind w:left="1415"/>
      </w:pPr>
      <w:r>
        <w:rPr/>
        <w:drawing>
          <wp:inline distT="0" distB="0" distL="0" distR="0">
            <wp:extent cx="5185229" cy="3892200"/>
            <wp:effectExtent l="0" t="0" r="0" b="0"/>
            <wp:docPr id="31" name="image16.png" descr="Graph showing ratings of the conciliator "/>
            <wp:cNvGraphicFramePr>
              <a:graphicFrameLocks noChangeAspect="1"/>
            </wp:cNvGraphicFramePr>
            <a:graphic>
              <a:graphicData uri="http://schemas.openxmlformats.org/drawingml/2006/picture">
                <pic:pic>
                  <pic:nvPicPr>
                    <pic:cNvPr id="32" name="image16.png"/>
                    <pic:cNvPicPr/>
                  </pic:nvPicPr>
                  <pic:blipFill>
                    <a:blip r:embed="rId28" cstate="print"/>
                    <a:stretch>
                      <a:fillRect/>
                    </a:stretch>
                  </pic:blipFill>
                  <pic:spPr>
                    <a:xfrm>
                      <a:off x="0" y="0"/>
                      <a:ext cx="5185229" cy="3892200"/>
                    </a:xfrm>
                    <a:prstGeom prst="rect">
                      <a:avLst/>
                    </a:prstGeom>
                  </pic:spPr>
                </pic:pic>
              </a:graphicData>
            </a:graphic>
          </wp:inline>
        </w:drawing>
      </w:r>
      <w:r>
        <w:rPr/>
      </w:r>
    </w:p>
    <w:p>
      <w:pPr>
        <w:pStyle w:val="BodyText"/>
        <w:spacing w:before="2"/>
        <w:rPr>
          <w:b/>
          <w:sz w:val="19"/>
        </w:rPr>
      </w:pPr>
    </w:p>
    <w:p>
      <w:pPr>
        <w:pStyle w:val="BodyText"/>
        <w:ind w:left="1337" w:right="1473"/>
        <w:jc w:val="both"/>
      </w:pPr>
      <w:r>
        <w:rPr/>
        <w:t>In comparison</w:t>
      </w:r>
      <w:r>
        <w:rPr>
          <w:spacing w:val="-1"/>
        </w:rPr>
        <w:t> </w:t>
      </w:r>
      <w:r>
        <w:rPr/>
        <w:t>with</w:t>
      </w:r>
      <w:r>
        <w:rPr>
          <w:spacing w:val="-1"/>
        </w:rPr>
        <w:t> </w:t>
      </w:r>
      <w:r>
        <w:rPr/>
        <w:t>the</w:t>
      </w:r>
      <w:r>
        <w:rPr>
          <w:spacing w:val="-2"/>
        </w:rPr>
        <w:t> </w:t>
      </w:r>
      <w:r>
        <w:rPr/>
        <w:t>last wave</w:t>
      </w:r>
      <w:r>
        <w:rPr>
          <w:spacing w:val="-2"/>
        </w:rPr>
        <w:t> </w:t>
      </w:r>
      <w:r>
        <w:rPr/>
        <w:t>of</w:t>
      </w:r>
      <w:r>
        <w:rPr>
          <w:spacing w:val="-2"/>
        </w:rPr>
        <w:t> </w:t>
      </w:r>
      <w:r>
        <w:rPr/>
        <w:t>the</w:t>
      </w:r>
      <w:r>
        <w:rPr>
          <w:spacing w:val="-1"/>
        </w:rPr>
        <w:t> </w:t>
      </w:r>
      <w:r>
        <w:rPr/>
        <w:t>survey,</w:t>
      </w:r>
      <w:r>
        <w:rPr>
          <w:spacing w:val="-2"/>
        </w:rPr>
        <w:t> </w:t>
      </w:r>
      <w:r>
        <w:rPr/>
        <w:t>on</w:t>
      </w:r>
      <w:r>
        <w:rPr>
          <w:spacing w:val="-1"/>
        </w:rPr>
        <w:t> </w:t>
      </w:r>
      <w:r>
        <w:rPr/>
        <w:t>the</w:t>
      </w:r>
      <w:r>
        <w:rPr>
          <w:spacing w:val="-1"/>
        </w:rPr>
        <w:t> </w:t>
      </w:r>
      <w:r>
        <w:rPr/>
        <w:t>claimant-side,</w:t>
      </w:r>
      <w:r>
        <w:rPr>
          <w:spacing w:val="-2"/>
        </w:rPr>
        <w:t> </w:t>
      </w:r>
      <w:r>
        <w:rPr/>
        <w:t>scores</w:t>
      </w:r>
      <w:r>
        <w:rPr>
          <w:spacing w:val="-1"/>
        </w:rPr>
        <w:t> </w:t>
      </w:r>
      <w:r>
        <w:rPr/>
        <w:t>have improved for ‘listened to what you had to say’ (up four points since 2015) and ‘understood the circumstances of the case’ (up five points). By contrast, scores have fallen among employer-side participants across the following statements: ‘listened</w:t>
      </w:r>
      <w:r>
        <w:rPr>
          <w:spacing w:val="-14"/>
        </w:rPr>
        <w:t> </w:t>
      </w:r>
      <w:r>
        <w:rPr/>
        <w:t>to</w:t>
      </w:r>
      <w:r>
        <w:rPr>
          <w:spacing w:val="-14"/>
        </w:rPr>
        <w:t> </w:t>
      </w:r>
      <w:r>
        <w:rPr/>
        <w:t>what</w:t>
      </w:r>
      <w:r>
        <w:rPr>
          <w:spacing w:val="-14"/>
        </w:rPr>
        <w:t> </w:t>
      </w:r>
      <w:r>
        <w:rPr/>
        <w:t>you</w:t>
      </w:r>
      <w:r>
        <w:rPr>
          <w:spacing w:val="-14"/>
        </w:rPr>
        <w:t> </w:t>
      </w:r>
      <w:r>
        <w:rPr/>
        <w:t>had</w:t>
      </w:r>
      <w:r>
        <w:rPr>
          <w:spacing w:val="-14"/>
        </w:rPr>
        <w:t> </w:t>
      </w:r>
      <w:r>
        <w:rPr/>
        <w:t>to</w:t>
      </w:r>
      <w:r>
        <w:rPr>
          <w:spacing w:val="-14"/>
        </w:rPr>
        <w:t> </w:t>
      </w:r>
      <w:r>
        <w:rPr/>
        <w:t>say’</w:t>
      </w:r>
      <w:r>
        <w:rPr>
          <w:spacing w:val="-14"/>
        </w:rPr>
        <w:t> </w:t>
      </w:r>
      <w:r>
        <w:rPr/>
        <w:t>(down</w:t>
      </w:r>
      <w:r>
        <w:rPr>
          <w:spacing w:val="-14"/>
        </w:rPr>
        <w:t> </w:t>
      </w:r>
      <w:r>
        <w:rPr/>
        <w:t>four</w:t>
      </w:r>
      <w:r>
        <w:rPr>
          <w:spacing w:val="-14"/>
        </w:rPr>
        <w:t> </w:t>
      </w:r>
      <w:r>
        <w:rPr/>
        <w:t>points),</w:t>
      </w:r>
      <w:r>
        <w:rPr>
          <w:spacing w:val="-14"/>
        </w:rPr>
        <w:t> </w:t>
      </w:r>
      <w:r>
        <w:rPr/>
        <w:t>‘understood</w:t>
      </w:r>
      <w:r>
        <w:rPr>
          <w:spacing w:val="-14"/>
        </w:rPr>
        <w:t> </w:t>
      </w:r>
      <w:r>
        <w:rPr/>
        <w:t>the</w:t>
      </w:r>
      <w:r>
        <w:rPr>
          <w:spacing w:val="-15"/>
        </w:rPr>
        <w:t> </w:t>
      </w:r>
      <w:r>
        <w:rPr/>
        <w:t>circumstances of</w:t>
      </w:r>
      <w:r>
        <w:rPr>
          <w:spacing w:val="-14"/>
        </w:rPr>
        <w:t> </w:t>
      </w:r>
      <w:r>
        <w:rPr/>
        <w:t>the</w:t>
      </w:r>
      <w:r>
        <w:rPr>
          <w:spacing w:val="-16"/>
        </w:rPr>
        <w:t> </w:t>
      </w:r>
      <w:r>
        <w:rPr/>
        <w:t>case’</w:t>
      </w:r>
      <w:r>
        <w:rPr>
          <w:spacing w:val="-15"/>
        </w:rPr>
        <w:t> </w:t>
      </w:r>
      <w:r>
        <w:rPr/>
        <w:t>(also</w:t>
      </w:r>
      <w:r>
        <w:rPr>
          <w:spacing w:val="-14"/>
        </w:rPr>
        <w:t> </w:t>
      </w:r>
      <w:r>
        <w:rPr/>
        <w:t>down</w:t>
      </w:r>
      <w:r>
        <w:rPr>
          <w:spacing w:val="-15"/>
        </w:rPr>
        <w:t> </w:t>
      </w:r>
      <w:r>
        <w:rPr/>
        <w:t>five</w:t>
      </w:r>
      <w:r>
        <w:rPr>
          <w:spacing w:val="-15"/>
        </w:rPr>
        <w:t> </w:t>
      </w:r>
      <w:r>
        <w:rPr/>
        <w:t>points),</w:t>
      </w:r>
      <w:r>
        <w:rPr>
          <w:spacing w:val="-15"/>
        </w:rPr>
        <w:t> </w:t>
      </w:r>
      <w:r>
        <w:rPr/>
        <w:t>‘understood</w:t>
      </w:r>
      <w:r>
        <w:rPr>
          <w:spacing w:val="-14"/>
        </w:rPr>
        <w:t> </w:t>
      </w:r>
      <w:r>
        <w:rPr/>
        <w:t>how</w:t>
      </w:r>
      <w:r>
        <w:rPr>
          <w:spacing w:val="-15"/>
        </w:rPr>
        <w:t> </w:t>
      </w:r>
      <w:r>
        <w:rPr/>
        <w:t>you</w:t>
      </w:r>
      <w:r>
        <w:rPr>
          <w:spacing w:val="-15"/>
        </w:rPr>
        <w:t> </w:t>
      </w:r>
      <w:r>
        <w:rPr/>
        <w:t>felt</w:t>
      </w:r>
      <w:r>
        <w:rPr>
          <w:spacing w:val="-14"/>
        </w:rPr>
        <w:t> </w:t>
      </w:r>
      <w:r>
        <w:rPr/>
        <w:t>about</w:t>
      </w:r>
      <w:r>
        <w:rPr>
          <w:spacing w:val="-15"/>
        </w:rPr>
        <w:t> </w:t>
      </w:r>
      <w:r>
        <w:rPr/>
        <w:t>the</w:t>
      </w:r>
      <w:r>
        <w:rPr>
          <w:spacing w:val="-16"/>
        </w:rPr>
        <w:t> </w:t>
      </w:r>
      <w:r>
        <w:rPr/>
        <w:t>case’</w:t>
      </w:r>
      <w:r>
        <w:rPr>
          <w:spacing w:val="-14"/>
        </w:rPr>
        <w:t> </w:t>
      </w:r>
      <w:r>
        <w:rPr/>
        <w:t>(down six</w:t>
      </w:r>
      <w:r>
        <w:rPr>
          <w:spacing w:val="-11"/>
        </w:rPr>
        <w:t> </w:t>
      </w:r>
      <w:r>
        <w:rPr/>
        <w:t>points)</w:t>
      </w:r>
      <w:r>
        <w:rPr>
          <w:spacing w:val="-13"/>
        </w:rPr>
        <w:t> </w:t>
      </w:r>
      <w:r>
        <w:rPr/>
        <w:t>and</w:t>
      </w:r>
      <w:r>
        <w:rPr>
          <w:spacing w:val="-13"/>
        </w:rPr>
        <w:t> </w:t>
      </w:r>
      <w:r>
        <w:rPr/>
        <w:t>‘helped</w:t>
      </w:r>
      <w:r>
        <w:rPr>
          <w:spacing w:val="-12"/>
        </w:rPr>
        <w:t> </w:t>
      </w:r>
      <w:r>
        <w:rPr/>
        <w:t>you</w:t>
      </w:r>
      <w:r>
        <w:rPr>
          <w:spacing w:val="-11"/>
        </w:rPr>
        <w:t> </w:t>
      </w:r>
      <w:r>
        <w:rPr/>
        <w:t>decide</w:t>
      </w:r>
      <w:r>
        <w:rPr>
          <w:spacing w:val="-13"/>
        </w:rPr>
        <w:t> </w:t>
      </w:r>
      <w:r>
        <w:rPr/>
        <w:t>whether</w:t>
      </w:r>
      <w:r>
        <w:rPr>
          <w:spacing w:val="-12"/>
        </w:rPr>
        <w:t> </w:t>
      </w:r>
      <w:r>
        <w:rPr/>
        <w:t>or</w:t>
      </w:r>
      <w:r>
        <w:rPr>
          <w:spacing w:val="-13"/>
        </w:rPr>
        <w:t> </w:t>
      </w:r>
      <w:r>
        <w:rPr/>
        <w:t>not</w:t>
      </w:r>
      <w:r>
        <w:rPr>
          <w:spacing w:val="-11"/>
        </w:rPr>
        <w:t> </w:t>
      </w:r>
      <w:r>
        <w:rPr/>
        <w:t>to</w:t>
      </w:r>
      <w:r>
        <w:rPr>
          <w:spacing w:val="-13"/>
        </w:rPr>
        <w:t> </w:t>
      </w:r>
      <w:r>
        <w:rPr/>
        <w:t>settle</w:t>
      </w:r>
      <w:r>
        <w:rPr>
          <w:spacing w:val="-13"/>
        </w:rPr>
        <w:t> </w:t>
      </w:r>
      <w:r>
        <w:rPr/>
        <w:t>your</w:t>
      </w:r>
      <w:r>
        <w:rPr>
          <w:spacing w:val="-12"/>
        </w:rPr>
        <w:t> </w:t>
      </w:r>
      <w:r>
        <w:rPr/>
        <w:t>case</w:t>
      </w:r>
      <w:r>
        <w:rPr>
          <w:spacing w:val="-13"/>
        </w:rPr>
        <w:t> </w:t>
      </w:r>
      <w:r>
        <w:rPr/>
        <w:t>without</w:t>
      </w:r>
      <w:r>
        <w:rPr>
          <w:spacing w:val="-13"/>
        </w:rPr>
        <w:t> </w:t>
      </w:r>
      <w:r>
        <w:rPr/>
        <w:t>undue influence’ (also down six points).</w:t>
      </w:r>
    </w:p>
    <w:p>
      <w:pPr>
        <w:pStyle w:val="BodyText"/>
      </w:pPr>
    </w:p>
    <w:p>
      <w:pPr>
        <w:pStyle w:val="BodyText"/>
        <w:ind w:left="1337" w:right="1473"/>
        <w:jc w:val="both"/>
      </w:pPr>
      <w:r>
        <w:rPr/>
        <w:t>Conciliator ratings for personal characteristics were largely consistent across claimant and employer-side participants, with some exceptions:</w:t>
      </w:r>
    </w:p>
    <w:p>
      <w:pPr>
        <w:pStyle w:val="BodyText"/>
      </w:pPr>
    </w:p>
    <w:p>
      <w:pPr>
        <w:pStyle w:val="ListParagraph"/>
        <w:numPr>
          <w:ilvl w:val="0"/>
          <w:numId w:val="20"/>
        </w:numPr>
        <w:tabs>
          <w:tab w:pos="2058" w:val="left" w:leader="none"/>
        </w:tabs>
        <w:spacing w:line="240" w:lineRule="auto" w:before="0" w:after="0"/>
        <w:ind w:left="2057" w:right="1472" w:hanging="360"/>
        <w:jc w:val="both"/>
        <w:rPr>
          <w:sz w:val="20"/>
        </w:rPr>
      </w:pPr>
      <w:r>
        <w:rPr>
          <w:sz w:val="20"/>
        </w:rPr>
        <w:t>Claimant</w:t>
      </w:r>
      <w:r>
        <w:rPr>
          <w:spacing w:val="-2"/>
          <w:sz w:val="20"/>
        </w:rPr>
        <w:t> </w:t>
      </w:r>
      <w:r>
        <w:rPr>
          <w:sz w:val="20"/>
        </w:rPr>
        <w:t>representatives</w:t>
      </w:r>
      <w:r>
        <w:rPr>
          <w:spacing w:val="-2"/>
          <w:sz w:val="20"/>
        </w:rPr>
        <w:t> </w:t>
      </w:r>
      <w:r>
        <w:rPr>
          <w:sz w:val="20"/>
        </w:rPr>
        <w:t>were</w:t>
      </w:r>
      <w:r>
        <w:rPr>
          <w:spacing w:val="-2"/>
          <w:sz w:val="20"/>
        </w:rPr>
        <w:t> </w:t>
      </w:r>
      <w:r>
        <w:rPr>
          <w:sz w:val="20"/>
        </w:rPr>
        <w:t>more</w:t>
      </w:r>
      <w:r>
        <w:rPr>
          <w:spacing w:val="-2"/>
          <w:sz w:val="20"/>
        </w:rPr>
        <w:t> </w:t>
      </w:r>
      <w:r>
        <w:rPr>
          <w:sz w:val="20"/>
        </w:rPr>
        <w:t>likely to</w:t>
      </w:r>
      <w:r>
        <w:rPr>
          <w:spacing w:val="-3"/>
          <w:sz w:val="20"/>
        </w:rPr>
        <w:t> </w:t>
      </w:r>
      <w:r>
        <w:rPr>
          <w:sz w:val="20"/>
        </w:rPr>
        <w:t>agree</w:t>
      </w:r>
      <w:r>
        <w:rPr>
          <w:spacing w:val="-2"/>
          <w:sz w:val="20"/>
        </w:rPr>
        <w:t> </w:t>
      </w:r>
      <w:r>
        <w:rPr>
          <w:sz w:val="20"/>
        </w:rPr>
        <w:t>that</w:t>
      </w:r>
      <w:r>
        <w:rPr>
          <w:spacing w:val="-1"/>
          <w:sz w:val="20"/>
        </w:rPr>
        <w:t> </w:t>
      </w:r>
      <w:r>
        <w:rPr>
          <w:sz w:val="20"/>
        </w:rPr>
        <w:t>the</w:t>
      </w:r>
      <w:r>
        <w:rPr>
          <w:spacing w:val="-2"/>
          <w:sz w:val="20"/>
        </w:rPr>
        <w:t> </w:t>
      </w:r>
      <w:r>
        <w:rPr>
          <w:sz w:val="20"/>
        </w:rPr>
        <w:t>conciliator</w:t>
      </w:r>
      <w:r>
        <w:rPr>
          <w:spacing w:val="-1"/>
          <w:sz w:val="20"/>
        </w:rPr>
        <w:t> </w:t>
      </w:r>
      <w:r>
        <w:rPr>
          <w:sz w:val="20"/>
        </w:rPr>
        <w:t>had ‘listened</w:t>
      </w:r>
      <w:r>
        <w:rPr>
          <w:spacing w:val="-3"/>
          <w:sz w:val="20"/>
        </w:rPr>
        <w:t> </w:t>
      </w:r>
      <w:r>
        <w:rPr>
          <w:sz w:val="20"/>
        </w:rPr>
        <w:t>to</w:t>
      </w:r>
      <w:r>
        <w:rPr>
          <w:spacing w:val="-4"/>
          <w:sz w:val="20"/>
        </w:rPr>
        <w:t> </w:t>
      </w:r>
      <w:r>
        <w:rPr>
          <w:sz w:val="20"/>
        </w:rPr>
        <w:t>what</w:t>
      </w:r>
      <w:r>
        <w:rPr>
          <w:spacing w:val="-4"/>
          <w:sz w:val="20"/>
        </w:rPr>
        <w:t> </w:t>
      </w:r>
      <w:r>
        <w:rPr>
          <w:sz w:val="20"/>
        </w:rPr>
        <w:t>[they]</w:t>
      </w:r>
      <w:r>
        <w:rPr>
          <w:spacing w:val="-4"/>
          <w:sz w:val="20"/>
        </w:rPr>
        <w:t> </w:t>
      </w:r>
      <w:r>
        <w:rPr>
          <w:sz w:val="20"/>
        </w:rPr>
        <w:t>had</w:t>
      </w:r>
      <w:r>
        <w:rPr>
          <w:spacing w:val="-3"/>
          <w:sz w:val="20"/>
        </w:rPr>
        <w:t> </w:t>
      </w:r>
      <w:r>
        <w:rPr>
          <w:sz w:val="20"/>
        </w:rPr>
        <w:t>to</w:t>
      </w:r>
      <w:r>
        <w:rPr>
          <w:spacing w:val="-5"/>
          <w:sz w:val="20"/>
        </w:rPr>
        <w:t> </w:t>
      </w:r>
      <w:r>
        <w:rPr>
          <w:sz w:val="20"/>
        </w:rPr>
        <w:t>say’</w:t>
      </w:r>
      <w:r>
        <w:rPr>
          <w:spacing w:val="-4"/>
          <w:sz w:val="20"/>
        </w:rPr>
        <w:t> </w:t>
      </w:r>
      <w:r>
        <w:rPr>
          <w:sz w:val="20"/>
        </w:rPr>
        <w:t>(94</w:t>
      </w:r>
      <w:r>
        <w:rPr>
          <w:spacing w:val="-3"/>
          <w:sz w:val="20"/>
        </w:rPr>
        <w:t> </w:t>
      </w:r>
      <w:r>
        <w:rPr>
          <w:sz w:val="20"/>
        </w:rPr>
        <w:t>per</w:t>
      </w:r>
      <w:r>
        <w:rPr>
          <w:spacing w:val="-3"/>
          <w:sz w:val="20"/>
        </w:rPr>
        <w:t> </w:t>
      </w:r>
      <w:r>
        <w:rPr>
          <w:sz w:val="20"/>
        </w:rPr>
        <w:t>cent)</w:t>
      </w:r>
      <w:r>
        <w:rPr>
          <w:spacing w:val="-3"/>
          <w:sz w:val="20"/>
        </w:rPr>
        <w:t> </w:t>
      </w:r>
      <w:r>
        <w:rPr>
          <w:sz w:val="20"/>
        </w:rPr>
        <w:t>and</w:t>
      </w:r>
      <w:r>
        <w:rPr>
          <w:spacing w:val="-4"/>
          <w:sz w:val="20"/>
        </w:rPr>
        <w:t> </w:t>
      </w:r>
      <w:r>
        <w:rPr>
          <w:sz w:val="20"/>
        </w:rPr>
        <w:t>was</w:t>
      </w:r>
      <w:r>
        <w:rPr>
          <w:spacing w:val="-4"/>
          <w:sz w:val="20"/>
        </w:rPr>
        <w:t> </w:t>
      </w:r>
      <w:r>
        <w:rPr>
          <w:sz w:val="20"/>
        </w:rPr>
        <w:t>‘trustworthy’</w:t>
      </w:r>
      <w:r>
        <w:rPr>
          <w:spacing w:val="-3"/>
          <w:sz w:val="20"/>
        </w:rPr>
        <w:t> </w:t>
      </w:r>
      <w:r>
        <w:rPr>
          <w:sz w:val="20"/>
        </w:rPr>
        <w:t>(90 per</w:t>
      </w:r>
      <w:r>
        <w:rPr>
          <w:spacing w:val="-13"/>
          <w:sz w:val="20"/>
        </w:rPr>
        <w:t> </w:t>
      </w:r>
      <w:r>
        <w:rPr>
          <w:sz w:val="20"/>
        </w:rPr>
        <w:t>cent)</w:t>
      </w:r>
      <w:r>
        <w:rPr>
          <w:spacing w:val="-14"/>
          <w:sz w:val="20"/>
        </w:rPr>
        <w:t> </w:t>
      </w:r>
      <w:r>
        <w:rPr>
          <w:sz w:val="20"/>
        </w:rPr>
        <w:t>than</w:t>
      </w:r>
      <w:r>
        <w:rPr>
          <w:spacing w:val="-12"/>
          <w:sz w:val="20"/>
        </w:rPr>
        <w:t> </w:t>
      </w:r>
      <w:r>
        <w:rPr>
          <w:sz w:val="20"/>
        </w:rPr>
        <w:t>claimants</w:t>
      </w:r>
      <w:r>
        <w:rPr>
          <w:spacing w:val="-13"/>
          <w:sz w:val="20"/>
        </w:rPr>
        <w:t> </w:t>
      </w:r>
      <w:r>
        <w:rPr>
          <w:sz w:val="20"/>
        </w:rPr>
        <w:t>(86</w:t>
      </w:r>
      <w:r>
        <w:rPr>
          <w:spacing w:val="-14"/>
          <w:sz w:val="20"/>
        </w:rPr>
        <w:t> </w:t>
      </w:r>
      <w:r>
        <w:rPr>
          <w:sz w:val="20"/>
        </w:rPr>
        <w:t>per</w:t>
      </w:r>
      <w:r>
        <w:rPr>
          <w:spacing w:val="-14"/>
          <w:sz w:val="20"/>
        </w:rPr>
        <w:t> </w:t>
      </w:r>
      <w:r>
        <w:rPr>
          <w:sz w:val="20"/>
        </w:rPr>
        <w:t>cent</w:t>
      </w:r>
      <w:r>
        <w:rPr>
          <w:spacing w:val="-14"/>
          <w:sz w:val="20"/>
        </w:rPr>
        <w:t> </w:t>
      </w:r>
      <w:r>
        <w:rPr>
          <w:sz w:val="20"/>
        </w:rPr>
        <w:t>and</w:t>
      </w:r>
      <w:r>
        <w:rPr>
          <w:spacing w:val="-14"/>
          <w:sz w:val="20"/>
        </w:rPr>
        <w:t> </w:t>
      </w:r>
      <w:r>
        <w:rPr>
          <w:sz w:val="20"/>
        </w:rPr>
        <w:t>81</w:t>
      </w:r>
      <w:r>
        <w:rPr>
          <w:spacing w:val="-14"/>
          <w:sz w:val="20"/>
        </w:rPr>
        <w:t> </w:t>
      </w:r>
      <w:r>
        <w:rPr>
          <w:sz w:val="20"/>
        </w:rPr>
        <w:t>per</w:t>
      </w:r>
      <w:r>
        <w:rPr>
          <w:spacing w:val="-13"/>
          <w:sz w:val="20"/>
        </w:rPr>
        <w:t> </w:t>
      </w:r>
      <w:r>
        <w:rPr>
          <w:sz w:val="20"/>
        </w:rPr>
        <w:t>cent),</w:t>
      </w:r>
      <w:r>
        <w:rPr>
          <w:spacing w:val="-12"/>
          <w:sz w:val="20"/>
        </w:rPr>
        <w:t> </w:t>
      </w:r>
      <w:r>
        <w:rPr>
          <w:sz w:val="20"/>
        </w:rPr>
        <w:t>although</w:t>
      </w:r>
      <w:r>
        <w:rPr>
          <w:spacing w:val="-12"/>
          <w:sz w:val="20"/>
        </w:rPr>
        <w:t> </w:t>
      </w:r>
      <w:r>
        <w:rPr>
          <w:sz w:val="20"/>
        </w:rPr>
        <w:t>ratings</w:t>
      </w:r>
      <w:r>
        <w:rPr>
          <w:spacing w:val="-13"/>
          <w:sz w:val="20"/>
        </w:rPr>
        <w:t> </w:t>
      </w:r>
      <w:r>
        <w:rPr>
          <w:sz w:val="20"/>
        </w:rPr>
        <w:t>are strong for both groups.</w:t>
      </w:r>
    </w:p>
    <w:p>
      <w:pPr>
        <w:pStyle w:val="ListParagraph"/>
        <w:numPr>
          <w:ilvl w:val="0"/>
          <w:numId w:val="20"/>
        </w:numPr>
        <w:tabs>
          <w:tab w:pos="2058" w:val="left" w:leader="none"/>
        </w:tabs>
        <w:spacing w:line="240" w:lineRule="auto" w:before="0" w:after="0"/>
        <w:ind w:left="2057" w:right="1474" w:hanging="360"/>
        <w:jc w:val="both"/>
        <w:rPr>
          <w:sz w:val="20"/>
        </w:rPr>
      </w:pPr>
      <w:r>
        <w:rPr>
          <w:sz w:val="20"/>
        </w:rPr>
        <w:t>Employer representatives were more likely to perceive the conciliator as ‘trustworthy’</w:t>
      </w:r>
      <w:r>
        <w:rPr>
          <w:spacing w:val="-15"/>
          <w:sz w:val="20"/>
        </w:rPr>
        <w:t> </w:t>
      </w:r>
      <w:r>
        <w:rPr>
          <w:sz w:val="20"/>
        </w:rPr>
        <w:t>(92</w:t>
      </w:r>
      <w:r>
        <w:rPr>
          <w:spacing w:val="-15"/>
          <w:sz w:val="20"/>
        </w:rPr>
        <w:t> </w:t>
      </w:r>
      <w:r>
        <w:rPr>
          <w:sz w:val="20"/>
        </w:rPr>
        <w:t>per</w:t>
      </w:r>
      <w:r>
        <w:rPr>
          <w:spacing w:val="-15"/>
          <w:sz w:val="20"/>
        </w:rPr>
        <w:t> </w:t>
      </w:r>
      <w:r>
        <w:rPr>
          <w:sz w:val="20"/>
        </w:rPr>
        <w:t>cent)</w:t>
      </w:r>
      <w:r>
        <w:rPr>
          <w:spacing w:val="-15"/>
          <w:sz w:val="20"/>
        </w:rPr>
        <w:t> </w:t>
      </w:r>
      <w:r>
        <w:rPr>
          <w:sz w:val="20"/>
        </w:rPr>
        <w:t>than</w:t>
      </w:r>
      <w:r>
        <w:rPr>
          <w:spacing w:val="-15"/>
          <w:sz w:val="20"/>
        </w:rPr>
        <w:t> </w:t>
      </w:r>
      <w:r>
        <w:rPr>
          <w:sz w:val="20"/>
        </w:rPr>
        <w:t>employers</w:t>
      </w:r>
      <w:r>
        <w:rPr>
          <w:spacing w:val="-15"/>
          <w:sz w:val="20"/>
        </w:rPr>
        <w:t> </w:t>
      </w:r>
      <w:r>
        <w:rPr>
          <w:sz w:val="20"/>
        </w:rPr>
        <w:t>themselves</w:t>
      </w:r>
      <w:r>
        <w:rPr>
          <w:spacing w:val="-15"/>
          <w:sz w:val="20"/>
        </w:rPr>
        <w:t> </w:t>
      </w:r>
      <w:r>
        <w:rPr>
          <w:sz w:val="20"/>
        </w:rPr>
        <w:t>(84</w:t>
      </w:r>
      <w:r>
        <w:rPr>
          <w:spacing w:val="-15"/>
          <w:sz w:val="20"/>
        </w:rPr>
        <w:t> </w:t>
      </w:r>
      <w:r>
        <w:rPr>
          <w:sz w:val="20"/>
        </w:rPr>
        <w:t>per</w:t>
      </w:r>
      <w:r>
        <w:rPr>
          <w:spacing w:val="-15"/>
          <w:sz w:val="20"/>
        </w:rPr>
        <w:t> </w:t>
      </w:r>
      <w:r>
        <w:rPr>
          <w:sz w:val="20"/>
        </w:rPr>
        <w:t>cent).</w:t>
      </w:r>
      <w:r>
        <w:rPr>
          <w:spacing w:val="-16"/>
          <w:sz w:val="20"/>
        </w:rPr>
        <w:t> </w:t>
      </w:r>
      <w:r>
        <w:rPr>
          <w:sz w:val="20"/>
        </w:rPr>
        <w:t>Again, these scores remain high for both audiences.</w:t>
      </w:r>
    </w:p>
    <w:p>
      <w:pPr>
        <w:pStyle w:val="BodyText"/>
        <w:spacing w:before="9"/>
        <w:rPr>
          <w:sz w:val="19"/>
        </w:rPr>
      </w:pPr>
    </w:p>
    <w:p>
      <w:pPr>
        <w:pStyle w:val="BodyText"/>
        <w:spacing w:before="1"/>
        <w:ind w:left="1337"/>
        <w:jc w:val="both"/>
      </w:pPr>
      <w:r>
        <w:rPr/>
        <w:t>There</w:t>
      </w:r>
      <w:r>
        <w:rPr>
          <w:spacing w:val="-3"/>
        </w:rPr>
        <w:t> </w:t>
      </w:r>
      <w:r>
        <w:rPr/>
        <w:t>were</w:t>
      </w:r>
      <w:r>
        <w:rPr>
          <w:spacing w:val="-5"/>
        </w:rPr>
        <w:t> </w:t>
      </w:r>
      <w:r>
        <w:rPr/>
        <w:t>also</w:t>
      </w:r>
      <w:r>
        <w:rPr>
          <w:spacing w:val="-3"/>
        </w:rPr>
        <w:t> </w:t>
      </w:r>
      <w:r>
        <w:rPr/>
        <w:t>some</w:t>
      </w:r>
      <w:r>
        <w:rPr>
          <w:spacing w:val="-2"/>
        </w:rPr>
        <w:t> </w:t>
      </w:r>
      <w:r>
        <w:rPr/>
        <w:t>differences</w:t>
      </w:r>
      <w:r>
        <w:rPr>
          <w:spacing w:val="-3"/>
        </w:rPr>
        <w:t> </w:t>
      </w:r>
      <w:r>
        <w:rPr/>
        <w:t>observed</w:t>
      </w:r>
      <w:r>
        <w:rPr>
          <w:spacing w:val="-3"/>
        </w:rPr>
        <w:t> </w:t>
      </w:r>
      <w:r>
        <w:rPr/>
        <w:t>by</w:t>
      </w:r>
      <w:r>
        <w:rPr>
          <w:spacing w:val="-5"/>
        </w:rPr>
        <w:t> </w:t>
      </w:r>
      <w:r>
        <w:rPr/>
        <w:t>case</w:t>
      </w:r>
      <w:r>
        <w:rPr>
          <w:spacing w:val="-2"/>
        </w:rPr>
        <w:t> track:</w:t>
      </w:r>
    </w:p>
    <w:p>
      <w:pPr>
        <w:pStyle w:val="BodyText"/>
        <w:spacing w:before="12"/>
        <w:rPr>
          <w:sz w:val="19"/>
        </w:rPr>
      </w:pPr>
    </w:p>
    <w:p>
      <w:pPr>
        <w:pStyle w:val="ListParagraph"/>
        <w:numPr>
          <w:ilvl w:val="0"/>
          <w:numId w:val="20"/>
        </w:numPr>
        <w:tabs>
          <w:tab w:pos="2058" w:val="left" w:leader="none"/>
        </w:tabs>
        <w:spacing w:line="240" w:lineRule="auto" w:before="0" w:after="0"/>
        <w:ind w:left="2057" w:right="1474" w:hanging="360"/>
        <w:jc w:val="both"/>
        <w:rPr>
          <w:sz w:val="20"/>
        </w:rPr>
      </w:pPr>
      <w:r>
        <w:rPr>
          <w:sz w:val="20"/>
        </w:rPr>
        <w:t>Claimant-side participants in open track disputes were generally less likely to</w:t>
      </w:r>
      <w:r>
        <w:rPr>
          <w:spacing w:val="-14"/>
          <w:sz w:val="20"/>
        </w:rPr>
        <w:t> </w:t>
      </w:r>
      <w:r>
        <w:rPr>
          <w:sz w:val="20"/>
        </w:rPr>
        <w:t>agree</w:t>
      </w:r>
      <w:r>
        <w:rPr>
          <w:spacing w:val="-15"/>
          <w:sz w:val="20"/>
        </w:rPr>
        <w:t> </w:t>
      </w:r>
      <w:r>
        <w:rPr>
          <w:sz w:val="20"/>
        </w:rPr>
        <w:t>with</w:t>
      </w:r>
      <w:r>
        <w:rPr>
          <w:spacing w:val="-13"/>
          <w:sz w:val="20"/>
        </w:rPr>
        <w:t> </w:t>
      </w:r>
      <w:r>
        <w:rPr>
          <w:sz w:val="20"/>
        </w:rPr>
        <w:t>each</w:t>
      </w:r>
      <w:r>
        <w:rPr>
          <w:spacing w:val="-15"/>
          <w:sz w:val="20"/>
        </w:rPr>
        <w:t> </w:t>
      </w:r>
      <w:r>
        <w:rPr>
          <w:sz w:val="20"/>
        </w:rPr>
        <w:t>statement</w:t>
      </w:r>
      <w:r>
        <w:rPr>
          <w:spacing w:val="-15"/>
          <w:sz w:val="20"/>
        </w:rPr>
        <w:t> </w:t>
      </w:r>
      <w:r>
        <w:rPr>
          <w:sz w:val="20"/>
        </w:rPr>
        <w:t>than</w:t>
      </w:r>
      <w:r>
        <w:rPr>
          <w:spacing w:val="-15"/>
          <w:sz w:val="20"/>
        </w:rPr>
        <w:t> </w:t>
      </w:r>
      <w:r>
        <w:rPr>
          <w:sz w:val="20"/>
        </w:rPr>
        <w:t>those</w:t>
      </w:r>
      <w:r>
        <w:rPr>
          <w:spacing w:val="-14"/>
          <w:sz w:val="20"/>
        </w:rPr>
        <w:t> </w:t>
      </w:r>
      <w:r>
        <w:rPr>
          <w:sz w:val="20"/>
        </w:rPr>
        <w:t>involved</w:t>
      </w:r>
      <w:r>
        <w:rPr>
          <w:spacing w:val="-14"/>
          <w:sz w:val="20"/>
        </w:rPr>
        <w:t> </w:t>
      </w:r>
      <w:r>
        <w:rPr>
          <w:sz w:val="20"/>
        </w:rPr>
        <w:t>in</w:t>
      </w:r>
      <w:r>
        <w:rPr>
          <w:spacing w:val="-15"/>
          <w:sz w:val="20"/>
        </w:rPr>
        <w:t> </w:t>
      </w:r>
      <w:r>
        <w:rPr>
          <w:sz w:val="20"/>
        </w:rPr>
        <w:t>fast</w:t>
      </w:r>
      <w:r>
        <w:rPr>
          <w:spacing w:val="-15"/>
          <w:sz w:val="20"/>
        </w:rPr>
        <w:t> </w:t>
      </w:r>
      <w:r>
        <w:rPr>
          <w:sz w:val="20"/>
        </w:rPr>
        <w:t>track</w:t>
      </w:r>
      <w:r>
        <w:rPr>
          <w:spacing w:val="-14"/>
          <w:sz w:val="20"/>
        </w:rPr>
        <w:t> </w:t>
      </w:r>
      <w:r>
        <w:rPr>
          <w:sz w:val="20"/>
        </w:rPr>
        <w:t>disputes</w:t>
      </w:r>
      <w:r>
        <w:rPr>
          <w:spacing w:val="-14"/>
          <w:sz w:val="20"/>
        </w:rPr>
        <w:t> </w:t>
      </w:r>
      <w:r>
        <w:rPr>
          <w:sz w:val="20"/>
        </w:rPr>
        <w:t>(and often in standard cases too).</w:t>
      </w:r>
    </w:p>
    <w:p>
      <w:pPr>
        <w:pStyle w:val="ListParagraph"/>
        <w:numPr>
          <w:ilvl w:val="0"/>
          <w:numId w:val="20"/>
        </w:numPr>
        <w:tabs>
          <w:tab w:pos="2058" w:val="left" w:leader="none"/>
        </w:tabs>
        <w:spacing w:line="240" w:lineRule="auto" w:before="0" w:after="0"/>
        <w:ind w:left="2057" w:right="1473" w:hanging="360"/>
        <w:jc w:val="both"/>
        <w:rPr>
          <w:sz w:val="20"/>
        </w:rPr>
      </w:pPr>
      <w:r>
        <w:rPr>
          <w:sz w:val="20"/>
        </w:rPr>
        <w:t>Employer-side participants in open track disputes were less likely to agree that</w:t>
      </w:r>
      <w:r>
        <w:rPr>
          <w:spacing w:val="-11"/>
          <w:sz w:val="20"/>
        </w:rPr>
        <w:t> </w:t>
      </w:r>
      <w:r>
        <w:rPr>
          <w:sz w:val="20"/>
        </w:rPr>
        <w:t>the</w:t>
      </w:r>
      <w:r>
        <w:rPr>
          <w:spacing w:val="-11"/>
          <w:sz w:val="20"/>
        </w:rPr>
        <w:t> </w:t>
      </w:r>
      <w:r>
        <w:rPr>
          <w:sz w:val="20"/>
        </w:rPr>
        <w:t>conciliator</w:t>
      </w:r>
      <w:r>
        <w:rPr>
          <w:spacing w:val="-11"/>
          <w:sz w:val="20"/>
        </w:rPr>
        <w:t> </w:t>
      </w:r>
      <w:r>
        <w:rPr>
          <w:sz w:val="20"/>
        </w:rPr>
        <w:t>was</w:t>
      </w:r>
      <w:r>
        <w:rPr>
          <w:spacing w:val="-10"/>
          <w:sz w:val="20"/>
        </w:rPr>
        <w:t> </w:t>
      </w:r>
      <w:r>
        <w:rPr>
          <w:sz w:val="20"/>
        </w:rPr>
        <w:t>‘actively</w:t>
      </w:r>
      <w:r>
        <w:rPr>
          <w:spacing w:val="-10"/>
          <w:sz w:val="20"/>
        </w:rPr>
        <w:t> </w:t>
      </w:r>
      <w:r>
        <w:rPr>
          <w:sz w:val="20"/>
        </w:rPr>
        <w:t>involved</w:t>
      </w:r>
      <w:r>
        <w:rPr>
          <w:spacing w:val="-10"/>
          <w:sz w:val="20"/>
        </w:rPr>
        <w:t> </w:t>
      </w:r>
      <w:r>
        <w:rPr>
          <w:sz w:val="20"/>
        </w:rPr>
        <w:t>in</w:t>
      </w:r>
      <w:r>
        <w:rPr>
          <w:spacing w:val="-10"/>
          <w:sz w:val="20"/>
        </w:rPr>
        <w:t> </w:t>
      </w:r>
      <w:r>
        <w:rPr>
          <w:sz w:val="20"/>
        </w:rPr>
        <w:t>seeking</w:t>
      </w:r>
      <w:r>
        <w:rPr>
          <w:spacing w:val="-10"/>
          <w:sz w:val="20"/>
        </w:rPr>
        <w:t> </w:t>
      </w:r>
      <w:r>
        <w:rPr>
          <w:sz w:val="20"/>
        </w:rPr>
        <w:t>an</w:t>
      </w:r>
      <w:r>
        <w:rPr>
          <w:spacing w:val="-10"/>
          <w:sz w:val="20"/>
        </w:rPr>
        <w:t> </w:t>
      </w:r>
      <w:r>
        <w:rPr>
          <w:sz w:val="20"/>
        </w:rPr>
        <w:t>agreement</w:t>
      </w:r>
      <w:r>
        <w:rPr>
          <w:spacing w:val="-10"/>
          <w:sz w:val="20"/>
        </w:rPr>
        <w:t> </w:t>
      </w:r>
      <w:r>
        <w:rPr>
          <w:sz w:val="20"/>
        </w:rPr>
        <w:t>to</w:t>
      </w:r>
      <w:r>
        <w:rPr>
          <w:spacing w:val="-11"/>
          <w:sz w:val="20"/>
        </w:rPr>
        <w:t> </w:t>
      </w:r>
      <w:r>
        <w:rPr>
          <w:sz w:val="20"/>
        </w:rPr>
        <w:t>settle’ than</w:t>
      </w:r>
      <w:r>
        <w:rPr>
          <w:spacing w:val="-5"/>
          <w:sz w:val="20"/>
        </w:rPr>
        <w:t> </w:t>
      </w:r>
      <w:r>
        <w:rPr>
          <w:sz w:val="20"/>
        </w:rPr>
        <w:t>those</w:t>
      </w:r>
      <w:r>
        <w:rPr>
          <w:spacing w:val="-5"/>
          <w:sz w:val="20"/>
        </w:rPr>
        <w:t> </w:t>
      </w:r>
      <w:r>
        <w:rPr>
          <w:sz w:val="20"/>
        </w:rPr>
        <w:t>involved</w:t>
      </w:r>
      <w:r>
        <w:rPr>
          <w:spacing w:val="-4"/>
          <w:sz w:val="20"/>
        </w:rPr>
        <w:t> </w:t>
      </w:r>
      <w:r>
        <w:rPr>
          <w:sz w:val="20"/>
        </w:rPr>
        <w:t>in</w:t>
      </w:r>
      <w:r>
        <w:rPr>
          <w:spacing w:val="-4"/>
          <w:sz w:val="20"/>
        </w:rPr>
        <w:t> </w:t>
      </w:r>
      <w:r>
        <w:rPr>
          <w:sz w:val="20"/>
        </w:rPr>
        <w:t>fast</w:t>
      </w:r>
      <w:r>
        <w:rPr>
          <w:spacing w:val="-4"/>
          <w:sz w:val="20"/>
        </w:rPr>
        <w:t> </w:t>
      </w:r>
      <w:r>
        <w:rPr>
          <w:sz w:val="20"/>
        </w:rPr>
        <w:t>track</w:t>
      </w:r>
      <w:r>
        <w:rPr>
          <w:spacing w:val="-5"/>
          <w:sz w:val="20"/>
        </w:rPr>
        <w:t> </w:t>
      </w:r>
      <w:r>
        <w:rPr>
          <w:sz w:val="20"/>
        </w:rPr>
        <w:t>cases.</w:t>
      </w:r>
      <w:r>
        <w:rPr>
          <w:spacing w:val="-4"/>
          <w:sz w:val="20"/>
        </w:rPr>
        <w:t> </w:t>
      </w:r>
      <w:r>
        <w:rPr>
          <w:sz w:val="20"/>
        </w:rPr>
        <w:t>There</w:t>
      </w:r>
      <w:r>
        <w:rPr>
          <w:spacing w:val="-6"/>
          <w:sz w:val="20"/>
        </w:rPr>
        <w:t> </w:t>
      </w:r>
      <w:r>
        <w:rPr>
          <w:sz w:val="20"/>
        </w:rPr>
        <w:t>were</w:t>
      </w:r>
      <w:r>
        <w:rPr>
          <w:spacing w:val="-5"/>
          <w:sz w:val="20"/>
        </w:rPr>
        <w:t> </w:t>
      </w:r>
      <w:r>
        <w:rPr>
          <w:sz w:val="20"/>
        </w:rPr>
        <w:t>otherwise</w:t>
      </w:r>
      <w:r>
        <w:rPr>
          <w:spacing w:val="-5"/>
          <w:sz w:val="20"/>
        </w:rPr>
        <w:t> </w:t>
      </w:r>
      <w:r>
        <w:rPr>
          <w:sz w:val="20"/>
        </w:rPr>
        <w:t>no</w:t>
      </w:r>
      <w:r>
        <w:rPr>
          <w:spacing w:val="-5"/>
          <w:sz w:val="20"/>
        </w:rPr>
        <w:t> </w:t>
      </w:r>
      <w:r>
        <w:rPr>
          <w:sz w:val="20"/>
        </w:rPr>
        <w:t>significant differences by case track for this audience other than those in open track</w:t>
      </w:r>
    </w:p>
    <w:p>
      <w:pPr>
        <w:spacing w:after="0" w:line="240" w:lineRule="auto"/>
        <w:jc w:val="both"/>
        <w:rPr>
          <w:sz w:val="20"/>
        </w:rPr>
        <w:sectPr>
          <w:pgSz w:w="11910" w:h="16840"/>
          <w:pgMar w:header="0" w:footer="996" w:top="1340" w:bottom="1180" w:left="460" w:right="320"/>
        </w:sectPr>
      </w:pPr>
    </w:p>
    <w:p>
      <w:pPr>
        <w:pStyle w:val="BodyText"/>
        <w:spacing w:before="82"/>
        <w:ind w:left="2057" w:right="1472"/>
      </w:pPr>
      <w:r>
        <w:rPr/>
        <w:t>cases being significantly less likely to agree the conciliator ‘understood the circumstances of the case’ than those in standard and fast track cases.</w:t>
      </w:r>
    </w:p>
    <w:p>
      <w:pPr>
        <w:pStyle w:val="BodyText"/>
        <w:spacing w:before="11"/>
        <w:rPr>
          <w:sz w:val="19"/>
        </w:rPr>
      </w:pPr>
    </w:p>
    <w:p>
      <w:pPr>
        <w:pStyle w:val="BodyText"/>
        <w:ind w:left="1337"/>
        <w:jc w:val="both"/>
      </w:pPr>
      <w:r>
        <w:rPr/>
        <w:t>As</w:t>
      </w:r>
      <w:r>
        <w:rPr>
          <w:spacing w:val="-6"/>
        </w:rPr>
        <w:t> </w:t>
      </w:r>
      <w:r>
        <w:rPr/>
        <w:t>well</w:t>
      </w:r>
      <w:r>
        <w:rPr>
          <w:spacing w:val="-4"/>
        </w:rPr>
        <w:t> </w:t>
      </w:r>
      <w:r>
        <w:rPr/>
        <w:t>as</w:t>
      </w:r>
      <w:r>
        <w:rPr>
          <w:spacing w:val="-3"/>
        </w:rPr>
        <w:t> </w:t>
      </w:r>
      <w:r>
        <w:rPr/>
        <w:t>differences</w:t>
      </w:r>
      <w:r>
        <w:rPr>
          <w:spacing w:val="-3"/>
        </w:rPr>
        <w:t> </w:t>
      </w:r>
      <w:r>
        <w:rPr/>
        <w:t>depending</w:t>
      </w:r>
      <w:r>
        <w:rPr>
          <w:spacing w:val="-3"/>
        </w:rPr>
        <w:t> </w:t>
      </w:r>
      <w:r>
        <w:rPr/>
        <w:t>on</w:t>
      </w:r>
      <w:r>
        <w:rPr>
          <w:spacing w:val="-3"/>
        </w:rPr>
        <w:t> </w:t>
      </w:r>
      <w:r>
        <w:rPr/>
        <w:t>the</w:t>
      </w:r>
      <w:r>
        <w:rPr>
          <w:spacing w:val="-4"/>
        </w:rPr>
        <w:t> </w:t>
      </w:r>
      <w:r>
        <w:rPr/>
        <w:t>number</w:t>
      </w:r>
      <w:r>
        <w:rPr>
          <w:spacing w:val="-3"/>
        </w:rPr>
        <w:t> </w:t>
      </w:r>
      <w:r>
        <w:rPr/>
        <w:t>of</w:t>
      </w:r>
      <w:r>
        <w:rPr>
          <w:spacing w:val="-3"/>
        </w:rPr>
        <w:t> </w:t>
      </w:r>
      <w:r>
        <w:rPr/>
        <w:t>conciliators</w:t>
      </w:r>
      <w:r>
        <w:rPr>
          <w:spacing w:val="-3"/>
        </w:rPr>
        <w:t> </w:t>
      </w:r>
      <w:r>
        <w:rPr>
          <w:spacing w:val="-2"/>
        </w:rPr>
        <w:t>used:</w:t>
      </w:r>
    </w:p>
    <w:p>
      <w:pPr>
        <w:pStyle w:val="BodyText"/>
      </w:pPr>
    </w:p>
    <w:p>
      <w:pPr>
        <w:pStyle w:val="ListParagraph"/>
        <w:numPr>
          <w:ilvl w:val="0"/>
          <w:numId w:val="20"/>
        </w:numPr>
        <w:tabs>
          <w:tab w:pos="2134" w:val="left" w:leader="none"/>
        </w:tabs>
        <w:spacing w:line="240" w:lineRule="auto" w:before="0" w:after="0"/>
        <w:ind w:left="2133" w:right="1472" w:hanging="360"/>
        <w:jc w:val="both"/>
        <w:rPr>
          <w:sz w:val="20"/>
        </w:rPr>
      </w:pPr>
      <w:r>
        <w:rPr>
          <w:sz w:val="20"/>
        </w:rPr>
        <w:t>Among employer-side participants, those in contact with more than one conciliator were significantly less likely to agree with the statements than those</w:t>
      </w:r>
      <w:r>
        <w:rPr>
          <w:spacing w:val="-4"/>
          <w:sz w:val="20"/>
        </w:rPr>
        <w:t> </w:t>
      </w:r>
      <w:r>
        <w:rPr>
          <w:sz w:val="20"/>
        </w:rPr>
        <w:t>in</w:t>
      </w:r>
      <w:r>
        <w:rPr>
          <w:spacing w:val="-3"/>
          <w:sz w:val="20"/>
        </w:rPr>
        <w:t> </w:t>
      </w:r>
      <w:r>
        <w:rPr>
          <w:sz w:val="20"/>
        </w:rPr>
        <w:t>contact</w:t>
      </w:r>
      <w:r>
        <w:rPr>
          <w:spacing w:val="-4"/>
          <w:sz w:val="20"/>
        </w:rPr>
        <w:t> </w:t>
      </w:r>
      <w:r>
        <w:rPr>
          <w:sz w:val="20"/>
        </w:rPr>
        <w:t>with</w:t>
      </w:r>
      <w:r>
        <w:rPr>
          <w:spacing w:val="-3"/>
          <w:sz w:val="20"/>
        </w:rPr>
        <w:t> </w:t>
      </w:r>
      <w:r>
        <w:rPr>
          <w:sz w:val="20"/>
        </w:rPr>
        <w:t>one</w:t>
      </w:r>
      <w:r>
        <w:rPr>
          <w:spacing w:val="-4"/>
          <w:sz w:val="20"/>
        </w:rPr>
        <w:t> </w:t>
      </w:r>
      <w:r>
        <w:rPr>
          <w:sz w:val="20"/>
        </w:rPr>
        <w:t>apart</w:t>
      </w:r>
      <w:r>
        <w:rPr>
          <w:spacing w:val="-3"/>
          <w:sz w:val="20"/>
        </w:rPr>
        <w:t> </w:t>
      </w:r>
      <w:r>
        <w:rPr>
          <w:sz w:val="20"/>
        </w:rPr>
        <w:t>from</w:t>
      </w:r>
      <w:r>
        <w:rPr>
          <w:spacing w:val="-4"/>
          <w:sz w:val="20"/>
        </w:rPr>
        <w:t> </w:t>
      </w:r>
      <w:r>
        <w:rPr>
          <w:sz w:val="20"/>
        </w:rPr>
        <w:t>the</w:t>
      </w:r>
      <w:r>
        <w:rPr>
          <w:spacing w:val="-4"/>
          <w:sz w:val="20"/>
        </w:rPr>
        <w:t> </w:t>
      </w:r>
      <w:r>
        <w:rPr>
          <w:sz w:val="20"/>
        </w:rPr>
        <w:t>statements</w:t>
      </w:r>
      <w:r>
        <w:rPr>
          <w:spacing w:val="-3"/>
          <w:sz w:val="20"/>
        </w:rPr>
        <w:t> </w:t>
      </w:r>
      <w:r>
        <w:rPr>
          <w:sz w:val="20"/>
        </w:rPr>
        <w:t>‘was</w:t>
      </w:r>
      <w:r>
        <w:rPr>
          <w:spacing w:val="-4"/>
          <w:sz w:val="20"/>
        </w:rPr>
        <w:t> </w:t>
      </w:r>
      <w:r>
        <w:rPr>
          <w:sz w:val="20"/>
        </w:rPr>
        <w:t>trustworthy’</w:t>
      </w:r>
      <w:r>
        <w:rPr>
          <w:spacing w:val="-4"/>
          <w:sz w:val="20"/>
        </w:rPr>
        <w:t> </w:t>
      </w:r>
      <w:r>
        <w:rPr>
          <w:sz w:val="20"/>
        </w:rPr>
        <w:t>and ‘Helped you to decide whether or not to settle your case, without undue </w:t>
      </w:r>
      <w:r>
        <w:rPr>
          <w:spacing w:val="-2"/>
          <w:sz w:val="20"/>
        </w:rPr>
        <w:t>influence’.</w:t>
      </w:r>
    </w:p>
    <w:p>
      <w:pPr>
        <w:pStyle w:val="ListParagraph"/>
        <w:numPr>
          <w:ilvl w:val="0"/>
          <w:numId w:val="20"/>
        </w:numPr>
        <w:tabs>
          <w:tab w:pos="2134" w:val="left" w:leader="none"/>
        </w:tabs>
        <w:spacing w:line="240" w:lineRule="auto" w:before="0" w:after="0"/>
        <w:ind w:left="2133" w:right="1473" w:hanging="360"/>
        <w:jc w:val="both"/>
        <w:rPr>
          <w:sz w:val="20"/>
        </w:rPr>
      </w:pPr>
      <w:r>
        <w:rPr>
          <w:sz w:val="20"/>
        </w:rPr>
        <w:t>No</w:t>
      </w:r>
      <w:r>
        <w:rPr>
          <w:spacing w:val="-3"/>
          <w:sz w:val="20"/>
        </w:rPr>
        <w:t> </w:t>
      </w:r>
      <w:r>
        <w:rPr>
          <w:sz w:val="20"/>
        </w:rPr>
        <w:t>significant</w:t>
      </w:r>
      <w:r>
        <w:rPr>
          <w:spacing w:val="-2"/>
          <w:sz w:val="20"/>
        </w:rPr>
        <w:t> </w:t>
      </w:r>
      <w:r>
        <w:rPr>
          <w:sz w:val="20"/>
        </w:rPr>
        <w:t>differences</w:t>
      </w:r>
      <w:r>
        <w:rPr>
          <w:spacing w:val="-3"/>
          <w:sz w:val="20"/>
        </w:rPr>
        <w:t> </w:t>
      </w:r>
      <w:r>
        <w:rPr>
          <w:sz w:val="20"/>
        </w:rPr>
        <w:t>were</w:t>
      </w:r>
      <w:r>
        <w:rPr>
          <w:spacing w:val="-3"/>
          <w:sz w:val="20"/>
        </w:rPr>
        <w:t> </w:t>
      </w:r>
      <w:r>
        <w:rPr>
          <w:sz w:val="20"/>
        </w:rPr>
        <w:t>observed</w:t>
      </w:r>
      <w:r>
        <w:rPr>
          <w:spacing w:val="-3"/>
          <w:sz w:val="20"/>
        </w:rPr>
        <w:t> </w:t>
      </w:r>
      <w:r>
        <w:rPr>
          <w:sz w:val="20"/>
        </w:rPr>
        <w:t>among</w:t>
      </w:r>
      <w:r>
        <w:rPr>
          <w:spacing w:val="-3"/>
          <w:sz w:val="20"/>
        </w:rPr>
        <w:t> </w:t>
      </w:r>
      <w:r>
        <w:rPr>
          <w:sz w:val="20"/>
        </w:rPr>
        <w:t>claimant-side</w:t>
      </w:r>
      <w:r>
        <w:rPr>
          <w:spacing w:val="-3"/>
          <w:sz w:val="20"/>
        </w:rPr>
        <w:t> </w:t>
      </w:r>
      <w:r>
        <w:rPr>
          <w:sz w:val="20"/>
        </w:rPr>
        <w:t>participants based on the number of conciliators used.</w:t>
      </w:r>
    </w:p>
    <w:p>
      <w:pPr>
        <w:pStyle w:val="BodyText"/>
        <w:spacing w:before="10"/>
        <w:rPr>
          <w:sz w:val="19"/>
        </w:rPr>
      </w:pPr>
    </w:p>
    <w:p>
      <w:pPr>
        <w:pStyle w:val="BodyText"/>
        <w:ind w:left="1337" w:right="1472"/>
        <w:jc w:val="both"/>
      </w:pPr>
      <w:r>
        <w:rPr/>
        <w:t>Case</w:t>
      </w:r>
      <w:r>
        <w:rPr>
          <w:spacing w:val="-6"/>
        </w:rPr>
        <w:t> </w:t>
      </w:r>
      <w:r>
        <w:rPr/>
        <w:t>outcome</w:t>
      </w:r>
      <w:r>
        <w:rPr>
          <w:spacing w:val="-6"/>
        </w:rPr>
        <w:t> </w:t>
      </w:r>
      <w:r>
        <w:rPr/>
        <w:t>was</w:t>
      </w:r>
      <w:r>
        <w:rPr>
          <w:spacing w:val="-5"/>
        </w:rPr>
        <w:t> </w:t>
      </w:r>
      <w:r>
        <w:rPr/>
        <w:t>also</w:t>
      </w:r>
      <w:r>
        <w:rPr>
          <w:spacing w:val="-6"/>
        </w:rPr>
        <w:t> </w:t>
      </w:r>
      <w:r>
        <w:rPr/>
        <w:t>an</w:t>
      </w:r>
      <w:r>
        <w:rPr>
          <w:spacing w:val="-5"/>
        </w:rPr>
        <w:t> </w:t>
      </w:r>
      <w:r>
        <w:rPr/>
        <w:t>important</w:t>
      </w:r>
      <w:r>
        <w:rPr>
          <w:spacing w:val="-5"/>
        </w:rPr>
        <w:t> </w:t>
      </w:r>
      <w:r>
        <w:rPr/>
        <w:t>indicator</w:t>
      </w:r>
      <w:r>
        <w:rPr>
          <w:spacing w:val="-6"/>
        </w:rPr>
        <w:t> </w:t>
      </w:r>
      <w:r>
        <w:rPr/>
        <w:t>of</w:t>
      </w:r>
      <w:r>
        <w:rPr>
          <w:spacing w:val="-5"/>
        </w:rPr>
        <w:t> </w:t>
      </w:r>
      <w:r>
        <w:rPr/>
        <w:t>participant</w:t>
      </w:r>
      <w:r>
        <w:rPr>
          <w:spacing w:val="-5"/>
        </w:rPr>
        <w:t> </w:t>
      </w:r>
      <w:r>
        <w:rPr/>
        <w:t>agreement</w:t>
      </w:r>
      <w:r>
        <w:rPr>
          <w:spacing w:val="-6"/>
        </w:rPr>
        <w:t> </w:t>
      </w:r>
      <w:r>
        <w:rPr/>
        <w:t>with</w:t>
      </w:r>
      <w:r>
        <w:rPr>
          <w:spacing w:val="-5"/>
        </w:rPr>
        <w:t> </w:t>
      </w:r>
      <w:r>
        <w:rPr/>
        <w:t>these statements, with participants for whom EC ended in a settlement more likely to agree with each statement.</w:t>
      </w:r>
    </w:p>
    <w:p>
      <w:pPr>
        <w:pStyle w:val="BodyText"/>
      </w:pPr>
    </w:p>
    <w:p>
      <w:pPr>
        <w:pStyle w:val="BodyText"/>
        <w:ind w:left="1337" w:right="1472"/>
        <w:jc w:val="both"/>
      </w:pPr>
      <w:r>
        <w:rPr/>
        <w:t>As in 2015, a large majority of claimant and employer-side participants felt that the conciliator had been even-handed in how they dealt with the dispute (76 per cent and 84 per cent respectively). A tenth (ten per cent) of claimant-side participants</w:t>
      </w:r>
      <w:r>
        <w:rPr>
          <w:spacing w:val="-8"/>
        </w:rPr>
        <w:t> </w:t>
      </w:r>
      <w:r>
        <w:rPr/>
        <w:t>felt</w:t>
      </w:r>
      <w:r>
        <w:rPr>
          <w:spacing w:val="-9"/>
        </w:rPr>
        <w:t> </w:t>
      </w:r>
      <w:r>
        <w:rPr/>
        <w:t>that</w:t>
      </w:r>
      <w:r>
        <w:rPr>
          <w:spacing w:val="-9"/>
        </w:rPr>
        <w:t> </w:t>
      </w:r>
      <w:r>
        <w:rPr/>
        <w:t>the</w:t>
      </w:r>
      <w:r>
        <w:rPr>
          <w:spacing w:val="-9"/>
        </w:rPr>
        <w:t> </w:t>
      </w:r>
      <w:r>
        <w:rPr/>
        <w:t>conciliator</w:t>
      </w:r>
      <w:r>
        <w:rPr>
          <w:spacing w:val="-8"/>
        </w:rPr>
        <w:t> </w:t>
      </w:r>
      <w:r>
        <w:rPr/>
        <w:t>had</w:t>
      </w:r>
      <w:r>
        <w:rPr>
          <w:spacing w:val="-9"/>
        </w:rPr>
        <w:t> </w:t>
      </w:r>
      <w:r>
        <w:rPr/>
        <w:t>been</w:t>
      </w:r>
      <w:r>
        <w:rPr>
          <w:spacing w:val="-10"/>
        </w:rPr>
        <w:t> </w:t>
      </w:r>
      <w:r>
        <w:rPr/>
        <w:t>more</w:t>
      </w:r>
      <w:r>
        <w:rPr>
          <w:spacing w:val="-9"/>
        </w:rPr>
        <w:t> </w:t>
      </w:r>
      <w:r>
        <w:rPr/>
        <w:t>on</w:t>
      </w:r>
      <w:r>
        <w:rPr>
          <w:spacing w:val="-9"/>
        </w:rPr>
        <w:t> </w:t>
      </w:r>
      <w:r>
        <w:rPr/>
        <w:t>their</w:t>
      </w:r>
      <w:r>
        <w:rPr>
          <w:spacing w:val="-8"/>
        </w:rPr>
        <w:t> </w:t>
      </w:r>
      <w:r>
        <w:rPr/>
        <w:t>side,</w:t>
      </w:r>
      <w:r>
        <w:rPr>
          <w:spacing w:val="-8"/>
        </w:rPr>
        <w:t> </w:t>
      </w:r>
      <w:r>
        <w:rPr/>
        <w:t>while</w:t>
      </w:r>
      <w:r>
        <w:rPr>
          <w:spacing w:val="-9"/>
        </w:rPr>
        <w:t> </w:t>
      </w:r>
      <w:r>
        <w:rPr/>
        <w:t>just</w:t>
      </w:r>
      <w:r>
        <w:rPr>
          <w:spacing w:val="-9"/>
        </w:rPr>
        <w:t> </w:t>
      </w:r>
      <w:r>
        <w:rPr/>
        <w:t>one</w:t>
      </w:r>
      <w:r>
        <w:rPr>
          <w:spacing w:val="-10"/>
        </w:rPr>
        <w:t> </w:t>
      </w:r>
      <w:r>
        <w:rPr/>
        <w:t>per cent</w:t>
      </w:r>
      <w:r>
        <w:rPr>
          <w:spacing w:val="-18"/>
        </w:rPr>
        <w:t> </w:t>
      </w:r>
      <w:r>
        <w:rPr/>
        <w:t>of</w:t>
      </w:r>
      <w:r>
        <w:rPr>
          <w:spacing w:val="-18"/>
        </w:rPr>
        <w:t> </w:t>
      </w:r>
      <w:r>
        <w:rPr/>
        <w:t>employer-side</w:t>
      </w:r>
      <w:r>
        <w:rPr>
          <w:spacing w:val="-17"/>
        </w:rPr>
        <w:t> </w:t>
      </w:r>
      <w:r>
        <w:rPr/>
        <w:t>participants</w:t>
      </w:r>
      <w:r>
        <w:rPr>
          <w:spacing w:val="-18"/>
        </w:rPr>
        <w:t> </w:t>
      </w:r>
      <w:r>
        <w:rPr/>
        <w:t>felt</w:t>
      </w:r>
      <w:r>
        <w:rPr>
          <w:spacing w:val="-17"/>
        </w:rPr>
        <w:t> </w:t>
      </w:r>
      <w:r>
        <w:rPr/>
        <w:t>the</w:t>
      </w:r>
      <w:r>
        <w:rPr>
          <w:spacing w:val="-18"/>
        </w:rPr>
        <w:t> </w:t>
      </w:r>
      <w:r>
        <w:rPr/>
        <w:t>same.</w:t>
      </w:r>
      <w:r>
        <w:rPr>
          <w:spacing w:val="-18"/>
        </w:rPr>
        <w:t> </w:t>
      </w:r>
      <w:r>
        <w:rPr/>
        <w:t>One</w:t>
      </w:r>
      <w:r>
        <w:rPr>
          <w:spacing w:val="-17"/>
        </w:rPr>
        <w:t> </w:t>
      </w:r>
      <w:r>
        <w:rPr/>
        <w:t>in</w:t>
      </w:r>
      <w:r>
        <w:rPr>
          <w:spacing w:val="-18"/>
        </w:rPr>
        <w:t> </w:t>
      </w:r>
      <w:r>
        <w:rPr/>
        <w:t>ten</w:t>
      </w:r>
      <w:r>
        <w:rPr>
          <w:spacing w:val="-17"/>
        </w:rPr>
        <w:t> </w:t>
      </w:r>
      <w:r>
        <w:rPr/>
        <w:t>(11</w:t>
      </w:r>
      <w:r>
        <w:rPr>
          <w:spacing w:val="-18"/>
        </w:rPr>
        <w:t> </w:t>
      </w:r>
      <w:r>
        <w:rPr/>
        <w:t>per</w:t>
      </w:r>
      <w:r>
        <w:rPr>
          <w:spacing w:val="-17"/>
        </w:rPr>
        <w:t> </w:t>
      </w:r>
      <w:r>
        <w:rPr/>
        <w:t>cent)</w:t>
      </w:r>
      <w:r>
        <w:rPr>
          <w:spacing w:val="-18"/>
        </w:rPr>
        <w:t> </w:t>
      </w:r>
      <w:r>
        <w:rPr/>
        <w:t>employer- side</w:t>
      </w:r>
      <w:r>
        <w:rPr>
          <w:spacing w:val="-12"/>
        </w:rPr>
        <w:t> </w:t>
      </w:r>
      <w:r>
        <w:rPr/>
        <w:t>participants</w:t>
      </w:r>
      <w:r>
        <w:rPr>
          <w:spacing w:val="-13"/>
        </w:rPr>
        <w:t> </w:t>
      </w:r>
      <w:r>
        <w:rPr/>
        <w:t>felt</w:t>
      </w:r>
      <w:r>
        <w:rPr>
          <w:spacing w:val="-11"/>
        </w:rPr>
        <w:t> </w:t>
      </w:r>
      <w:r>
        <w:rPr/>
        <w:t>that</w:t>
      </w:r>
      <w:r>
        <w:rPr>
          <w:spacing w:val="-11"/>
        </w:rPr>
        <w:t> </w:t>
      </w:r>
      <w:r>
        <w:rPr/>
        <w:t>the</w:t>
      </w:r>
      <w:r>
        <w:rPr>
          <w:spacing w:val="-12"/>
        </w:rPr>
        <w:t> </w:t>
      </w:r>
      <w:r>
        <w:rPr/>
        <w:t>conciliator</w:t>
      </w:r>
      <w:r>
        <w:rPr>
          <w:spacing w:val="-12"/>
        </w:rPr>
        <w:t> </w:t>
      </w:r>
      <w:r>
        <w:rPr/>
        <w:t>had</w:t>
      </w:r>
      <w:r>
        <w:rPr>
          <w:spacing w:val="-12"/>
        </w:rPr>
        <w:t> </w:t>
      </w:r>
      <w:r>
        <w:rPr/>
        <w:t>been</w:t>
      </w:r>
      <w:r>
        <w:rPr>
          <w:spacing w:val="-11"/>
        </w:rPr>
        <w:t> </w:t>
      </w:r>
      <w:r>
        <w:rPr/>
        <w:t>more</w:t>
      </w:r>
      <w:r>
        <w:rPr>
          <w:spacing w:val="-12"/>
        </w:rPr>
        <w:t> </w:t>
      </w:r>
      <w:r>
        <w:rPr/>
        <w:t>on</w:t>
      </w:r>
      <w:r>
        <w:rPr>
          <w:spacing w:val="-12"/>
        </w:rPr>
        <w:t> </w:t>
      </w:r>
      <w:r>
        <w:rPr/>
        <w:t>the</w:t>
      </w:r>
      <w:r>
        <w:rPr>
          <w:spacing w:val="-12"/>
        </w:rPr>
        <w:t> </w:t>
      </w:r>
      <w:r>
        <w:rPr/>
        <w:t>side</w:t>
      </w:r>
      <w:r>
        <w:rPr>
          <w:spacing w:val="-12"/>
        </w:rPr>
        <w:t> </w:t>
      </w:r>
      <w:r>
        <w:rPr/>
        <w:t>of</w:t>
      </w:r>
      <w:r>
        <w:rPr>
          <w:spacing w:val="-11"/>
        </w:rPr>
        <w:t> </w:t>
      </w:r>
      <w:r>
        <w:rPr/>
        <w:t>the</w:t>
      </w:r>
      <w:r>
        <w:rPr>
          <w:spacing w:val="-12"/>
        </w:rPr>
        <w:t> </w:t>
      </w:r>
      <w:r>
        <w:rPr/>
        <w:t>claimant, while</w:t>
      </w:r>
      <w:r>
        <w:rPr>
          <w:spacing w:val="-6"/>
        </w:rPr>
        <w:t> </w:t>
      </w:r>
      <w:r>
        <w:rPr/>
        <w:t>a</w:t>
      </w:r>
      <w:r>
        <w:rPr>
          <w:spacing w:val="-6"/>
        </w:rPr>
        <w:t> </w:t>
      </w:r>
      <w:r>
        <w:rPr/>
        <w:t>similar</w:t>
      </w:r>
      <w:r>
        <w:rPr>
          <w:spacing w:val="-6"/>
        </w:rPr>
        <w:t> </w:t>
      </w:r>
      <w:r>
        <w:rPr/>
        <w:t>proportion</w:t>
      </w:r>
      <w:r>
        <w:rPr>
          <w:spacing w:val="-5"/>
        </w:rPr>
        <w:t> </w:t>
      </w:r>
      <w:r>
        <w:rPr/>
        <w:t>(nine</w:t>
      </w:r>
      <w:r>
        <w:rPr>
          <w:spacing w:val="-6"/>
        </w:rPr>
        <w:t> </w:t>
      </w:r>
      <w:r>
        <w:rPr/>
        <w:t>per</w:t>
      </w:r>
      <w:r>
        <w:rPr>
          <w:spacing w:val="-6"/>
        </w:rPr>
        <w:t> </w:t>
      </w:r>
      <w:r>
        <w:rPr/>
        <w:t>cent)</w:t>
      </w:r>
      <w:r>
        <w:rPr>
          <w:spacing w:val="-6"/>
        </w:rPr>
        <w:t> </w:t>
      </w:r>
      <w:r>
        <w:rPr/>
        <w:t>on</w:t>
      </w:r>
      <w:r>
        <w:rPr>
          <w:spacing w:val="-6"/>
        </w:rPr>
        <w:t> </w:t>
      </w:r>
      <w:r>
        <w:rPr/>
        <w:t>the</w:t>
      </w:r>
      <w:r>
        <w:rPr>
          <w:spacing w:val="-6"/>
        </w:rPr>
        <w:t> </w:t>
      </w:r>
      <w:r>
        <w:rPr/>
        <w:t>claimant-side</w:t>
      </w:r>
      <w:r>
        <w:rPr>
          <w:spacing w:val="-6"/>
        </w:rPr>
        <w:t> </w:t>
      </w:r>
      <w:r>
        <w:rPr/>
        <w:t>thought</w:t>
      </w:r>
      <w:r>
        <w:rPr>
          <w:spacing w:val="-6"/>
        </w:rPr>
        <w:t> </w:t>
      </w:r>
      <w:r>
        <w:rPr/>
        <w:t>the</w:t>
      </w:r>
      <w:r>
        <w:rPr>
          <w:spacing w:val="-6"/>
        </w:rPr>
        <w:t> </w:t>
      </w:r>
      <w:r>
        <w:rPr/>
        <w:t>reverse was</w:t>
      </w:r>
      <w:r>
        <w:rPr>
          <w:spacing w:val="-5"/>
        </w:rPr>
        <w:t> </w:t>
      </w:r>
      <w:r>
        <w:rPr/>
        <w:t>true.</w:t>
      </w:r>
      <w:r>
        <w:rPr>
          <w:spacing w:val="-5"/>
        </w:rPr>
        <w:t> </w:t>
      </w:r>
      <w:r>
        <w:rPr/>
        <w:t>Across</w:t>
      </w:r>
      <w:r>
        <w:rPr>
          <w:spacing w:val="-5"/>
        </w:rPr>
        <w:t> </w:t>
      </w:r>
      <w:r>
        <w:rPr/>
        <w:t>both</w:t>
      </w:r>
      <w:r>
        <w:rPr>
          <w:spacing w:val="-5"/>
        </w:rPr>
        <w:t> </w:t>
      </w:r>
      <w:r>
        <w:rPr/>
        <w:t>audiences,</w:t>
      </w:r>
      <w:r>
        <w:rPr>
          <w:spacing w:val="-5"/>
        </w:rPr>
        <w:t> </w:t>
      </w:r>
      <w:r>
        <w:rPr/>
        <w:t>representatives</w:t>
      </w:r>
      <w:r>
        <w:rPr>
          <w:spacing w:val="-5"/>
        </w:rPr>
        <w:t> </w:t>
      </w:r>
      <w:r>
        <w:rPr/>
        <w:t>remained</w:t>
      </w:r>
      <w:r>
        <w:rPr>
          <w:spacing w:val="-5"/>
        </w:rPr>
        <w:t> </w:t>
      </w:r>
      <w:r>
        <w:rPr/>
        <w:t>more</w:t>
      </w:r>
      <w:r>
        <w:rPr>
          <w:spacing w:val="-6"/>
        </w:rPr>
        <w:t> </w:t>
      </w:r>
      <w:r>
        <w:rPr/>
        <w:t>likely</w:t>
      </w:r>
      <w:r>
        <w:rPr>
          <w:spacing w:val="-5"/>
        </w:rPr>
        <w:t> </w:t>
      </w:r>
      <w:r>
        <w:rPr/>
        <w:t>to</w:t>
      </w:r>
      <w:r>
        <w:rPr>
          <w:spacing w:val="-6"/>
        </w:rPr>
        <w:t> </w:t>
      </w:r>
      <w:r>
        <w:rPr/>
        <w:t>feel</w:t>
      </w:r>
      <w:r>
        <w:rPr>
          <w:spacing w:val="-6"/>
        </w:rPr>
        <w:t> </w:t>
      </w:r>
      <w:r>
        <w:rPr/>
        <w:t>that the conciliator had been even-handed than those they represented. Whilst on the claimant-side,</w:t>
      </w:r>
      <w:r>
        <w:rPr>
          <w:spacing w:val="-8"/>
        </w:rPr>
        <w:t> </w:t>
      </w:r>
      <w:r>
        <w:rPr/>
        <w:t>it</w:t>
      </w:r>
      <w:r>
        <w:rPr>
          <w:spacing w:val="-9"/>
        </w:rPr>
        <w:t> </w:t>
      </w:r>
      <w:r>
        <w:rPr/>
        <w:t>is</w:t>
      </w:r>
      <w:r>
        <w:rPr>
          <w:spacing w:val="-8"/>
        </w:rPr>
        <w:t> </w:t>
      </w:r>
      <w:r>
        <w:rPr/>
        <w:t>notable</w:t>
      </w:r>
      <w:r>
        <w:rPr>
          <w:spacing w:val="-9"/>
        </w:rPr>
        <w:t> </w:t>
      </w:r>
      <w:r>
        <w:rPr/>
        <w:t>that</w:t>
      </w:r>
      <w:r>
        <w:rPr>
          <w:spacing w:val="-9"/>
        </w:rPr>
        <w:t> </w:t>
      </w:r>
      <w:r>
        <w:rPr/>
        <w:t>those</w:t>
      </w:r>
      <w:r>
        <w:rPr>
          <w:spacing w:val="-8"/>
        </w:rPr>
        <w:t> </w:t>
      </w:r>
      <w:r>
        <w:rPr/>
        <w:t>reaching</w:t>
      </w:r>
      <w:r>
        <w:rPr>
          <w:spacing w:val="-8"/>
        </w:rPr>
        <w:t> </w:t>
      </w:r>
      <w:r>
        <w:rPr/>
        <w:t>a</w:t>
      </w:r>
      <w:r>
        <w:rPr>
          <w:spacing w:val="-9"/>
        </w:rPr>
        <w:t> </w:t>
      </w:r>
      <w:r>
        <w:rPr/>
        <w:t>settlement</w:t>
      </w:r>
      <w:r>
        <w:rPr>
          <w:spacing w:val="-9"/>
        </w:rPr>
        <w:t> </w:t>
      </w:r>
      <w:r>
        <w:rPr/>
        <w:t>through</w:t>
      </w:r>
      <w:r>
        <w:rPr>
          <w:spacing w:val="-9"/>
        </w:rPr>
        <w:t> </w:t>
      </w:r>
      <w:r>
        <w:rPr/>
        <w:t>EC</w:t>
      </w:r>
      <w:r>
        <w:rPr>
          <w:spacing w:val="-10"/>
        </w:rPr>
        <w:t> </w:t>
      </w:r>
      <w:r>
        <w:rPr/>
        <w:t>were</w:t>
      </w:r>
      <w:r>
        <w:rPr>
          <w:spacing w:val="-8"/>
        </w:rPr>
        <w:t> </w:t>
      </w:r>
      <w:r>
        <w:rPr/>
        <w:t>more likely to think the conciliator had been on their side (15 per cent) than those who had not (seven per cent).</w:t>
      </w:r>
    </w:p>
    <w:p>
      <w:pPr>
        <w:pStyle w:val="BodyText"/>
        <w:spacing w:before="1"/>
      </w:pPr>
    </w:p>
    <w:p>
      <w:pPr>
        <w:pStyle w:val="BodyText"/>
        <w:ind w:left="1337" w:right="1474"/>
        <w:jc w:val="both"/>
      </w:pPr>
      <w:r>
        <w:rPr/>
        <w:t>In</w:t>
      </w:r>
      <w:r>
        <w:rPr>
          <w:spacing w:val="-11"/>
        </w:rPr>
        <w:t> </w:t>
      </w:r>
      <w:r>
        <w:rPr/>
        <w:t>terms</w:t>
      </w:r>
      <w:r>
        <w:rPr>
          <w:spacing w:val="-11"/>
        </w:rPr>
        <w:t> </w:t>
      </w:r>
      <w:r>
        <w:rPr/>
        <w:t>of</w:t>
      </w:r>
      <w:r>
        <w:rPr>
          <w:spacing w:val="-12"/>
        </w:rPr>
        <w:t> </w:t>
      </w:r>
      <w:r>
        <w:rPr/>
        <w:t>conciliator</w:t>
      </w:r>
      <w:r>
        <w:rPr>
          <w:spacing w:val="-12"/>
        </w:rPr>
        <w:t> </w:t>
      </w:r>
      <w:r>
        <w:rPr/>
        <w:t>availability,</w:t>
      </w:r>
      <w:r>
        <w:rPr>
          <w:spacing w:val="-11"/>
        </w:rPr>
        <w:t> </w:t>
      </w:r>
      <w:r>
        <w:rPr/>
        <w:t>more</w:t>
      </w:r>
      <w:r>
        <w:rPr>
          <w:spacing w:val="-12"/>
        </w:rPr>
        <w:t> </w:t>
      </w:r>
      <w:r>
        <w:rPr/>
        <w:t>than</w:t>
      </w:r>
      <w:r>
        <w:rPr>
          <w:spacing w:val="-12"/>
        </w:rPr>
        <w:t> </w:t>
      </w:r>
      <w:r>
        <w:rPr/>
        <w:t>six</w:t>
      </w:r>
      <w:r>
        <w:rPr>
          <w:spacing w:val="-11"/>
        </w:rPr>
        <w:t> </w:t>
      </w:r>
      <w:r>
        <w:rPr/>
        <w:t>in</w:t>
      </w:r>
      <w:r>
        <w:rPr>
          <w:spacing w:val="-11"/>
        </w:rPr>
        <w:t> </w:t>
      </w:r>
      <w:r>
        <w:rPr/>
        <w:t>ten</w:t>
      </w:r>
      <w:r>
        <w:rPr>
          <w:spacing w:val="-12"/>
        </w:rPr>
        <w:t> </w:t>
      </w:r>
      <w:r>
        <w:rPr/>
        <w:t>claimant</w:t>
      </w:r>
      <w:r>
        <w:rPr>
          <w:spacing w:val="-11"/>
        </w:rPr>
        <w:t> </w:t>
      </w:r>
      <w:r>
        <w:rPr/>
        <w:t>and</w:t>
      </w:r>
      <w:r>
        <w:rPr>
          <w:spacing w:val="-11"/>
        </w:rPr>
        <w:t> </w:t>
      </w:r>
      <w:r>
        <w:rPr/>
        <w:t>employer-side participants</w:t>
      </w:r>
      <w:r>
        <w:rPr>
          <w:spacing w:val="-14"/>
        </w:rPr>
        <w:t> </w:t>
      </w:r>
      <w:r>
        <w:rPr/>
        <w:t>reported</w:t>
      </w:r>
      <w:r>
        <w:rPr>
          <w:spacing w:val="-14"/>
        </w:rPr>
        <w:t> </w:t>
      </w:r>
      <w:r>
        <w:rPr/>
        <w:t>that</w:t>
      </w:r>
      <w:r>
        <w:rPr>
          <w:spacing w:val="-13"/>
        </w:rPr>
        <w:t> </w:t>
      </w:r>
      <w:r>
        <w:rPr/>
        <w:t>the</w:t>
      </w:r>
      <w:r>
        <w:rPr>
          <w:spacing w:val="-14"/>
        </w:rPr>
        <w:t> </w:t>
      </w:r>
      <w:r>
        <w:rPr/>
        <w:t>Acas</w:t>
      </w:r>
      <w:r>
        <w:rPr>
          <w:spacing w:val="-16"/>
        </w:rPr>
        <w:t> </w:t>
      </w:r>
      <w:r>
        <w:rPr/>
        <w:t>conciliator</w:t>
      </w:r>
      <w:r>
        <w:rPr>
          <w:spacing w:val="-14"/>
        </w:rPr>
        <w:t> </w:t>
      </w:r>
      <w:r>
        <w:rPr/>
        <w:t>was</w:t>
      </w:r>
      <w:r>
        <w:rPr>
          <w:spacing w:val="-14"/>
        </w:rPr>
        <w:t> </w:t>
      </w:r>
      <w:r>
        <w:rPr/>
        <w:t>always</w:t>
      </w:r>
      <w:r>
        <w:rPr>
          <w:spacing w:val="-15"/>
        </w:rPr>
        <w:t> </w:t>
      </w:r>
      <w:r>
        <w:rPr/>
        <w:t>or</w:t>
      </w:r>
      <w:r>
        <w:rPr>
          <w:spacing w:val="-14"/>
        </w:rPr>
        <w:t> </w:t>
      </w:r>
      <w:r>
        <w:rPr/>
        <w:t>usually</w:t>
      </w:r>
      <w:r>
        <w:rPr>
          <w:spacing w:val="-14"/>
        </w:rPr>
        <w:t> </w:t>
      </w:r>
      <w:r>
        <w:rPr/>
        <w:t>available</w:t>
      </w:r>
      <w:r>
        <w:rPr>
          <w:spacing w:val="-15"/>
        </w:rPr>
        <w:t> </w:t>
      </w:r>
      <w:r>
        <w:rPr/>
        <w:t>when they</w:t>
      </w:r>
      <w:r>
        <w:rPr>
          <w:spacing w:val="-3"/>
        </w:rPr>
        <w:t> </w:t>
      </w:r>
      <w:r>
        <w:rPr/>
        <w:t>needed</w:t>
      </w:r>
      <w:r>
        <w:rPr>
          <w:spacing w:val="-3"/>
        </w:rPr>
        <w:t> </w:t>
      </w:r>
      <w:r>
        <w:rPr/>
        <w:t>them</w:t>
      </w:r>
      <w:r>
        <w:rPr>
          <w:spacing w:val="-4"/>
        </w:rPr>
        <w:t> </w:t>
      </w:r>
      <w:r>
        <w:rPr/>
        <w:t>(67</w:t>
      </w:r>
      <w:r>
        <w:rPr>
          <w:spacing w:val="-5"/>
        </w:rPr>
        <w:t> </w:t>
      </w:r>
      <w:r>
        <w:rPr/>
        <w:t>per</w:t>
      </w:r>
      <w:r>
        <w:rPr>
          <w:spacing w:val="-4"/>
        </w:rPr>
        <w:t> </w:t>
      </w:r>
      <w:r>
        <w:rPr/>
        <w:t>cent</w:t>
      </w:r>
      <w:r>
        <w:rPr>
          <w:spacing w:val="-3"/>
        </w:rPr>
        <w:t> </w:t>
      </w:r>
      <w:r>
        <w:rPr/>
        <w:t>and</w:t>
      </w:r>
      <w:r>
        <w:rPr>
          <w:spacing w:val="-3"/>
        </w:rPr>
        <w:t> </w:t>
      </w:r>
      <w:r>
        <w:rPr/>
        <w:t>62</w:t>
      </w:r>
      <w:r>
        <w:rPr>
          <w:spacing w:val="-3"/>
        </w:rPr>
        <w:t> </w:t>
      </w:r>
      <w:r>
        <w:rPr/>
        <w:t>per</w:t>
      </w:r>
      <w:r>
        <w:rPr>
          <w:spacing w:val="-4"/>
        </w:rPr>
        <w:t> </w:t>
      </w:r>
      <w:r>
        <w:rPr/>
        <w:t>cent</w:t>
      </w:r>
      <w:r>
        <w:rPr>
          <w:spacing w:val="-3"/>
        </w:rPr>
        <w:t> </w:t>
      </w:r>
      <w:r>
        <w:rPr/>
        <w:t>respectively),</w:t>
      </w:r>
      <w:r>
        <w:rPr>
          <w:spacing w:val="-3"/>
        </w:rPr>
        <w:t> </w:t>
      </w:r>
      <w:r>
        <w:rPr/>
        <w:t>numbers</w:t>
      </w:r>
      <w:r>
        <w:rPr>
          <w:spacing w:val="-3"/>
        </w:rPr>
        <w:t> </w:t>
      </w:r>
      <w:r>
        <w:rPr/>
        <w:t>that</w:t>
      </w:r>
      <w:r>
        <w:rPr>
          <w:spacing w:val="-3"/>
        </w:rPr>
        <w:t> </w:t>
      </w:r>
      <w:r>
        <w:rPr/>
        <w:t>are</w:t>
      </w:r>
      <w:r>
        <w:rPr>
          <w:spacing w:val="-4"/>
        </w:rPr>
        <w:t> </w:t>
      </w:r>
      <w:r>
        <w:rPr/>
        <w:t>in line with those seen in 2015 (67 per cent and</w:t>
      </w:r>
      <w:r>
        <w:rPr>
          <w:spacing w:val="-1"/>
        </w:rPr>
        <w:t> </w:t>
      </w:r>
      <w:r>
        <w:rPr/>
        <w:t>64 per cent). Fewer than one in ten (across</w:t>
      </w:r>
      <w:r>
        <w:rPr>
          <w:spacing w:val="-2"/>
        </w:rPr>
        <w:t> </w:t>
      </w:r>
      <w:r>
        <w:rPr/>
        <w:t>both</w:t>
      </w:r>
      <w:r>
        <w:rPr>
          <w:spacing w:val="-1"/>
        </w:rPr>
        <w:t> </w:t>
      </w:r>
      <w:r>
        <w:rPr/>
        <w:t>audiences)</w:t>
      </w:r>
      <w:r>
        <w:rPr>
          <w:spacing w:val="-2"/>
        </w:rPr>
        <w:t> </w:t>
      </w:r>
      <w:r>
        <w:rPr/>
        <w:t>felt</w:t>
      </w:r>
      <w:r>
        <w:rPr>
          <w:spacing w:val="-3"/>
        </w:rPr>
        <w:t> </w:t>
      </w:r>
      <w:r>
        <w:rPr/>
        <w:t>that</w:t>
      </w:r>
      <w:r>
        <w:rPr>
          <w:spacing w:val="-3"/>
        </w:rPr>
        <w:t> </w:t>
      </w:r>
      <w:r>
        <w:rPr/>
        <w:t>the</w:t>
      </w:r>
      <w:r>
        <w:rPr>
          <w:spacing w:val="-2"/>
        </w:rPr>
        <w:t> </w:t>
      </w:r>
      <w:r>
        <w:rPr/>
        <w:t>conciliator</w:t>
      </w:r>
      <w:r>
        <w:rPr>
          <w:spacing w:val="-2"/>
        </w:rPr>
        <w:t> </w:t>
      </w:r>
      <w:r>
        <w:rPr/>
        <w:t>had</w:t>
      </w:r>
      <w:r>
        <w:rPr>
          <w:spacing w:val="-3"/>
        </w:rPr>
        <w:t> </w:t>
      </w:r>
      <w:r>
        <w:rPr/>
        <w:t>been</w:t>
      </w:r>
      <w:r>
        <w:rPr>
          <w:spacing w:val="-3"/>
        </w:rPr>
        <w:t> </w:t>
      </w:r>
      <w:r>
        <w:rPr/>
        <w:t>rarely</w:t>
      </w:r>
      <w:r>
        <w:rPr>
          <w:spacing w:val="-2"/>
        </w:rPr>
        <w:t> </w:t>
      </w:r>
      <w:r>
        <w:rPr/>
        <w:t>or</w:t>
      </w:r>
      <w:r>
        <w:rPr>
          <w:spacing w:val="-2"/>
        </w:rPr>
        <w:t> </w:t>
      </w:r>
      <w:r>
        <w:rPr/>
        <w:t>never</w:t>
      </w:r>
      <w:r>
        <w:rPr>
          <w:spacing w:val="-2"/>
        </w:rPr>
        <w:t> </w:t>
      </w:r>
      <w:r>
        <w:rPr/>
        <w:t>available (both seven per cent).</w:t>
      </w:r>
    </w:p>
    <w:p>
      <w:pPr>
        <w:pStyle w:val="BodyText"/>
        <w:spacing w:before="1"/>
      </w:pPr>
    </w:p>
    <w:p>
      <w:pPr>
        <w:pStyle w:val="BodyText"/>
        <w:ind w:left="1337"/>
        <w:jc w:val="both"/>
      </w:pPr>
      <w:r>
        <w:rPr/>
        <w:t>There</w:t>
      </w:r>
      <w:r>
        <w:rPr>
          <w:spacing w:val="-6"/>
        </w:rPr>
        <w:t> </w:t>
      </w:r>
      <w:r>
        <w:rPr/>
        <w:t>were</w:t>
      </w:r>
      <w:r>
        <w:rPr>
          <w:spacing w:val="-5"/>
        </w:rPr>
        <w:t> </w:t>
      </w:r>
      <w:r>
        <w:rPr/>
        <w:t>a</w:t>
      </w:r>
      <w:r>
        <w:rPr>
          <w:spacing w:val="-3"/>
        </w:rPr>
        <w:t> </w:t>
      </w:r>
      <w:r>
        <w:rPr/>
        <w:t>handful</w:t>
      </w:r>
      <w:r>
        <w:rPr>
          <w:spacing w:val="-4"/>
        </w:rPr>
        <w:t> </w:t>
      </w:r>
      <w:r>
        <w:rPr/>
        <w:t>of</w:t>
      </w:r>
      <w:r>
        <w:rPr>
          <w:spacing w:val="-4"/>
        </w:rPr>
        <w:t> </w:t>
      </w:r>
      <w:r>
        <w:rPr/>
        <w:t>significant</w:t>
      </w:r>
      <w:r>
        <w:rPr>
          <w:spacing w:val="-4"/>
        </w:rPr>
        <w:t> </w:t>
      </w:r>
      <w:r>
        <w:rPr/>
        <w:t>differences</w:t>
      </w:r>
      <w:r>
        <w:rPr>
          <w:spacing w:val="-4"/>
        </w:rPr>
        <w:t> </w:t>
      </w:r>
      <w:r>
        <w:rPr/>
        <w:t>across</w:t>
      </w:r>
      <w:r>
        <w:rPr>
          <w:spacing w:val="-3"/>
        </w:rPr>
        <w:t> </w:t>
      </w:r>
      <w:r>
        <w:rPr/>
        <w:t>subgroups</w:t>
      </w:r>
      <w:r>
        <w:rPr>
          <w:spacing w:val="-3"/>
        </w:rPr>
        <w:t> </w:t>
      </w:r>
      <w:r>
        <w:rPr/>
        <w:t>of</w:t>
      </w:r>
      <w:r>
        <w:rPr>
          <w:spacing w:val="-4"/>
        </w:rPr>
        <w:t> </w:t>
      </w:r>
      <w:r>
        <w:rPr>
          <w:spacing w:val="-2"/>
        </w:rPr>
        <w:t>interest:</w:t>
      </w:r>
    </w:p>
    <w:p>
      <w:pPr>
        <w:pStyle w:val="ListParagraph"/>
        <w:numPr>
          <w:ilvl w:val="0"/>
          <w:numId w:val="20"/>
        </w:numPr>
        <w:tabs>
          <w:tab w:pos="2057" w:val="left" w:leader="none"/>
        </w:tabs>
        <w:spacing w:line="237" w:lineRule="auto" w:before="2" w:after="0"/>
        <w:ind w:left="2056" w:right="1472" w:hanging="360"/>
        <w:jc w:val="both"/>
        <w:rPr>
          <w:sz w:val="20"/>
        </w:rPr>
      </w:pPr>
      <w:r>
        <w:rPr>
          <w:sz w:val="20"/>
        </w:rPr>
        <w:t>Those who had multiple conciliators were less likely to agree that the conciliators were always available.</w:t>
      </w:r>
      <w:hyperlink w:history="true" w:anchor="_bookmark82">
        <w:r>
          <w:rPr>
            <w:sz w:val="20"/>
            <w:vertAlign w:val="superscript"/>
          </w:rPr>
          <w:t>16</w:t>
        </w:r>
      </w:hyperlink>
      <w:r>
        <w:rPr>
          <w:sz w:val="20"/>
          <w:vertAlign w:val="baseline"/>
        </w:rPr>
        <w:t> On the claimant-side, 39 per cent of those in contact with one conciliator said they were always available compared with 33 per cent of those in contact with more than one. On the employer-side the figures were 28 and 17 per cent respectively.</w:t>
      </w:r>
    </w:p>
    <w:p>
      <w:pPr>
        <w:pStyle w:val="ListParagraph"/>
        <w:numPr>
          <w:ilvl w:val="0"/>
          <w:numId w:val="20"/>
        </w:numPr>
        <w:tabs>
          <w:tab w:pos="2058" w:val="left" w:leader="none"/>
        </w:tabs>
        <w:spacing w:line="240" w:lineRule="auto" w:before="5" w:after="0"/>
        <w:ind w:left="2057" w:right="1475" w:hanging="360"/>
        <w:jc w:val="both"/>
        <w:rPr>
          <w:sz w:val="20"/>
        </w:rPr>
      </w:pPr>
      <w:r>
        <w:rPr>
          <w:sz w:val="20"/>
        </w:rPr>
        <w:t>Claimants were more likely to report that the conciliator was always available (40 per cent) than their representatives (30 per cent).</w:t>
      </w:r>
    </w:p>
    <w:p>
      <w:pPr>
        <w:pStyle w:val="ListParagraph"/>
        <w:numPr>
          <w:ilvl w:val="0"/>
          <w:numId w:val="20"/>
        </w:numPr>
        <w:tabs>
          <w:tab w:pos="2058" w:val="left" w:leader="none"/>
        </w:tabs>
        <w:spacing w:line="240" w:lineRule="auto" w:before="0" w:after="0"/>
        <w:ind w:left="2057" w:right="1474" w:hanging="360"/>
        <w:jc w:val="both"/>
        <w:rPr>
          <w:sz w:val="20"/>
        </w:rPr>
      </w:pPr>
      <w:r>
        <w:rPr>
          <w:sz w:val="20"/>
        </w:rPr>
        <w:t>Employer</w:t>
      </w:r>
      <w:r>
        <w:rPr>
          <w:spacing w:val="-8"/>
          <w:sz w:val="20"/>
        </w:rPr>
        <w:t> </w:t>
      </w:r>
      <w:r>
        <w:rPr>
          <w:sz w:val="20"/>
        </w:rPr>
        <w:t>representatives</w:t>
      </w:r>
      <w:r>
        <w:rPr>
          <w:spacing w:val="-8"/>
          <w:sz w:val="20"/>
        </w:rPr>
        <w:t> </w:t>
      </w:r>
      <w:r>
        <w:rPr>
          <w:sz w:val="20"/>
        </w:rPr>
        <w:t>were</w:t>
      </w:r>
      <w:r>
        <w:rPr>
          <w:spacing w:val="-8"/>
          <w:sz w:val="20"/>
        </w:rPr>
        <w:t> </w:t>
      </w:r>
      <w:r>
        <w:rPr>
          <w:sz w:val="20"/>
        </w:rPr>
        <w:t>more</w:t>
      </w:r>
      <w:r>
        <w:rPr>
          <w:spacing w:val="-8"/>
          <w:sz w:val="20"/>
        </w:rPr>
        <w:t> </w:t>
      </w:r>
      <w:r>
        <w:rPr>
          <w:sz w:val="20"/>
        </w:rPr>
        <w:t>likely</w:t>
      </w:r>
      <w:r>
        <w:rPr>
          <w:spacing w:val="-7"/>
          <w:sz w:val="20"/>
        </w:rPr>
        <w:t> </w:t>
      </w:r>
      <w:r>
        <w:rPr>
          <w:sz w:val="20"/>
        </w:rPr>
        <w:t>to</w:t>
      </w:r>
      <w:r>
        <w:rPr>
          <w:spacing w:val="-8"/>
          <w:sz w:val="20"/>
        </w:rPr>
        <w:t> </w:t>
      </w:r>
      <w:r>
        <w:rPr>
          <w:sz w:val="20"/>
        </w:rPr>
        <w:t>agree</w:t>
      </w:r>
      <w:r>
        <w:rPr>
          <w:spacing w:val="-8"/>
          <w:sz w:val="20"/>
        </w:rPr>
        <w:t> </w:t>
      </w:r>
      <w:r>
        <w:rPr>
          <w:sz w:val="20"/>
        </w:rPr>
        <w:t>that</w:t>
      </w:r>
      <w:r>
        <w:rPr>
          <w:spacing w:val="-8"/>
          <w:sz w:val="20"/>
        </w:rPr>
        <w:t> </w:t>
      </w:r>
      <w:r>
        <w:rPr>
          <w:sz w:val="20"/>
        </w:rPr>
        <w:t>the</w:t>
      </w:r>
      <w:r>
        <w:rPr>
          <w:spacing w:val="-8"/>
          <w:sz w:val="20"/>
        </w:rPr>
        <w:t> </w:t>
      </w:r>
      <w:r>
        <w:rPr>
          <w:sz w:val="20"/>
        </w:rPr>
        <w:t>conciliator</w:t>
      </w:r>
      <w:r>
        <w:rPr>
          <w:spacing w:val="-8"/>
          <w:sz w:val="20"/>
        </w:rPr>
        <w:t> </w:t>
      </w:r>
      <w:r>
        <w:rPr>
          <w:sz w:val="20"/>
        </w:rPr>
        <w:t>had always</w:t>
      </w:r>
      <w:r>
        <w:rPr>
          <w:spacing w:val="-13"/>
          <w:sz w:val="20"/>
        </w:rPr>
        <w:t> </w:t>
      </w:r>
      <w:r>
        <w:rPr>
          <w:sz w:val="20"/>
        </w:rPr>
        <w:t>or</w:t>
      </w:r>
      <w:r>
        <w:rPr>
          <w:spacing w:val="-14"/>
          <w:sz w:val="20"/>
        </w:rPr>
        <w:t> </w:t>
      </w:r>
      <w:r>
        <w:rPr>
          <w:sz w:val="20"/>
        </w:rPr>
        <w:t>usually</w:t>
      </w:r>
      <w:r>
        <w:rPr>
          <w:spacing w:val="-12"/>
          <w:sz w:val="20"/>
        </w:rPr>
        <w:t> </w:t>
      </w:r>
      <w:r>
        <w:rPr>
          <w:sz w:val="20"/>
        </w:rPr>
        <w:t>been</w:t>
      </w:r>
      <w:r>
        <w:rPr>
          <w:spacing w:val="-13"/>
          <w:sz w:val="20"/>
        </w:rPr>
        <w:t> </w:t>
      </w:r>
      <w:r>
        <w:rPr>
          <w:sz w:val="20"/>
        </w:rPr>
        <w:t>available</w:t>
      </w:r>
      <w:r>
        <w:rPr>
          <w:spacing w:val="-13"/>
          <w:sz w:val="20"/>
        </w:rPr>
        <w:t> </w:t>
      </w:r>
      <w:r>
        <w:rPr>
          <w:sz w:val="20"/>
        </w:rPr>
        <w:t>when</w:t>
      </w:r>
      <w:r>
        <w:rPr>
          <w:spacing w:val="-13"/>
          <w:sz w:val="20"/>
        </w:rPr>
        <w:t> </w:t>
      </w:r>
      <w:r>
        <w:rPr>
          <w:sz w:val="20"/>
        </w:rPr>
        <w:t>needed</w:t>
      </w:r>
      <w:r>
        <w:rPr>
          <w:spacing w:val="-14"/>
          <w:sz w:val="20"/>
        </w:rPr>
        <w:t> </w:t>
      </w:r>
      <w:r>
        <w:rPr>
          <w:sz w:val="20"/>
        </w:rPr>
        <w:t>(70</w:t>
      </w:r>
      <w:r>
        <w:rPr>
          <w:spacing w:val="-13"/>
          <w:sz w:val="20"/>
        </w:rPr>
        <w:t> </w:t>
      </w:r>
      <w:r>
        <w:rPr>
          <w:sz w:val="20"/>
        </w:rPr>
        <w:t>per</w:t>
      </w:r>
      <w:r>
        <w:rPr>
          <w:spacing w:val="-14"/>
          <w:sz w:val="20"/>
        </w:rPr>
        <w:t> </w:t>
      </w:r>
      <w:r>
        <w:rPr>
          <w:sz w:val="20"/>
        </w:rPr>
        <w:t>cent)</w:t>
      </w:r>
      <w:r>
        <w:rPr>
          <w:spacing w:val="-12"/>
          <w:sz w:val="20"/>
        </w:rPr>
        <w:t> </w:t>
      </w:r>
      <w:r>
        <w:rPr>
          <w:sz w:val="20"/>
        </w:rPr>
        <w:t>than</w:t>
      </w:r>
      <w:r>
        <w:rPr>
          <w:spacing w:val="-13"/>
          <w:sz w:val="20"/>
        </w:rPr>
        <w:t> </w:t>
      </w:r>
      <w:r>
        <w:rPr>
          <w:sz w:val="20"/>
        </w:rPr>
        <w:t>employers (59 per cent).</w:t>
      </w:r>
    </w:p>
    <w:p>
      <w:pPr>
        <w:pStyle w:val="ListParagraph"/>
        <w:numPr>
          <w:ilvl w:val="0"/>
          <w:numId w:val="20"/>
        </w:numPr>
        <w:tabs>
          <w:tab w:pos="2058" w:val="left" w:leader="none"/>
        </w:tabs>
        <w:spacing w:line="240" w:lineRule="auto" w:before="0" w:after="0"/>
        <w:ind w:left="2057" w:right="1471" w:hanging="360"/>
        <w:jc w:val="both"/>
        <w:rPr>
          <w:sz w:val="20"/>
        </w:rPr>
      </w:pPr>
      <w:r>
        <w:rPr>
          <w:sz w:val="20"/>
        </w:rPr>
        <w:t>Claimants, employers and their respective representatives who reached a settlement</w:t>
      </w:r>
      <w:r>
        <w:rPr>
          <w:spacing w:val="-10"/>
          <w:sz w:val="20"/>
        </w:rPr>
        <w:t> </w:t>
      </w:r>
      <w:r>
        <w:rPr>
          <w:sz w:val="20"/>
        </w:rPr>
        <w:t>through</w:t>
      </w:r>
      <w:r>
        <w:rPr>
          <w:spacing w:val="-11"/>
          <w:sz w:val="20"/>
        </w:rPr>
        <w:t> </w:t>
      </w:r>
      <w:r>
        <w:rPr>
          <w:sz w:val="20"/>
        </w:rPr>
        <w:t>EC</w:t>
      </w:r>
      <w:r>
        <w:rPr>
          <w:spacing w:val="-11"/>
          <w:sz w:val="20"/>
        </w:rPr>
        <w:t> </w:t>
      </w:r>
      <w:r>
        <w:rPr>
          <w:sz w:val="20"/>
        </w:rPr>
        <w:t>were</w:t>
      </w:r>
      <w:r>
        <w:rPr>
          <w:spacing w:val="-10"/>
          <w:sz w:val="20"/>
        </w:rPr>
        <w:t> </w:t>
      </w:r>
      <w:r>
        <w:rPr>
          <w:sz w:val="20"/>
        </w:rPr>
        <w:t>more</w:t>
      </w:r>
      <w:r>
        <w:rPr>
          <w:spacing w:val="-10"/>
          <w:sz w:val="20"/>
        </w:rPr>
        <w:t> </w:t>
      </w:r>
      <w:r>
        <w:rPr>
          <w:sz w:val="20"/>
        </w:rPr>
        <w:t>likely</w:t>
      </w:r>
      <w:r>
        <w:rPr>
          <w:spacing w:val="-10"/>
          <w:sz w:val="20"/>
        </w:rPr>
        <w:t> </w:t>
      </w:r>
      <w:r>
        <w:rPr>
          <w:sz w:val="20"/>
        </w:rPr>
        <w:t>to</w:t>
      </w:r>
      <w:r>
        <w:rPr>
          <w:spacing w:val="-10"/>
          <w:sz w:val="20"/>
        </w:rPr>
        <w:t> </w:t>
      </w:r>
      <w:r>
        <w:rPr>
          <w:sz w:val="20"/>
        </w:rPr>
        <w:t>feel</w:t>
      </w:r>
      <w:r>
        <w:rPr>
          <w:spacing w:val="-10"/>
          <w:sz w:val="20"/>
        </w:rPr>
        <w:t> </w:t>
      </w:r>
      <w:r>
        <w:rPr>
          <w:sz w:val="20"/>
        </w:rPr>
        <w:t>that</w:t>
      </w:r>
      <w:r>
        <w:rPr>
          <w:spacing w:val="-10"/>
          <w:sz w:val="20"/>
        </w:rPr>
        <w:t> </w:t>
      </w:r>
      <w:r>
        <w:rPr>
          <w:sz w:val="20"/>
        </w:rPr>
        <w:t>the</w:t>
      </w:r>
      <w:r>
        <w:rPr>
          <w:spacing w:val="-11"/>
          <w:sz w:val="20"/>
        </w:rPr>
        <w:t> </w:t>
      </w:r>
      <w:r>
        <w:rPr>
          <w:sz w:val="20"/>
        </w:rPr>
        <w:t>conciliator</w:t>
      </w:r>
      <w:r>
        <w:rPr>
          <w:spacing w:val="-10"/>
          <w:sz w:val="20"/>
        </w:rPr>
        <w:t> </w:t>
      </w:r>
      <w:r>
        <w:rPr>
          <w:sz w:val="20"/>
        </w:rPr>
        <w:t>had</w:t>
      </w:r>
      <w:r>
        <w:rPr>
          <w:spacing w:val="-10"/>
          <w:sz w:val="20"/>
        </w:rPr>
        <w:t> </w:t>
      </w:r>
      <w:r>
        <w:rPr>
          <w:sz w:val="20"/>
        </w:rPr>
        <w:t>been ‘always’ or ‘usually’ available than those who did not.</w:t>
      </w:r>
    </w:p>
    <w:p>
      <w:pPr>
        <w:spacing w:after="0" w:line="240" w:lineRule="auto"/>
        <w:jc w:val="both"/>
        <w:rPr>
          <w:sz w:val="20"/>
        </w:rPr>
        <w:sectPr>
          <w:pgSz w:w="11910" w:h="16840"/>
          <w:pgMar w:header="0" w:footer="996" w:top="1340" w:bottom="1180" w:left="460" w:right="320"/>
        </w:sectPr>
      </w:pPr>
    </w:p>
    <w:p>
      <w:pPr>
        <w:pStyle w:val="Heading3"/>
        <w:numPr>
          <w:ilvl w:val="1"/>
          <w:numId w:val="2"/>
        </w:numPr>
        <w:tabs>
          <w:tab w:pos="1974" w:val="left" w:leader="none"/>
        </w:tabs>
        <w:spacing w:line="240" w:lineRule="auto" w:before="82" w:after="0"/>
        <w:ind w:left="1973" w:right="0" w:hanging="637"/>
        <w:jc w:val="both"/>
      </w:pPr>
      <w:bookmarkStart w:name="9.3  Time spent on the case / workplace " w:id="81"/>
      <w:bookmarkEnd w:id="81"/>
      <w:r>
        <w:rPr>
          <w:b w:val="0"/>
        </w:rPr>
      </w:r>
      <w:bookmarkStart w:name="_bookmark20" w:id="82"/>
      <w:bookmarkEnd w:id="82"/>
      <w:r>
        <w:rPr/>
        <w:t>T</w:t>
      </w:r>
      <w:r>
        <w:rPr/>
        <w:t>ime</w:t>
      </w:r>
      <w:r>
        <w:rPr>
          <w:spacing w:val="-7"/>
        </w:rPr>
        <w:t> </w:t>
      </w:r>
      <w:r>
        <w:rPr/>
        <w:t>spent</w:t>
      </w:r>
      <w:r>
        <w:rPr>
          <w:spacing w:val="-4"/>
        </w:rPr>
        <w:t> </w:t>
      </w:r>
      <w:r>
        <w:rPr/>
        <w:t>on</w:t>
      </w:r>
      <w:r>
        <w:rPr>
          <w:spacing w:val="-2"/>
        </w:rPr>
        <w:t> </w:t>
      </w:r>
      <w:r>
        <w:rPr/>
        <w:t>the</w:t>
      </w:r>
      <w:r>
        <w:rPr>
          <w:spacing w:val="-3"/>
        </w:rPr>
        <w:t> </w:t>
      </w:r>
      <w:r>
        <w:rPr/>
        <w:t>case</w:t>
      </w:r>
      <w:r>
        <w:rPr>
          <w:spacing w:val="-2"/>
        </w:rPr>
        <w:t> </w:t>
      </w:r>
      <w:r>
        <w:rPr/>
        <w:t>/</w:t>
      </w:r>
      <w:r>
        <w:rPr>
          <w:spacing w:val="-4"/>
        </w:rPr>
        <w:t> </w:t>
      </w:r>
      <w:r>
        <w:rPr/>
        <w:t>workplace</w:t>
      </w:r>
      <w:r>
        <w:rPr>
          <w:spacing w:val="-4"/>
        </w:rPr>
        <w:t> </w:t>
      </w:r>
      <w:r>
        <w:rPr>
          <w:spacing w:val="-2"/>
        </w:rPr>
        <w:t>problem</w:t>
      </w:r>
    </w:p>
    <w:p>
      <w:pPr>
        <w:pStyle w:val="BodyText"/>
        <w:spacing w:before="119"/>
        <w:ind w:left="1337" w:right="1473"/>
        <w:jc w:val="both"/>
      </w:pPr>
      <w:r>
        <w:rPr/>
        <w:t>The</w:t>
      </w:r>
      <w:r>
        <w:rPr>
          <w:spacing w:val="-9"/>
        </w:rPr>
        <w:t> </w:t>
      </w:r>
      <w:r>
        <w:rPr/>
        <w:t>amount</w:t>
      </w:r>
      <w:r>
        <w:rPr>
          <w:spacing w:val="-10"/>
        </w:rPr>
        <w:t> </w:t>
      </w:r>
      <w:r>
        <w:rPr/>
        <w:t>of</w:t>
      </w:r>
      <w:r>
        <w:rPr>
          <w:spacing w:val="-10"/>
        </w:rPr>
        <w:t> </w:t>
      </w:r>
      <w:r>
        <w:rPr/>
        <w:t>time</w:t>
      </w:r>
      <w:r>
        <w:rPr>
          <w:spacing w:val="-9"/>
        </w:rPr>
        <w:t> </w:t>
      </w:r>
      <w:r>
        <w:rPr/>
        <w:t>reported</w:t>
      </w:r>
      <w:r>
        <w:rPr>
          <w:spacing w:val="-9"/>
        </w:rPr>
        <w:t> </w:t>
      </w:r>
      <w:r>
        <w:rPr/>
        <w:t>to</w:t>
      </w:r>
      <w:r>
        <w:rPr>
          <w:spacing w:val="-11"/>
        </w:rPr>
        <w:t> </w:t>
      </w:r>
      <w:r>
        <w:rPr/>
        <w:t>have</w:t>
      </w:r>
      <w:r>
        <w:rPr>
          <w:spacing w:val="-9"/>
        </w:rPr>
        <w:t> </w:t>
      </w:r>
      <w:r>
        <w:rPr/>
        <w:t>been</w:t>
      </w:r>
      <w:r>
        <w:rPr>
          <w:spacing w:val="-10"/>
        </w:rPr>
        <w:t> </w:t>
      </w:r>
      <w:r>
        <w:rPr/>
        <w:t>spent</w:t>
      </w:r>
      <w:r>
        <w:rPr>
          <w:spacing w:val="-9"/>
        </w:rPr>
        <w:t> </w:t>
      </w:r>
      <w:r>
        <w:rPr/>
        <w:t>on</w:t>
      </w:r>
      <w:r>
        <w:rPr>
          <w:spacing w:val="-10"/>
        </w:rPr>
        <w:t> </w:t>
      </w:r>
      <w:r>
        <w:rPr/>
        <w:t>the</w:t>
      </w:r>
      <w:r>
        <w:rPr>
          <w:spacing w:val="-11"/>
        </w:rPr>
        <w:t> </w:t>
      </w:r>
      <w:r>
        <w:rPr/>
        <w:t>dispute</w:t>
      </w:r>
      <w:r>
        <w:rPr>
          <w:spacing w:val="-11"/>
        </w:rPr>
        <w:t> </w:t>
      </w:r>
      <w:r>
        <w:rPr/>
        <w:t>varied</w:t>
      </w:r>
      <w:r>
        <w:rPr>
          <w:spacing w:val="-10"/>
        </w:rPr>
        <w:t> </w:t>
      </w:r>
      <w:r>
        <w:rPr/>
        <w:t>significantly by audience. Employers reported spending the most time on the dispute with an average (mean) of 26 hours in total. This represents a significant increase from 2015 when an average of 15 hours was spent per dispute.</w:t>
      </w:r>
    </w:p>
    <w:p>
      <w:pPr>
        <w:pStyle w:val="BodyText"/>
        <w:ind w:left="1337" w:right="1473"/>
        <w:jc w:val="both"/>
      </w:pPr>
      <w:r>
        <w:rPr/>
        <w:t>Claimants reported spending an average of 25 hours, while claimant representatives</w:t>
      </w:r>
      <w:r>
        <w:rPr>
          <w:spacing w:val="-9"/>
        </w:rPr>
        <w:t> </w:t>
      </w:r>
      <w:r>
        <w:rPr/>
        <w:t>reported</w:t>
      </w:r>
      <w:r>
        <w:rPr>
          <w:spacing w:val="-9"/>
        </w:rPr>
        <w:t> </w:t>
      </w:r>
      <w:r>
        <w:rPr/>
        <w:t>an</w:t>
      </w:r>
      <w:r>
        <w:rPr>
          <w:spacing w:val="-9"/>
        </w:rPr>
        <w:t> </w:t>
      </w:r>
      <w:r>
        <w:rPr/>
        <w:t>average</w:t>
      </w:r>
      <w:r>
        <w:rPr>
          <w:spacing w:val="-10"/>
        </w:rPr>
        <w:t> </w:t>
      </w:r>
      <w:r>
        <w:rPr/>
        <w:t>of</w:t>
      </w:r>
      <w:r>
        <w:rPr>
          <w:spacing w:val="-9"/>
        </w:rPr>
        <w:t> </w:t>
      </w:r>
      <w:r>
        <w:rPr/>
        <w:t>18</w:t>
      </w:r>
      <w:r>
        <w:rPr>
          <w:spacing w:val="-9"/>
        </w:rPr>
        <w:t> </w:t>
      </w:r>
      <w:r>
        <w:rPr/>
        <w:t>hours,</w:t>
      </w:r>
      <w:r>
        <w:rPr>
          <w:spacing w:val="-9"/>
        </w:rPr>
        <w:t> </w:t>
      </w:r>
      <w:r>
        <w:rPr/>
        <w:t>and</w:t>
      </w:r>
      <w:r>
        <w:rPr>
          <w:spacing w:val="-9"/>
        </w:rPr>
        <w:t> </w:t>
      </w:r>
      <w:r>
        <w:rPr/>
        <w:t>employer</w:t>
      </w:r>
      <w:r>
        <w:rPr>
          <w:spacing w:val="-9"/>
        </w:rPr>
        <w:t> </w:t>
      </w:r>
      <w:r>
        <w:rPr/>
        <w:t>representatives</w:t>
      </w:r>
      <w:r>
        <w:rPr>
          <w:spacing w:val="-9"/>
        </w:rPr>
        <w:t> </w:t>
      </w:r>
      <w:r>
        <w:rPr/>
        <w:t>an average of 11 hours.</w:t>
      </w:r>
    </w:p>
    <w:p>
      <w:pPr>
        <w:pStyle w:val="BodyText"/>
        <w:spacing w:before="1"/>
      </w:pPr>
    </w:p>
    <w:p>
      <w:pPr>
        <w:pStyle w:val="BodyText"/>
        <w:ind w:left="1337" w:right="1473"/>
        <w:jc w:val="both"/>
        <w:rPr>
          <w:sz w:val="13"/>
        </w:rPr>
      </w:pPr>
      <w:r>
        <w:rPr/>
        <w:t>When considering the averages, it should be noted that there was considerable variation</w:t>
      </w:r>
      <w:r>
        <w:rPr>
          <w:spacing w:val="-6"/>
        </w:rPr>
        <w:t> </w:t>
      </w:r>
      <w:r>
        <w:rPr/>
        <w:t>in</w:t>
      </w:r>
      <w:r>
        <w:rPr>
          <w:spacing w:val="-6"/>
        </w:rPr>
        <w:t> </w:t>
      </w:r>
      <w:r>
        <w:rPr/>
        <w:t>the</w:t>
      </w:r>
      <w:r>
        <w:rPr>
          <w:spacing w:val="-7"/>
        </w:rPr>
        <w:t> </w:t>
      </w:r>
      <w:r>
        <w:rPr/>
        <w:t>amount</w:t>
      </w:r>
      <w:r>
        <w:rPr>
          <w:spacing w:val="-9"/>
        </w:rPr>
        <w:t> </w:t>
      </w:r>
      <w:r>
        <w:rPr/>
        <w:t>of</w:t>
      </w:r>
      <w:r>
        <w:rPr>
          <w:spacing w:val="-7"/>
        </w:rPr>
        <w:t> </w:t>
      </w:r>
      <w:r>
        <w:rPr/>
        <w:t>time</w:t>
      </w:r>
      <w:r>
        <w:rPr>
          <w:spacing w:val="-7"/>
        </w:rPr>
        <w:t> </w:t>
      </w:r>
      <w:r>
        <w:rPr/>
        <w:t>spent</w:t>
      </w:r>
      <w:r>
        <w:rPr>
          <w:spacing w:val="-8"/>
        </w:rPr>
        <w:t> </w:t>
      </w:r>
      <w:r>
        <w:rPr/>
        <w:t>on</w:t>
      </w:r>
      <w:r>
        <w:rPr>
          <w:spacing w:val="-8"/>
        </w:rPr>
        <w:t> </w:t>
      </w:r>
      <w:r>
        <w:rPr/>
        <w:t>each</w:t>
      </w:r>
      <w:r>
        <w:rPr>
          <w:spacing w:val="-8"/>
        </w:rPr>
        <w:t> </w:t>
      </w:r>
      <w:r>
        <w:rPr/>
        <w:t>case</w:t>
      </w:r>
      <w:r>
        <w:rPr>
          <w:spacing w:val="-7"/>
        </w:rPr>
        <w:t> </w:t>
      </w:r>
      <w:r>
        <w:rPr/>
        <w:t>as</w:t>
      </w:r>
      <w:r>
        <w:rPr>
          <w:spacing w:val="-7"/>
        </w:rPr>
        <w:t> </w:t>
      </w:r>
      <w:r>
        <w:rPr/>
        <w:t>the</w:t>
      </w:r>
      <w:r>
        <w:rPr>
          <w:spacing w:val="-9"/>
        </w:rPr>
        <w:t> </w:t>
      </w:r>
      <w:r>
        <w:rPr/>
        <w:t>median</w:t>
      </w:r>
      <w:r>
        <w:rPr>
          <w:spacing w:val="-6"/>
        </w:rPr>
        <w:t> </w:t>
      </w:r>
      <w:r>
        <w:rPr/>
        <w:t>number</w:t>
      </w:r>
      <w:r>
        <w:rPr>
          <w:spacing w:val="-7"/>
        </w:rPr>
        <w:t> </w:t>
      </w:r>
      <w:r>
        <w:rPr/>
        <w:t>of</w:t>
      </w:r>
      <w:r>
        <w:rPr>
          <w:spacing w:val="-8"/>
        </w:rPr>
        <w:t> </w:t>
      </w:r>
      <w:r>
        <w:rPr/>
        <w:t>hours spent</w:t>
      </w:r>
      <w:r>
        <w:rPr>
          <w:spacing w:val="-6"/>
        </w:rPr>
        <w:t> </w:t>
      </w:r>
      <w:r>
        <w:rPr/>
        <w:t>by</w:t>
      </w:r>
      <w:r>
        <w:rPr>
          <w:spacing w:val="-6"/>
        </w:rPr>
        <w:t> </w:t>
      </w:r>
      <w:r>
        <w:rPr/>
        <w:t>audience</w:t>
      </w:r>
      <w:r>
        <w:rPr>
          <w:spacing w:val="-6"/>
        </w:rPr>
        <w:t> </w:t>
      </w:r>
      <w:r>
        <w:rPr/>
        <w:t>was</w:t>
      </w:r>
      <w:r>
        <w:rPr>
          <w:spacing w:val="-8"/>
        </w:rPr>
        <w:t> </w:t>
      </w:r>
      <w:r>
        <w:rPr/>
        <w:t>eight,</w:t>
      </w:r>
      <w:r>
        <w:rPr>
          <w:spacing w:val="-5"/>
        </w:rPr>
        <w:t> </w:t>
      </w:r>
      <w:r>
        <w:rPr/>
        <w:t>seven,</w:t>
      </w:r>
      <w:r>
        <w:rPr>
          <w:spacing w:val="-6"/>
        </w:rPr>
        <w:t> </w:t>
      </w:r>
      <w:r>
        <w:rPr/>
        <w:t>five</w:t>
      </w:r>
      <w:r>
        <w:rPr>
          <w:spacing w:val="-6"/>
        </w:rPr>
        <w:t> </w:t>
      </w:r>
      <w:r>
        <w:rPr/>
        <w:t>and</w:t>
      </w:r>
      <w:r>
        <w:rPr>
          <w:spacing w:val="-7"/>
        </w:rPr>
        <w:t> </w:t>
      </w:r>
      <w:r>
        <w:rPr/>
        <w:t>four</w:t>
      </w:r>
      <w:r>
        <w:rPr>
          <w:spacing w:val="-6"/>
        </w:rPr>
        <w:t> </w:t>
      </w:r>
      <w:r>
        <w:rPr/>
        <w:t>respectively.</w:t>
      </w:r>
      <w:r>
        <w:rPr>
          <w:spacing w:val="-5"/>
        </w:rPr>
        <w:t> </w:t>
      </w:r>
      <w:r>
        <w:rPr/>
        <w:t>A</w:t>
      </w:r>
      <w:r>
        <w:rPr>
          <w:spacing w:val="-7"/>
        </w:rPr>
        <w:t> </w:t>
      </w:r>
      <w:r>
        <w:rPr/>
        <w:t>full</w:t>
      </w:r>
      <w:r>
        <w:rPr>
          <w:spacing w:val="-6"/>
        </w:rPr>
        <w:t> </w:t>
      </w:r>
      <w:r>
        <w:rPr/>
        <w:t>breakdown</w:t>
      </w:r>
      <w:r>
        <w:rPr>
          <w:spacing w:val="-6"/>
        </w:rPr>
        <w:t> </w:t>
      </w:r>
      <w:r>
        <w:rPr/>
        <w:t>is shown in Table 11.</w:t>
      </w:r>
      <w:hyperlink w:history="true" w:anchor="_bookmark83">
        <w:r>
          <w:rPr>
            <w:position w:val="7"/>
            <w:sz w:val="13"/>
          </w:rPr>
          <w:t>17</w:t>
        </w:r>
      </w:hyperlink>
    </w:p>
    <w:p>
      <w:pPr>
        <w:pStyle w:val="BodyText"/>
        <w:rPr>
          <w:sz w:val="24"/>
        </w:rPr>
      </w:pPr>
    </w:p>
    <w:p>
      <w:pPr>
        <w:pStyle w:val="BodyText"/>
        <w:rPr>
          <w:sz w:val="18"/>
        </w:rPr>
      </w:pPr>
    </w:p>
    <w:p>
      <w:pPr>
        <w:pStyle w:val="Heading3"/>
      </w:pPr>
      <w:r>
        <w:rPr/>
        <w:t>Table</w:t>
      </w:r>
      <w:r>
        <w:rPr>
          <w:spacing w:val="-5"/>
        </w:rPr>
        <w:t> </w:t>
      </w:r>
      <w:r>
        <w:rPr/>
        <w:t>11.</w:t>
      </w:r>
      <w:r>
        <w:rPr>
          <w:spacing w:val="-4"/>
        </w:rPr>
        <w:t> </w:t>
      </w:r>
      <w:r>
        <w:rPr/>
        <w:t>Time</w:t>
      </w:r>
      <w:r>
        <w:rPr>
          <w:spacing w:val="-4"/>
        </w:rPr>
        <w:t> </w:t>
      </w:r>
      <w:r>
        <w:rPr/>
        <w:t>spent</w:t>
      </w:r>
      <w:r>
        <w:rPr>
          <w:spacing w:val="-4"/>
        </w:rPr>
        <w:t> </w:t>
      </w:r>
      <w:r>
        <w:rPr/>
        <w:t>on</w:t>
      </w:r>
      <w:r>
        <w:rPr>
          <w:spacing w:val="-2"/>
        </w:rPr>
        <w:t> </w:t>
      </w:r>
      <w:r>
        <w:rPr/>
        <w:t>the</w:t>
      </w:r>
      <w:r>
        <w:rPr>
          <w:spacing w:val="-2"/>
        </w:rPr>
        <w:t> </w:t>
      </w:r>
      <w:r>
        <w:rPr/>
        <w:t>case</w:t>
      </w:r>
      <w:r>
        <w:rPr>
          <w:spacing w:val="-3"/>
        </w:rPr>
        <w:t> </w:t>
      </w:r>
      <w:r>
        <w:rPr/>
        <w:t>/</w:t>
      </w:r>
      <w:r>
        <w:rPr>
          <w:spacing w:val="-3"/>
        </w:rPr>
        <w:t> </w:t>
      </w:r>
      <w:r>
        <w:rPr/>
        <w:t>workplace</w:t>
      </w:r>
      <w:r>
        <w:rPr>
          <w:spacing w:val="-3"/>
        </w:rPr>
        <w:t> </w:t>
      </w:r>
      <w:r>
        <w:rPr>
          <w:spacing w:val="-2"/>
        </w:rPr>
        <w:t>problem</w:t>
      </w:r>
    </w:p>
    <w:p>
      <w:pPr>
        <w:pStyle w:val="BodyText"/>
        <w:spacing w:before="7"/>
        <w:rPr>
          <w:b/>
          <w:sz w:val="5"/>
        </w:rPr>
      </w:pPr>
      <w:r>
        <w:rPr/>
        <w:drawing>
          <wp:anchor distT="0" distB="0" distL="0" distR="0" allowOverlap="1" layoutInCell="1" locked="0" behindDoc="0" simplePos="0" relativeHeight="25">
            <wp:simplePos x="0" y="0"/>
            <wp:positionH relativeFrom="page">
              <wp:posOffset>1236077</wp:posOffset>
            </wp:positionH>
            <wp:positionV relativeFrom="paragraph">
              <wp:posOffset>58497</wp:posOffset>
            </wp:positionV>
            <wp:extent cx="5023001" cy="2200275"/>
            <wp:effectExtent l="0" t="0" r="0" b="0"/>
            <wp:wrapTopAndBottom/>
            <wp:docPr id="33" name="image17.png" descr="Table showing time spent on the case / workplace problem "/>
            <wp:cNvGraphicFramePr>
              <a:graphicFrameLocks noChangeAspect="1"/>
            </wp:cNvGraphicFramePr>
            <a:graphic>
              <a:graphicData uri="http://schemas.openxmlformats.org/drawingml/2006/picture">
                <pic:pic>
                  <pic:nvPicPr>
                    <pic:cNvPr id="34" name="image17.png"/>
                    <pic:cNvPicPr/>
                  </pic:nvPicPr>
                  <pic:blipFill>
                    <a:blip r:embed="rId29" cstate="print"/>
                    <a:stretch>
                      <a:fillRect/>
                    </a:stretch>
                  </pic:blipFill>
                  <pic:spPr>
                    <a:xfrm>
                      <a:off x="0" y="0"/>
                      <a:ext cx="5023001" cy="2200275"/>
                    </a:xfrm>
                    <a:prstGeom prst="rect">
                      <a:avLst/>
                    </a:prstGeom>
                  </pic:spPr>
                </pic:pic>
              </a:graphicData>
            </a:graphic>
          </wp:anchor>
        </w:drawing>
      </w:r>
    </w:p>
    <w:p>
      <w:pPr>
        <w:pStyle w:val="BodyText"/>
        <w:spacing w:before="1"/>
        <w:rPr>
          <w:b/>
          <w:sz w:val="34"/>
        </w:rPr>
      </w:pPr>
    </w:p>
    <w:p>
      <w:pPr>
        <w:pStyle w:val="BodyText"/>
        <w:ind w:left="1337" w:right="1472"/>
        <w:jc w:val="both"/>
      </w:pPr>
      <w:r>
        <w:rPr/>
        <w:t>There</w:t>
      </w:r>
      <w:r>
        <w:rPr>
          <w:spacing w:val="-10"/>
        </w:rPr>
        <w:t> </w:t>
      </w:r>
      <w:r>
        <w:rPr/>
        <w:t>was</w:t>
      </w:r>
      <w:r>
        <w:rPr>
          <w:spacing w:val="-9"/>
        </w:rPr>
        <w:t> </w:t>
      </w:r>
      <w:r>
        <w:rPr/>
        <w:t>no</w:t>
      </w:r>
      <w:r>
        <w:rPr>
          <w:spacing w:val="-10"/>
        </w:rPr>
        <w:t> </w:t>
      </w:r>
      <w:r>
        <w:rPr/>
        <w:t>significant</w:t>
      </w:r>
      <w:r>
        <w:rPr>
          <w:spacing w:val="-9"/>
        </w:rPr>
        <w:t> </w:t>
      </w:r>
      <w:r>
        <w:rPr/>
        <w:t>variation</w:t>
      </w:r>
      <w:r>
        <w:rPr>
          <w:spacing w:val="-9"/>
        </w:rPr>
        <w:t> </w:t>
      </w:r>
      <w:r>
        <w:rPr/>
        <w:t>in</w:t>
      </w:r>
      <w:r>
        <w:rPr>
          <w:spacing w:val="-8"/>
        </w:rPr>
        <w:t> </w:t>
      </w:r>
      <w:r>
        <w:rPr/>
        <w:t>time</w:t>
      </w:r>
      <w:r>
        <w:rPr>
          <w:spacing w:val="-10"/>
        </w:rPr>
        <w:t> </w:t>
      </w:r>
      <w:r>
        <w:rPr/>
        <w:t>taken</w:t>
      </w:r>
      <w:r>
        <w:rPr>
          <w:spacing w:val="-9"/>
        </w:rPr>
        <w:t> </w:t>
      </w:r>
      <w:r>
        <w:rPr/>
        <w:t>by</w:t>
      </w:r>
      <w:r>
        <w:rPr>
          <w:spacing w:val="-9"/>
        </w:rPr>
        <w:t> </w:t>
      </w:r>
      <w:r>
        <w:rPr/>
        <w:t>case</w:t>
      </w:r>
      <w:r>
        <w:rPr>
          <w:spacing w:val="-10"/>
        </w:rPr>
        <w:t> </w:t>
      </w:r>
      <w:r>
        <w:rPr/>
        <w:t>outcome,</w:t>
      </w:r>
      <w:r>
        <w:rPr>
          <w:spacing w:val="-9"/>
        </w:rPr>
        <w:t> </w:t>
      </w:r>
      <w:r>
        <w:rPr/>
        <w:t>but</w:t>
      </w:r>
      <w:r>
        <w:rPr>
          <w:spacing w:val="-9"/>
        </w:rPr>
        <w:t> </w:t>
      </w:r>
      <w:r>
        <w:rPr/>
        <w:t>there</w:t>
      </w:r>
      <w:r>
        <w:rPr>
          <w:spacing w:val="-10"/>
        </w:rPr>
        <w:t> </w:t>
      </w:r>
      <w:r>
        <w:rPr/>
        <w:t>was</w:t>
      </w:r>
      <w:r>
        <w:rPr>
          <w:spacing w:val="-9"/>
        </w:rPr>
        <w:t> </w:t>
      </w:r>
      <w:r>
        <w:rPr/>
        <w:t>by track.</w:t>
      </w:r>
      <w:r>
        <w:rPr>
          <w:spacing w:val="-16"/>
        </w:rPr>
        <w:t> </w:t>
      </w:r>
      <w:r>
        <w:rPr/>
        <w:t>Claimant-side</w:t>
      </w:r>
      <w:r>
        <w:rPr>
          <w:spacing w:val="-15"/>
        </w:rPr>
        <w:t> </w:t>
      </w:r>
      <w:r>
        <w:rPr/>
        <w:t>participants</w:t>
      </w:r>
      <w:r>
        <w:rPr>
          <w:spacing w:val="-15"/>
        </w:rPr>
        <w:t> </w:t>
      </w:r>
      <w:r>
        <w:rPr/>
        <w:t>involved</w:t>
      </w:r>
      <w:r>
        <w:rPr>
          <w:spacing w:val="-15"/>
        </w:rPr>
        <w:t> </w:t>
      </w:r>
      <w:r>
        <w:rPr/>
        <w:t>in</w:t>
      </w:r>
      <w:r>
        <w:rPr>
          <w:spacing w:val="-14"/>
        </w:rPr>
        <w:t> </w:t>
      </w:r>
      <w:r>
        <w:rPr/>
        <w:t>open</w:t>
      </w:r>
      <w:r>
        <w:rPr>
          <w:spacing w:val="-16"/>
        </w:rPr>
        <w:t> </w:t>
      </w:r>
      <w:r>
        <w:rPr/>
        <w:t>track</w:t>
      </w:r>
      <w:r>
        <w:rPr>
          <w:spacing w:val="-16"/>
        </w:rPr>
        <w:t> </w:t>
      </w:r>
      <w:r>
        <w:rPr/>
        <w:t>cases</w:t>
      </w:r>
      <w:r>
        <w:rPr>
          <w:spacing w:val="-15"/>
        </w:rPr>
        <w:t> </w:t>
      </w:r>
      <w:r>
        <w:rPr/>
        <w:t>reported</w:t>
      </w:r>
      <w:r>
        <w:rPr>
          <w:spacing w:val="-15"/>
        </w:rPr>
        <w:t> </w:t>
      </w:r>
      <w:r>
        <w:rPr/>
        <w:t>spending</w:t>
      </w:r>
      <w:r>
        <w:rPr>
          <w:spacing w:val="-15"/>
        </w:rPr>
        <w:t> </w:t>
      </w:r>
      <w:r>
        <w:rPr/>
        <w:t>an average of 29 hours on the case, with a median of eight, while those involved in standard or fast track cases reported spending an average of 19 and 21 hours respectively, with a median of five. Among employer-side participants a similar pattern</w:t>
      </w:r>
      <w:r>
        <w:rPr>
          <w:spacing w:val="-12"/>
        </w:rPr>
        <w:t> </w:t>
      </w:r>
      <w:r>
        <w:rPr/>
        <w:t>can</w:t>
      </w:r>
      <w:r>
        <w:rPr>
          <w:spacing w:val="-14"/>
        </w:rPr>
        <w:t> </w:t>
      </w:r>
      <w:r>
        <w:rPr/>
        <w:t>be</w:t>
      </w:r>
      <w:r>
        <w:rPr>
          <w:spacing w:val="-12"/>
        </w:rPr>
        <w:t> </w:t>
      </w:r>
      <w:r>
        <w:rPr/>
        <w:t>observed,</w:t>
      </w:r>
      <w:r>
        <w:rPr>
          <w:spacing w:val="-12"/>
        </w:rPr>
        <w:t> </w:t>
      </w:r>
      <w:r>
        <w:rPr/>
        <w:t>with</w:t>
      </w:r>
      <w:r>
        <w:rPr>
          <w:spacing w:val="-12"/>
        </w:rPr>
        <w:t> </w:t>
      </w:r>
      <w:r>
        <w:rPr/>
        <w:t>an</w:t>
      </w:r>
      <w:r>
        <w:rPr>
          <w:spacing w:val="-12"/>
        </w:rPr>
        <w:t> </w:t>
      </w:r>
      <w:r>
        <w:rPr/>
        <w:t>average</w:t>
      </w:r>
      <w:r>
        <w:rPr>
          <w:spacing w:val="-12"/>
        </w:rPr>
        <w:t> </w:t>
      </w:r>
      <w:r>
        <w:rPr/>
        <w:t>of</w:t>
      </w:r>
      <w:r>
        <w:rPr>
          <w:spacing w:val="-11"/>
        </w:rPr>
        <w:t> </w:t>
      </w:r>
      <w:r>
        <w:rPr/>
        <w:t>38</w:t>
      </w:r>
      <w:r>
        <w:rPr>
          <w:spacing w:val="-14"/>
        </w:rPr>
        <w:t> </w:t>
      </w:r>
      <w:r>
        <w:rPr/>
        <w:t>hours</w:t>
      </w:r>
      <w:r>
        <w:rPr>
          <w:spacing w:val="-13"/>
        </w:rPr>
        <w:t> </w:t>
      </w:r>
      <w:r>
        <w:rPr/>
        <w:t>reported</w:t>
      </w:r>
      <w:r>
        <w:rPr>
          <w:spacing w:val="-12"/>
        </w:rPr>
        <w:t> </w:t>
      </w:r>
      <w:r>
        <w:rPr/>
        <w:t>in</w:t>
      </w:r>
      <w:r>
        <w:rPr>
          <w:spacing w:val="-12"/>
        </w:rPr>
        <w:t> </w:t>
      </w:r>
      <w:r>
        <w:rPr/>
        <w:t>open</w:t>
      </w:r>
      <w:r>
        <w:rPr>
          <w:spacing w:val="-14"/>
        </w:rPr>
        <w:t> </w:t>
      </w:r>
      <w:r>
        <w:rPr/>
        <w:t>track</w:t>
      </w:r>
      <w:r>
        <w:rPr>
          <w:spacing w:val="-13"/>
        </w:rPr>
        <w:t> </w:t>
      </w:r>
      <w:r>
        <w:rPr/>
        <w:t>cases, compared to 28 and 16 hours among standard and fast track cases specifically.</w:t>
      </w:r>
    </w:p>
    <w:p>
      <w:pPr>
        <w:pStyle w:val="BodyText"/>
        <w:spacing w:before="1"/>
      </w:pPr>
    </w:p>
    <w:p>
      <w:pPr>
        <w:pStyle w:val="BodyText"/>
        <w:spacing w:before="1"/>
        <w:ind w:left="1337" w:right="1473"/>
        <w:jc w:val="both"/>
      </w:pPr>
      <w:r>
        <w:rPr/>
        <w:t>Employers</w:t>
      </w:r>
      <w:r>
        <w:rPr>
          <w:spacing w:val="-1"/>
        </w:rPr>
        <w:t> </w:t>
      </w:r>
      <w:r>
        <w:rPr/>
        <w:t>were also asked to</w:t>
      </w:r>
      <w:r>
        <w:rPr>
          <w:spacing w:val="-1"/>
        </w:rPr>
        <w:t> </w:t>
      </w:r>
      <w:r>
        <w:rPr/>
        <w:t>report how many people at their organisation spent time on the dispute.</w:t>
      </w:r>
    </w:p>
    <w:p>
      <w:pPr>
        <w:pStyle w:val="BodyText"/>
        <w:spacing w:before="11"/>
        <w:rPr>
          <w:sz w:val="19"/>
        </w:rPr>
      </w:pPr>
    </w:p>
    <w:p>
      <w:pPr>
        <w:pStyle w:val="BodyText"/>
        <w:ind w:left="1337" w:right="1474"/>
        <w:jc w:val="both"/>
      </w:pPr>
      <w:r>
        <w:rPr/>
        <w:t>The average number of people involved in each dispute among employers was three. Half (51 per cent) of employers reported that one or two members of staff had spent time on the case (down from 61 per cent in 2015), while a similar proportion (47 per cent) said that three or more had been involved.</w:t>
      </w:r>
    </w:p>
    <w:p>
      <w:pPr>
        <w:pStyle w:val="BodyText"/>
        <w:spacing w:before="1"/>
      </w:pPr>
    </w:p>
    <w:p>
      <w:pPr>
        <w:pStyle w:val="BodyText"/>
        <w:ind w:left="1337" w:right="1474"/>
        <w:jc w:val="both"/>
      </w:pPr>
      <w:r>
        <w:rPr/>
        <w:t>Those</w:t>
      </w:r>
      <w:r>
        <w:rPr>
          <w:spacing w:val="-11"/>
        </w:rPr>
        <w:t> </w:t>
      </w:r>
      <w:r>
        <w:rPr/>
        <w:t>involved</w:t>
      </w:r>
      <w:r>
        <w:rPr>
          <w:spacing w:val="-10"/>
        </w:rPr>
        <w:t> </w:t>
      </w:r>
      <w:r>
        <w:rPr/>
        <w:t>in</w:t>
      </w:r>
      <w:r>
        <w:rPr>
          <w:spacing w:val="-10"/>
        </w:rPr>
        <w:t> </w:t>
      </w:r>
      <w:r>
        <w:rPr/>
        <w:t>open</w:t>
      </w:r>
      <w:r>
        <w:rPr>
          <w:spacing w:val="-11"/>
        </w:rPr>
        <w:t> </w:t>
      </w:r>
      <w:r>
        <w:rPr/>
        <w:t>track</w:t>
      </w:r>
      <w:r>
        <w:rPr>
          <w:spacing w:val="-10"/>
        </w:rPr>
        <w:t> </w:t>
      </w:r>
      <w:r>
        <w:rPr/>
        <w:t>cases</w:t>
      </w:r>
      <w:r>
        <w:rPr>
          <w:spacing w:val="-11"/>
        </w:rPr>
        <w:t> </w:t>
      </w:r>
      <w:r>
        <w:rPr/>
        <w:t>reported</w:t>
      </w:r>
      <w:r>
        <w:rPr>
          <w:spacing w:val="-10"/>
        </w:rPr>
        <w:t> </w:t>
      </w:r>
      <w:r>
        <w:rPr/>
        <w:t>the</w:t>
      </w:r>
      <w:r>
        <w:rPr>
          <w:spacing w:val="-11"/>
        </w:rPr>
        <w:t> </w:t>
      </w:r>
      <w:r>
        <w:rPr/>
        <w:t>highest</w:t>
      </w:r>
      <w:r>
        <w:rPr>
          <w:spacing w:val="-11"/>
        </w:rPr>
        <w:t> </w:t>
      </w:r>
      <w:r>
        <w:rPr/>
        <w:t>number</w:t>
      </w:r>
      <w:r>
        <w:rPr>
          <w:spacing w:val="-11"/>
        </w:rPr>
        <w:t> </w:t>
      </w:r>
      <w:r>
        <w:rPr/>
        <w:t>of</w:t>
      </w:r>
      <w:r>
        <w:rPr>
          <w:spacing w:val="-10"/>
        </w:rPr>
        <w:t> </w:t>
      </w:r>
      <w:r>
        <w:rPr/>
        <w:t>people</w:t>
      </w:r>
      <w:r>
        <w:rPr>
          <w:spacing w:val="-11"/>
        </w:rPr>
        <w:t> </w:t>
      </w:r>
      <w:r>
        <w:rPr/>
        <w:t>involved (a mean of four), while those involved in fast track cases reported the lowest (a mean of two).</w:t>
      </w:r>
    </w:p>
    <w:p>
      <w:pPr>
        <w:spacing w:after="0"/>
        <w:jc w:val="both"/>
        <w:sectPr>
          <w:pgSz w:w="11910" w:h="16840"/>
          <w:pgMar w:header="0" w:footer="996" w:top="1340" w:bottom="1180" w:left="460" w:right="320"/>
        </w:sectPr>
      </w:pPr>
    </w:p>
    <w:p>
      <w:pPr>
        <w:pStyle w:val="Heading3"/>
        <w:numPr>
          <w:ilvl w:val="1"/>
          <w:numId w:val="2"/>
        </w:numPr>
        <w:tabs>
          <w:tab w:pos="1974" w:val="left" w:leader="none"/>
        </w:tabs>
        <w:spacing w:line="240" w:lineRule="auto" w:before="82" w:after="0"/>
        <w:ind w:left="1973" w:right="0" w:hanging="637"/>
        <w:jc w:val="both"/>
      </w:pPr>
      <w:bookmarkStart w:name="9.4  Receipt of EC certificate" w:id="83"/>
      <w:bookmarkEnd w:id="83"/>
      <w:r>
        <w:rPr>
          <w:b w:val="0"/>
        </w:rPr>
      </w:r>
      <w:bookmarkStart w:name="_bookmark21" w:id="84"/>
      <w:bookmarkEnd w:id="84"/>
      <w:r>
        <w:rPr/>
        <w:t>Re</w:t>
      </w:r>
      <w:r>
        <w:rPr/>
        <w:t>ceipt</w:t>
      </w:r>
      <w:r>
        <w:rPr>
          <w:spacing w:val="-3"/>
        </w:rPr>
        <w:t> </w:t>
      </w:r>
      <w:r>
        <w:rPr/>
        <w:t>of</w:t>
      </w:r>
      <w:r>
        <w:rPr>
          <w:spacing w:val="-3"/>
        </w:rPr>
        <w:t> </w:t>
      </w:r>
      <w:r>
        <w:rPr/>
        <w:t>EC</w:t>
      </w:r>
      <w:r>
        <w:rPr>
          <w:spacing w:val="-1"/>
        </w:rPr>
        <w:t> </w:t>
      </w:r>
      <w:r>
        <w:rPr>
          <w:spacing w:val="-2"/>
        </w:rPr>
        <w:t>certificate</w:t>
      </w:r>
    </w:p>
    <w:p>
      <w:pPr>
        <w:pStyle w:val="Heading4"/>
        <w:numPr>
          <w:ilvl w:val="2"/>
          <w:numId w:val="21"/>
        </w:numPr>
        <w:tabs>
          <w:tab w:pos="2058" w:val="left" w:leader="none"/>
        </w:tabs>
        <w:spacing w:line="240" w:lineRule="auto" w:before="120" w:after="0"/>
        <w:ind w:left="2057" w:right="0" w:hanging="721"/>
        <w:jc w:val="both"/>
        <w:rPr>
          <w:i/>
        </w:rPr>
      </w:pPr>
      <w:bookmarkStart w:name="9.4.1 Receipt by claimants" w:id="85"/>
      <w:bookmarkEnd w:id="85"/>
      <w:r>
        <w:rPr>
          <w:i/>
        </w:rPr>
        <w:t>Re</w:t>
      </w:r>
      <w:r>
        <w:rPr>
          <w:i/>
        </w:rPr>
        <w:t>ceipt</w:t>
      </w:r>
      <w:r>
        <w:rPr>
          <w:i/>
          <w:spacing w:val="-3"/>
        </w:rPr>
        <w:t> </w:t>
      </w:r>
      <w:r>
        <w:rPr>
          <w:i/>
        </w:rPr>
        <w:t>by</w:t>
      </w:r>
      <w:r>
        <w:rPr>
          <w:i/>
          <w:spacing w:val="-3"/>
        </w:rPr>
        <w:t> </w:t>
      </w:r>
      <w:r>
        <w:rPr>
          <w:i/>
          <w:spacing w:val="-2"/>
        </w:rPr>
        <w:t>claimants</w:t>
      </w:r>
    </w:p>
    <w:p>
      <w:pPr>
        <w:pStyle w:val="BodyText"/>
        <w:spacing w:before="60"/>
        <w:ind w:left="1337" w:right="1472"/>
        <w:jc w:val="both"/>
      </w:pPr>
      <w:r>
        <w:rPr/>
        <w:t>All claimant-side participants who failed to reach a settlement would have been issued</w:t>
      </w:r>
      <w:r>
        <w:rPr>
          <w:spacing w:val="-15"/>
        </w:rPr>
        <w:t> </w:t>
      </w:r>
      <w:r>
        <w:rPr/>
        <w:t>with</w:t>
      </w:r>
      <w:r>
        <w:rPr>
          <w:spacing w:val="-16"/>
        </w:rPr>
        <w:t> </w:t>
      </w:r>
      <w:r>
        <w:rPr/>
        <w:t>a</w:t>
      </w:r>
      <w:r>
        <w:rPr>
          <w:spacing w:val="-15"/>
        </w:rPr>
        <w:t> </w:t>
      </w:r>
      <w:r>
        <w:rPr/>
        <w:t>certificate</w:t>
      </w:r>
      <w:r>
        <w:rPr>
          <w:spacing w:val="-16"/>
        </w:rPr>
        <w:t> </w:t>
      </w:r>
      <w:r>
        <w:rPr/>
        <w:t>from</w:t>
      </w:r>
      <w:r>
        <w:rPr>
          <w:spacing w:val="-16"/>
        </w:rPr>
        <w:t> </w:t>
      </w:r>
      <w:r>
        <w:rPr/>
        <w:t>Acas</w:t>
      </w:r>
      <w:r>
        <w:rPr>
          <w:spacing w:val="-15"/>
        </w:rPr>
        <w:t> </w:t>
      </w:r>
      <w:r>
        <w:rPr/>
        <w:t>to</w:t>
      </w:r>
      <w:r>
        <w:rPr>
          <w:spacing w:val="-16"/>
        </w:rPr>
        <w:t> </w:t>
      </w:r>
      <w:r>
        <w:rPr/>
        <w:t>confirm</w:t>
      </w:r>
      <w:r>
        <w:rPr>
          <w:spacing w:val="-16"/>
        </w:rPr>
        <w:t> </w:t>
      </w:r>
      <w:r>
        <w:rPr/>
        <w:t>that</w:t>
      </w:r>
      <w:r>
        <w:rPr>
          <w:spacing w:val="-15"/>
        </w:rPr>
        <w:t> </w:t>
      </w:r>
      <w:r>
        <w:rPr/>
        <w:t>an</w:t>
      </w:r>
      <w:r>
        <w:rPr>
          <w:spacing w:val="-16"/>
        </w:rPr>
        <w:t> </w:t>
      </w:r>
      <w:r>
        <w:rPr/>
        <w:t>EC</w:t>
      </w:r>
      <w:r>
        <w:rPr>
          <w:spacing w:val="-15"/>
        </w:rPr>
        <w:t> </w:t>
      </w:r>
      <w:r>
        <w:rPr/>
        <w:t>notification</w:t>
      </w:r>
      <w:r>
        <w:rPr>
          <w:spacing w:val="-15"/>
        </w:rPr>
        <w:t> </w:t>
      </w:r>
      <w:r>
        <w:rPr/>
        <w:t>had</w:t>
      </w:r>
      <w:r>
        <w:rPr>
          <w:spacing w:val="-16"/>
        </w:rPr>
        <w:t> </w:t>
      </w:r>
      <w:r>
        <w:rPr/>
        <w:t>been</w:t>
      </w:r>
      <w:r>
        <w:rPr>
          <w:spacing w:val="-15"/>
        </w:rPr>
        <w:t> </w:t>
      </w:r>
      <w:r>
        <w:rPr/>
        <w:t>made but</w:t>
      </w:r>
      <w:r>
        <w:rPr>
          <w:spacing w:val="-15"/>
        </w:rPr>
        <w:t> </w:t>
      </w:r>
      <w:r>
        <w:rPr/>
        <w:t>an</w:t>
      </w:r>
      <w:r>
        <w:rPr>
          <w:spacing w:val="-15"/>
        </w:rPr>
        <w:t> </w:t>
      </w:r>
      <w:r>
        <w:rPr/>
        <w:t>agreement</w:t>
      </w:r>
      <w:r>
        <w:rPr>
          <w:spacing w:val="-15"/>
        </w:rPr>
        <w:t> </w:t>
      </w:r>
      <w:r>
        <w:rPr/>
        <w:t>was</w:t>
      </w:r>
      <w:r>
        <w:rPr>
          <w:spacing w:val="-16"/>
        </w:rPr>
        <w:t> </w:t>
      </w:r>
      <w:r>
        <w:rPr/>
        <w:t>not</w:t>
      </w:r>
      <w:r>
        <w:rPr>
          <w:spacing w:val="-15"/>
        </w:rPr>
        <w:t> </w:t>
      </w:r>
      <w:r>
        <w:rPr/>
        <w:t>reached</w:t>
      </w:r>
      <w:r>
        <w:rPr>
          <w:spacing w:val="-16"/>
        </w:rPr>
        <w:t> </w:t>
      </w:r>
      <w:r>
        <w:rPr/>
        <w:t>(or</w:t>
      </w:r>
      <w:r>
        <w:rPr>
          <w:spacing w:val="-15"/>
        </w:rPr>
        <w:t> </w:t>
      </w:r>
      <w:r>
        <w:rPr/>
        <w:t>attempted).</w:t>
      </w:r>
      <w:r>
        <w:rPr>
          <w:spacing w:val="-15"/>
        </w:rPr>
        <w:t> </w:t>
      </w:r>
      <w:r>
        <w:rPr/>
        <w:t>Claimant-side</w:t>
      </w:r>
      <w:r>
        <w:rPr>
          <w:spacing w:val="-16"/>
        </w:rPr>
        <w:t> </w:t>
      </w:r>
      <w:r>
        <w:rPr/>
        <w:t>participants</w:t>
      </w:r>
      <w:r>
        <w:rPr>
          <w:spacing w:val="-15"/>
        </w:rPr>
        <w:t> </w:t>
      </w:r>
      <w:r>
        <w:rPr/>
        <w:t>were asked</w:t>
      </w:r>
      <w:r>
        <w:rPr>
          <w:spacing w:val="-13"/>
        </w:rPr>
        <w:t> </w:t>
      </w:r>
      <w:r>
        <w:rPr/>
        <w:t>whether</w:t>
      </w:r>
      <w:r>
        <w:rPr>
          <w:spacing w:val="-13"/>
        </w:rPr>
        <w:t> </w:t>
      </w:r>
      <w:r>
        <w:rPr/>
        <w:t>they</w:t>
      </w:r>
      <w:r>
        <w:rPr>
          <w:spacing w:val="-13"/>
        </w:rPr>
        <w:t> </w:t>
      </w:r>
      <w:r>
        <w:rPr/>
        <w:t>recalled</w:t>
      </w:r>
      <w:r>
        <w:rPr>
          <w:spacing w:val="-13"/>
        </w:rPr>
        <w:t> </w:t>
      </w:r>
      <w:r>
        <w:rPr/>
        <w:t>receiving</w:t>
      </w:r>
      <w:r>
        <w:rPr>
          <w:spacing w:val="-13"/>
        </w:rPr>
        <w:t> </w:t>
      </w:r>
      <w:r>
        <w:rPr/>
        <w:t>that</w:t>
      </w:r>
      <w:r>
        <w:rPr>
          <w:spacing w:val="-13"/>
        </w:rPr>
        <w:t> </w:t>
      </w:r>
      <w:r>
        <w:rPr/>
        <w:t>certificate.</w:t>
      </w:r>
      <w:r>
        <w:rPr>
          <w:spacing w:val="-13"/>
        </w:rPr>
        <w:t> </w:t>
      </w:r>
      <w:r>
        <w:rPr/>
        <w:t>Nine</w:t>
      </w:r>
      <w:r>
        <w:rPr>
          <w:spacing w:val="-13"/>
        </w:rPr>
        <w:t> </w:t>
      </w:r>
      <w:r>
        <w:rPr/>
        <w:t>in</w:t>
      </w:r>
      <w:r>
        <w:rPr>
          <w:spacing w:val="-12"/>
        </w:rPr>
        <w:t> </w:t>
      </w:r>
      <w:r>
        <w:rPr/>
        <w:t>ten</w:t>
      </w:r>
      <w:r>
        <w:rPr>
          <w:spacing w:val="-12"/>
        </w:rPr>
        <w:t> </w:t>
      </w:r>
      <w:r>
        <w:rPr/>
        <w:t>(89</w:t>
      </w:r>
      <w:r>
        <w:rPr>
          <w:spacing w:val="-13"/>
        </w:rPr>
        <w:t> </w:t>
      </w:r>
      <w:r>
        <w:rPr/>
        <w:t>per</w:t>
      </w:r>
      <w:r>
        <w:rPr>
          <w:spacing w:val="-13"/>
        </w:rPr>
        <w:t> </w:t>
      </w:r>
      <w:r>
        <w:rPr/>
        <w:t>cent)</w:t>
      </w:r>
      <w:r>
        <w:rPr>
          <w:spacing w:val="-13"/>
        </w:rPr>
        <w:t> </w:t>
      </w:r>
      <w:r>
        <w:rPr/>
        <w:t>did, up significantly on 2015 (82 per cent). Representatives were more likely to recall the certificate (95 per cent) than claimants (86 per cent). Claimant-side participants involved in open track disputes were also more likely to recall receipt of the certificate (93 per cent) than those in fast or standard track disputes (both 87 per cent).</w:t>
      </w:r>
    </w:p>
    <w:p>
      <w:pPr>
        <w:pStyle w:val="BodyText"/>
      </w:pPr>
    </w:p>
    <w:p>
      <w:pPr>
        <w:pStyle w:val="BodyText"/>
        <w:ind w:left="1337" w:right="1474"/>
        <w:jc w:val="both"/>
      </w:pPr>
      <w:r>
        <w:rPr/>
        <w:t>All</w:t>
      </w:r>
      <w:r>
        <w:rPr>
          <w:spacing w:val="-9"/>
        </w:rPr>
        <w:t> </w:t>
      </w:r>
      <w:r>
        <w:rPr/>
        <w:t>those</w:t>
      </w:r>
      <w:r>
        <w:rPr>
          <w:spacing w:val="-8"/>
        </w:rPr>
        <w:t> </w:t>
      </w:r>
      <w:r>
        <w:rPr/>
        <w:t>who</w:t>
      </w:r>
      <w:r>
        <w:rPr>
          <w:spacing w:val="-8"/>
        </w:rPr>
        <w:t> </w:t>
      </w:r>
      <w:r>
        <w:rPr/>
        <w:t>recalled</w:t>
      </w:r>
      <w:r>
        <w:rPr>
          <w:spacing w:val="-8"/>
        </w:rPr>
        <w:t> </w:t>
      </w:r>
      <w:r>
        <w:rPr/>
        <w:t>receiving</w:t>
      </w:r>
      <w:r>
        <w:rPr>
          <w:spacing w:val="-8"/>
        </w:rPr>
        <w:t> </w:t>
      </w:r>
      <w:r>
        <w:rPr/>
        <w:t>the</w:t>
      </w:r>
      <w:r>
        <w:rPr>
          <w:spacing w:val="-8"/>
        </w:rPr>
        <w:t> </w:t>
      </w:r>
      <w:r>
        <w:rPr/>
        <w:t>certificate</w:t>
      </w:r>
      <w:r>
        <w:rPr>
          <w:spacing w:val="-7"/>
        </w:rPr>
        <w:t> </w:t>
      </w:r>
      <w:r>
        <w:rPr/>
        <w:t>were</w:t>
      </w:r>
      <w:r>
        <w:rPr>
          <w:spacing w:val="-8"/>
        </w:rPr>
        <w:t> </w:t>
      </w:r>
      <w:r>
        <w:rPr/>
        <w:t>asked</w:t>
      </w:r>
      <w:r>
        <w:rPr>
          <w:spacing w:val="-8"/>
        </w:rPr>
        <w:t> </w:t>
      </w:r>
      <w:r>
        <w:rPr/>
        <w:t>an</w:t>
      </w:r>
      <w:r>
        <w:rPr>
          <w:spacing w:val="-7"/>
        </w:rPr>
        <w:t> </w:t>
      </w:r>
      <w:r>
        <w:rPr/>
        <w:t>open-ended</w:t>
      </w:r>
      <w:r>
        <w:rPr>
          <w:spacing w:val="-8"/>
        </w:rPr>
        <w:t> </w:t>
      </w:r>
      <w:r>
        <w:rPr/>
        <w:t>question to understand if they knew what this meant for their dispute. Close to two-thirds (62</w:t>
      </w:r>
      <w:r>
        <w:rPr>
          <w:spacing w:val="-15"/>
        </w:rPr>
        <w:t> </w:t>
      </w:r>
      <w:r>
        <w:rPr/>
        <w:t>per</w:t>
      </w:r>
      <w:r>
        <w:rPr>
          <w:spacing w:val="-15"/>
        </w:rPr>
        <w:t> </w:t>
      </w:r>
      <w:r>
        <w:rPr/>
        <w:t>cent)</w:t>
      </w:r>
      <w:r>
        <w:rPr>
          <w:spacing w:val="-15"/>
        </w:rPr>
        <w:t> </w:t>
      </w:r>
      <w:r>
        <w:rPr/>
        <w:t>of</w:t>
      </w:r>
      <w:r>
        <w:rPr>
          <w:spacing w:val="-15"/>
        </w:rPr>
        <w:t> </w:t>
      </w:r>
      <w:r>
        <w:rPr/>
        <w:t>claimant-side</w:t>
      </w:r>
      <w:r>
        <w:rPr>
          <w:spacing w:val="-16"/>
        </w:rPr>
        <w:t> </w:t>
      </w:r>
      <w:r>
        <w:rPr/>
        <w:t>participants</w:t>
      </w:r>
      <w:r>
        <w:rPr>
          <w:spacing w:val="-15"/>
        </w:rPr>
        <w:t> </w:t>
      </w:r>
      <w:r>
        <w:rPr/>
        <w:t>said</w:t>
      </w:r>
      <w:r>
        <w:rPr>
          <w:spacing w:val="-15"/>
        </w:rPr>
        <w:t> </w:t>
      </w:r>
      <w:r>
        <w:rPr/>
        <w:t>receipt</w:t>
      </w:r>
      <w:r>
        <w:rPr>
          <w:spacing w:val="-15"/>
        </w:rPr>
        <w:t> </w:t>
      </w:r>
      <w:r>
        <w:rPr/>
        <w:t>of</w:t>
      </w:r>
      <w:r>
        <w:rPr>
          <w:spacing w:val="-15"/>
        </w:rPr>
        <w:t> </w:t>
      </w:r>
      <w:r>
        <w:rPr/>
        <w:t>the</w:t>
      </w:r>
      <w:r>
        <w:rPr>
          <w:spacing w:val="-16"/>
        </w:rPr>
        <w:t> </w:t>
      </w:r>
      <w:r>
        <w:rPr/>
        <w:t>certificate</w:t>
      </w:r>
      <w:r>
        <w:rPr>
          <w:spacing w:val="-14"/>
        </w:rPr>
        <w:t> </w:t>
      </w:r>
      <w:r>
        <w:rPr/>
        <w:t>meant</w:t>
      </w:r>
      <w:r>
        <w:rPr>
          <w:spacing w:val="-15"/>
        </w:rPr>
        <w:t> </w:t>
      </w:r>
      <w:r>
        <w:rPr/>
        <w:t>their case could now proceed to tribunal. A quarter (27 per cent) understood that the certificate</w:t>
      </w:r>
      <w:r>
        <w:rPr>
          <w:spacing w:val="-3"/>
        </w:rPr>
        <w:t> </w:t>
      </w:r>
      <w:r>
        <w:rPr/>
        <w:t>acted</w:t>
      </w:r>
      <w:r>
        <w:rPr>
          <w:spacing w:val="-2"/>
        </w:rPr>
        <w:t> </w:t>
      </w:r>
      <w:r>
        <w:rPr/>
        <w:t>as</w:t>
      </w:r>
      <w:r>
        <w:rPr>
          <w:spacing w:val="-2"/>
        </w:rPr>
        <w:t> </w:t>
      </w:r>
      <w:r>
        <w:rPr/>
        <w:t>a</w:t>
      </w:r>
      <w:r>
        <w:rPr>
          <w:spacing w:val="-2"/>
        </w:rPr>
        <w:t> </w:t>
      </w:r>
      <w:r>
        <w:rPr/>
        <w:t>formal</w:t>
      </w:r>
      <w:r>
        <w:rPr>
          <w:spacing w:val="-3"/>
        </w:rPr>
        <w:t> </w:t>
      </w:r>
      <w:r>
        <w:rPr/>
        <w:t>acknowledgement</w:t>
      </w:r>
      <w:r>
        <w:rPr>
          <w:spacing w:val="-2"/>
        </w:rPr>
        <w:t> </w:t>
      </w:r>
      <w:r>
        <w:rPr/>
        <w:t>that</w:t>
      </w:r>
      <w:r>
        <w:rPr>
          <w:spacing w:val="-3"/>
        </w:rPr>
        <w:t> </w:t>
      </w:r>
      <w:r>
        <w:rPr/>
        <w:t>EC</w:t>
      </w:r>
      <w:r>
        <w:rPr>
          <w:spacing w:val="-3"/>
        </w:rPr>
        <w:t> </w:t>
      </w:r>
      <w:r>
        <w:rPr/>
        <w:t>had</w:t>
      </w:r>
      <w:r>
        <w:rPr>
          <w:spacing w:val="-2"/>
        </w:rPr>
        <w:t> </w:t>
      </w:r>
      <w:r>
        <w:rPr/>
        <w:t>ended,</w:t>
      </w:r>
      <w:r>
        <w:rPr>
          <w:spacing w:val="-2"/>
        </w:rPr>
        <w:t> </w:t>
      </w:r>
      <w:r>
        <w:rPr/>
        <w:t>and</w:t>
      </w:r>
      <w:r>
        <w:rPr>
          <w:spacing w:val="-2"/>
        </w:rPr>
        <w:t> </w:t>
      </w:r>
      <w:r>
        <w:rPr/>
        <w:t>a</w:t>
      </w:r>
      <w:r>
        <w:rPr>
          <w:spacing w:val="-2"/>
        </w:rPr>
        <w:t> </w:t>
      </w:r>
      <w:r>
        <w:rPr/>
        <w:t>sixth</w:t>
      </w:r>
      <w:r>
        <w:rPr>
          <w:spacing w:val="-2"/>
        </w:rPr>
        <w:t> </w:t>
      </w:r>
      <w:r>
        <w:rPr/>
        <w:t>(14 per cent) that the certificate was proof conciliation had taken place. Just six per cent said they understood there was now a time limit to submit a tribunal claim, while two per cent did not understand what the certificate meant.</w:t>
      </w:r>
    </w:p>
    <w:p>
      <w:pPr>
        <w:pStyle w:val="BodyText"/>
      </w:pPr>
    </w:p>
    <w:p>
      <w:pPr>
        <w:pStyle w:val="BodyText"/>
        <w:spacing w:before="1"/>
        <w:ind w:left="1337" w:right="1472"/>
        <w:jc w:val="both"/>
      </w:pPr>
      <w:r>
        <w:rPr/>
        <w:t>Claimant representatives were more likely to report that the certificate acted as a formal acknowledgement that EC had ended (38 per cent), and that there was a time</w:t>
      </w:r>
      <w:r>
        <w:rPr>
          <w:spacing w:val="-12"/>
        </w:rPr>
        <w:t> </w:t>
      </w:r>
      <w:r>
        <w:rPr/>
        <w:t>limit</w:t>
      </w:r>
      <w:r>
        <w:rPr>
          <w:spacing w:val="-11"/>
        </w:rPr>
        <w:t> </w:t>
      </w:r>
      <w:r>
        <w:rPr/>
        <w:t>to</w:t>
      </w:r>
      <w:r>
        <w:rPr>
          <w:spacing w:val="-13"/>
        </w:rPr>
        <w:t> </w:t>
      </w:r>
      <w:r>
        <w:rPr/>
        <w:t>submit</w:t>
      </w:r>
      <w:r>
        <w:rPr>
          <w:spacing w:val="-13"/>
        </w:rPr>
        <w:t> </w:t>
      </w:r>
      <w:r>
        <w:rPr/>
        <w:t>a</w:t>
      </w:r>
      <w:r>
        <w:rPr>
          <w:spacing w:val="-12"/>
        </w:rPr>
        <w:t> </w:t>
      </w:r>
      <w:r>
        <w:rPr/>
        <w:t>tribunal</w:t>
      </w:r>
      <w:r>
        <w:rPr>
          <w:spacing w:val="-13"/>
        </w:rPr>
        <w:t> </w:t>
      </w:r>
      <w:r>
        <w:rPr/>
        <w:t>claim</w:t>
      </w:r>
      <w:r>
        <w:rPr>
          <w:spacing w:val="-12"/>
        </w:rPr>
        <w:t> </w:t>
      </w:r>
      <w:r>
        <w:rPr/>
        <w:t>(11</w:t>
      </w:r>
      <w:r>
        <w:rPr>
          <w:spacing w:val="-12"/>
        </w:rPr>
        <w:t> </w:t>
      </w:r>
      <w:r>
        <w:rPr/>
        <w:t>per</w:t>
      </w:r>
      <w:r>
        <w:rPr>
          <w:spacing w:val="-13"/>
        </w:rPr>
        <w:t> </w:t>
      </w:r>
      <w:r>
        <w:rPr/>
        <w:t>cent).</w:t>
      </w:r>
      <w:r>
        <w:rPr>
          <w:spacing w:val="-11"/>
        </w:rPr>
        <w:t> </w:t>
      </w:r>
      <w:r>
        <w:rPr/>
        <w:t>Similarly,</w:t>
      </w:r>
      <w:r>
        <w:rPr>
          <w:spacing w:val="-11"/>
        </w:rPr>
        <w:t> </w:t>
      </w:r>
      <w:r>
        <w:rPr/>
        <w:t>those</w:t>
      </w:r>
      <w:r>
        <w:rPr>
          <w:spacing w:val="-13"/>
        </w:rPr>
        <w:t> </w:t>
      </w:r>
      <w:r>
        <w:rPr/>
        <w:t>involved</w:t>
      </w:r>
      <w:r>
        <w:rPr>
          <w:spacing w:val="-12"/>
        </w:rPr>
        <w:t> </w:t>
      </w:r>
      <w:r>
        <w:rPr/>
        <w:t>in</w:t>
      </w:r>
      <w:r>
        <w:rPr>
          <w:spacing w:val="-11"/>
        </w:rPr>
        <w:t> </w:t>
      </w:r>
      <w:r>
        <w:rPr/>
        <w:t>open track disputes were more likely to say receipt of the certificate meant there was now</w:t>
      </w:r>
      <w:r>
        <w:rPr>
          <w:spacing w:val="-10"/>
        </w:rPr>
        <w:t> </w:t>
      </w:r>
      <w:r>
        <w:rPr/>
        <w:t>a</w:t>
      </w:r>
      <w:r>
        <w:rPr>
          <w:spacing w:val="-11"/>
        </w:rPr>
        <w:t> </w:t>
      </w:r>
      <w:r>
        <w:rPr/>
        <w:t>time</w:t>
      </w:r>
      <w:r>
        <w:rPr>
          <w:spacing w:val="-11"/>
        </w:rPr>
        <w:t> </w:t>
      </w:r>
      <w:r>
        <w:rPr/>
        <w:t>limit</w:t>
      </w:r>
      <w:r>
        <w:rPr>
          <w:spacing w:val="-10"/>
        </w:rPr>
        <w:t> </w:t>
      </w:r>
      <w:r>
        <w:rPr/>
        <w:t>to</w:t>
      </w:r>
      <w:r>
        <w:rPr>
          <w:spacing w:val="-11"/>
        </w:rPr>
        <w:t> </w:t>
      </w:r>
      <w:r>
        <w:rPr/>
        <w:t>submit</w:t>
      </w:r>
      <w:r>
        <w:rPr>
          <w:spacing w:val="-10"/>
        </w:rPr>
        <w:t> </w:t>
      </w:r>
      <w:r>
        <w:rPr/>
        <w:t>a</w:t>
      </w:r>
      <w:r>
        <w:rPr>
          <w:spacing w:val="-11"/>
        </w:rPr>
        <w:t> </w:t>
      </w:r>
      <w:r>
        <w:rPr/>
        <w:t>tribunal</w:t>
      </w:r>
      <w:r>
        <w:rPr>
          <w:spacing w:val="-12"/>
        </w:rPr>
        <w:t> </w:t>
      </w:r>
      <w:r>
        <w:rPr/>
        <w:t>claim</w:t>
      </w:r>
      <w:r>
        <w:rPr>
          <w:spacing w:val="-11"/>
        </w:rPr>
        <w:t> </w:t>
      </w:r>
      <w:r>
        <w:rPr/>
        <w:t>(12</w:t>
      </w:r>
      <w:r>
        <w:rPr>
          <w:spacing w:val="-8"/>
        </w:rPr>
        <w:t> </w:t>
      </w:r>
      <w:r>
        <w:rPr/>
        <w:t>per</w:t>
      </w:r>
      <w:r>
        <w:rPr>
          <w:spacing w:val="-11"/>
        </w:rPr>
        <w:t> </w:t>
      </w:r>
      <w:r>
        <w:rPr/>
        <w:t>cent)</w:t>
      </w:r>
      <w:r>
        <w:rPr>
          <w:spacing w:val="-10"/>
        </w:rPr>
        <w:t> </w:t>
      </w:r>
      <w:r>
        <w:rPr/>
        <w:t>than</w:t>
      </w:r>
      <w:r>
        <w:rPr>
          <w:spacing w:val="-10"/>
        </w:rPr>
        <w:t> </w:t>
      </w:r>
      <w:r>
        <w:rPr/>
        <w:t>those</w:t>
      </w:r>
      <w:r>
        <w:rPr>
          <w:spacing w:val="-11"/>
        </w:rPr>
        <w:t> </w:t>
      </w:r>
      <w:r>
        <w:rPr/>
        <w:t>in</w:t>
      </w:r>
      <w:r>
        <w:rPr>
          <w:spacing w:val="-10"/>
        </w:rPr>
        <w:t> </w:t>
      </w:r>
      <w:r>
        <w:rPr/>
        <w:t>other</w:t>
      </w:r>
      <w:r>
        <w:rPr>
          <w:spacing w:val="-11"/>
        </w:rPr>
        <w:t> </w:t>
      </w:r>
      <w:r>
        <w:rPr/>
        <w:t>tracks.</w:t>
      </w:r>
    </w:p>
    <w:p>
      <w:pPr>
        <w:pStyle w:val="BodyText"/>
        <w:spacing w:before="1"/>
      </w:pPr>
    </w:p>
    <w:p>
      <w:pPr>
        <w:pStyle w:val="BodyText"/>
        <w:ind w:left="1336" w:right="1472"/>
        <w:jc w:val="both"/>
      </w:pPr>
      <w:r>
        <w:rPr/>
        <w:t>Since receipt of the certificate, a sixth (16 per cent) of claimant-side participants said they remained in contact with the Acas conciliator assigned to their case. Among those who remained in contact, half (56 per cent) said this was after they submitted</w:t>
      </w:r>
      <w:r>
        <w:rPr>
          <w:spacing w:val="-1"/>
        </w:rPr>
        <w:t> </w:t>
      </w:r>
      <w:r>
        <w:rPr/>
        <w:t>their</w:t>
      </w:r>
      <w:r>
        <w:rPr>
          <w:spacing w:val="-1"/>
        </w:rPr>
        <w:t> </w:t>
      </w:r>
      <w:r>
        <w:rPr/>
        <w:t>ET</w:t>
      </w:r>
      <w:r>
        <w:rPr>
          <w:spacing w:val="-1"/>
        </w:rPr>
        <w:t> </w:t>
      </w:r>
      <w:r>
        <w:rPr/>
        <w:t>claim, while</w:t>
      </w:r>
      <w:r>
        <w:rPr>
          <w:spacing w:val="-2"/>
        </w:rPr>
        <w:t> </w:t>
      </w:r>
      <w:r>
        <w:rPr/>
        <w:t>almost</w:t>
      </w:r>
      <w:r>
        <w:rPr>
          <w:spacing w:val="-1"/>
        </w:rPr>
        <w:t> </w:t>
      </w:r>
      <w:r>
        <w:rPr/>
        <w:t>a</w:t>
      </w:r>
      <w:r>
        <w:rPr>
          <w:spacing w:val="-1"/>
        </w:rPr>
        <w:t> </w:t>
      </w:r>
      <w:r>
        <w:rPr/>
        <w:t>fifth</w:t>
      </w:r>
      <w:r>
        <w:rPr>
          <w:spacing w:val="-2"/>
        </w:rPr>
        <w:t> </w:t>
      </w:r>
      <w:r>
        <w:rPr/>
        <w:t>(18</w:t>
      </w:r>
      <w:r>
        <w:rPr>
          <w:spacing w:val="-1"/>
        </w:rPr>
        <w:t> </w:t>
      </w:r>
      <w:r>
        <w:rPr/>
        <w:t>per</w:t>
      </w:r>
      <w:r>
        <w:rPr>
          <w:spacing w:val="-1"/>
        </w:rPr>
        <w:t> </w:t>
      </w:r>
      <w:r>
        <w:rPr/>
        <w:t>cent)</w:t>
      </w:r>
      <w:r>
        <w:rPr>
          <w:spacing w:val="-2"/>
        </w:rPr>
        <w:t> </w:t>
      </w:r>
      <w:r>
        <w:rPr/>
        <w:t>said</w:t>
      </w:r>
      <w:r>
        <w:rPr>
          <w:spacing w:val="-1"/>
        </w:rPr>
        <w:t> </w:t>
      </w:r>
      <w:r>
        <w:rPr/>
        <w:t>it</w:t>
      </w:r>
      <w:r>
        <w:rPr>
          <w:spacing w:val="-1"/>
        </w:rPr>
        <w:t> </w:t>
      </w:r>
      <w:r>
        <w:rPr/>
        <w:t>was</w:t>
      </w:r>
      <w:r>
        <w:rPr>
          <w:spacing w:val="-1"/>
        </w:rPr>
        <w:t> </w:t>
      </w:r>
      <w:r>
        <w:rPr/>
        <w:t>before</w:t>
      </w:r>
      <w:r>
        <w:rPr>
          <w:spacing w:val="-1"/>
        </w:rPr>
        <w:t> </w:t>
      </w:r>
      <w:r>
        <w:rPr/>
        <w:t>they submitted</w:t>
      </w:r>
      <w:r>
        <w:rPr>
          <w:spacing w:val="-17"/>
        </w:rPr>
        <w:t> </w:t>
      </w:r>
      <w:r>
        <w:rPr/>
        <w:t>their</w:t>
      </w:r>
      <w:r>
        <w:rPr>
          <w:spacing w:val="-17"/>
        </w:rPr>
        <w:t> </w:t>
      </w:r>
      <w:r>
        <w:rPr/>
        <w:t>ET</w:t>
      </w:r>
      <w:r>
        <w:rPr>
          <w:spacing w:val="-17"/>
        </w:rPr>
        <w:t> </w:t>
      </w:r>
      <w:r>
        <w:rPr/>
        <w:t>claim.</w:t>
      </w:r>
      <w:r>
        <w:rPr>
          <w:spacing w:val="-16"/>
        </w:rPr>
        <w:t> </w:t>
      </w:r>
      <w:r>
        <w:rPr/>
        <w:t>A</w:t>
      </w:r>
      <w:r>
        <w:rPr>
          <w:spacing w:val="-18"/>
        </w:rPr>
        <w:t> </w:t>
      </w:r>
      <w:r>
        <w:rPr/>
        <w:t>sixth</w:t>
      </w:r>
      <w:r>
        <w:rPr>
          <w:spacing w:val="-17"/>
        </w:rPr>
        <w:t> </w:t>
      </w:r>
      <w:r>
        <w:rPr/>
        <w:t>(16</w:t>
      </w:r>
      <w:r>
        <w:rPr>
          <w:spacing w:val="-17"/>
        </w:rPr>
        <w:t> </w:t>
      </w:r>
      <w:r>
        <w:rPr/>
        <w:t>per</w:t>
      </w:r>
      <w:r>
        <w:rPr>
          <w:spacing w:val="-17"/>
        </w:rPr>
        <w:t> </w:t>
      </w:r>
      <w:r>
        <w:rPr/>
        <w:t>cent)</w:t>
      </w:r>
      <w:r>
        <w:rPr>
          <w:spacing w:val="-17"/>
        </w:rPr>
        <w:t> </w:t>
      </w:r>
      <w:r>
        <w:rPr/>
        <w:t>said</w:t>
      </w:r>
      <w:r>
        <w:rPr>
          <w:spacing w:val="-16"/>
        </w:rPr>
        <w:t> </w:t>
      </w:r>
      <w:r>
        <w:rPr/>
        <w:t>they</w:t>
      </w:r>
      <w:r>
        <w:rPr>
          <w:spacing w:val="-17"/>
        </w:rPr>
        <w:t> </w:t>
      </w:r>
      <w:r>
        <w:rPr/>
        <w:t>were</w:t>
      </w:r>
      <w:r>
        <w:rPr>
          <w:spacing w:val="-17"/>
        </w:rPr>
        <w:t> </w:t>
      </w:r>
      <w:r>
        <w:rPr/>
        <w:t>in</w:t>
      </w:r>
      <w:r>
        <w:rPr>
          <w:spacing w:val="-16"/>
        </w:rPr>
        <w:t> </w:t>
      </w:r>
      <w:r>
        <w:rPr/>
        <w:t>contact</w:t>
      </w:r>
      <w:r>
        <w:rPr>
          <w:spacing w:val="-16"/>
        </w:rPr>
        <w:t> </w:t>
      </w:r>
      <w:r>
        <w:rPr/>
        <w:t>both</w:t>
      </w:r>
      <w:r>
        <w:rPr>
          <w:spacing w:val="-17"/>
        </w:rPr>
        <w:t> </w:t>
      </w:r>
      <w:r>
        <w:rPr/>
        <w:t>before and after they submitted their ET claim. These findings are consistent with 2015 where</w:t>
      </w:r>
      <w:r>
        <w:rPr>
          <w:spacing w:val="-15"/>
        </w:rPr>
        <w:t> </w:t>
      </w:r>
      <w:r>
        <w:rPr/>
        <w:t>19</w:t>
      </w:r>
      <w:r>
        <w:rPr>
          <w:spacing w:val="-15"/>
        </w:rPr>
        <w:t> </w:t>
      </w:r>
      <w:r>
        <w:rPr/>
        <w:t>per</w:t>
      </w:r>
      <w:r>
        <w:rPr>
          <w:spacing w:val="-15"/>
        </w:rPr>
        <w:t> </w:t>
      </w:r>
      <w:r>
        <w:rPr/>
        <w:t>cent</w:t>
      </w:r>
      <w:r>
        <w:rPr>
          <w:spacing w:val="-15"/>
        </w:rPr>
        <w:t> </w:t>
      </w:r>
      <w:r>
        <w:rPr/>
        <w:t>of</w:t>
      </w:r>
      <w:r>
        <w:rPr>
          <w:spacing w:val="-15"/>
        </w:rPr>
        <w:t> </w:t>
      </w:r>
      <w:r>
        <w:rPr/>
        <w:t>claimant-side</w:t>
      </w:r>
      <w:r>
        <w:rPr>
          <w:spacing w:val="-14"/>
        </w:rPr>
        <w:t> </w:t>
      </w:r>
      <w:r>
        <w:rPr/>
        <w:t>participants</w:t>
      </w:r>
      <w:r>
        <w:rPr>
          <w:spacing w:val="-15"/>
        </w:rPr>
        <w:t> </w:t>
      </w:r>
      <w:r>
        <w:rPr/>
        <w:t>reported</w:t>
      </w:r>
      <w:r>
        <w:rPr>
          <w:spacing w:val="-15"/>
        </w:rPr>
        <w:t> </w:t>
      </w:r>
      <w:r>
        <w:rPr/>
        <w:t>continued</w:t>
      </w:r>
      <w:r>
        <w:rPr>
          <w:spacing w:val="-15"/>
        </w:rPr>
        <w:t> </w:t>
      </w:r>
      <w:r>
        <w:rPr/>
        <w:t>contact</w:t>
      </w:r>
      <w:r>
        <w:rPr>
          <w:spacing w:val="-16"/>
        </w:rPr>
        <w:t> </w:t>
      </w:r>
      <w:r>
        <w:rPr/>
        <w:t>with</w:t>
      </w:r>
      <w:r>
        <w:rPr>
          <w:spacing w:val="-16"/>
        </w:rPr>
        <w:t> </w:t>
      </w:r>
      <w:r>
        <w:rPr/>
        <w:t>the conciliator</w:t>
      </w:r>
      <w:r>
        <w:rPr>
          <w:spacing w:val="-1"/>
        </w:rPr>
        <w:t> </w:t>
      </w:r>
      <w:r>
        <w:rPr/>
        <w:t>post-conciliation and</w:t>
      </w:r>
      <w:r>
        <w:rPr>
          <w:spacing w:val="-2"/>
        </w:rPr>
        <w:t> </w:t>
      </w:r>
      <w:r>
        <w:rPr/>
        <w:t>62</w:t>
      </w:r>
      <w:r>
        <w:rPr>
          <w:spacing w:val="-3"/>
        </w:rPr>
        <w:t> </w:t>
      </w:r>
      <w:r>
        <w:rPr/>
        <w:t>per</w:t>
      </w:r>
      <w:r>
        <w:rPr>
          <w:spacing w:val="-1"/>
        </w:rPr>
        <w:t> </w:t>
      </w:r>
      <w:r>
        <w:rPr/>
        <w:t>cent</w:t>
      </w:r>
      <w:r>
        <w:rPr>
          <w:spacing w:val="-2"/>
        </w:rPr>
        <w:t> </w:t>
      </w:r>
      <w:r>
        <w:rPr/>
        <w:t>of</w:t>
      </w:r>
      <w:r>
        <w:rPr>
          <w:spacing w:val="-1"/>
        </w:rPr>
        <w:t> </w:t>
      </w:r>
      <w:r>
        <w:rPr/>
        <w:t>this</w:t>
      </w:r>
      <w:r>
        <w:rPr>
          <w:spacing w:val="-1"/>
        </w:rPr>
        <w:t> </w:t>
      </w:r>
      <w:r>
        <w:rPr/>
        <w:t>audience</w:t>
      </w:r>
      <w:r>
        <w:rPr>
          <w:spacing w:val="-1"/>
        </w:rPr>
        <w:t> </w:t>
      </w:r>
      <w:r>
        <w:rPr/>
        <w:t>said</w:t>
      </w:r>
      <w:r>
        <w:rPr>
          <w:spacing w:val="-1"/>
        </w:rPr>
        <w:t> </w:t>
      </w:r>
      <w:r>
        <w:rPr/>
        <w:t>this</w:t>
      </w:r>
      <w:r>
        <w:rPr>
          <w:spacing w:val="-1"/>
        </w:rPr>
        <w:t> </w:t>
      </w:r>
      <w:r>
        <w:rPr/>
        <w:t>contact</w:t>
      </w:r>
      <w:r>
        <w:rPr>
          <w:spacing w:val="-2"/>
        </w:rPr>
        <w:t> </w:t>
      </w:r>
      <w:r>
        <w:rPr/>
        <w:t>took place after the tribunal claim was submitted.</w:t>
      </w:r>
    </w:p>
    <w:p>
      <w:pPr>
        <w:pStyle w:val="BodyText"/>
        <w:spacing w:before="1"/>
      </w:pPr>
    </w:p>
    <w:p>
      <w:pPr>
        <w:pStyle w:val="Heading4"/>
        <w:numPr>
          <w:ilvl w:val="2"/>
          <w:numId w:val="21"/>
        </w:numPr>
        <w:tabs>
          <w:tab w:pos="2058" w:val="left" w:leader="none"/>
        </w:tabs>
        <w:spacing w:line="240" w:lineRule="auto" w:before="0" w:after="0"/>
        <w:ind w:left="2057" w:right="0" w:hanging="722"/>
        <w:jc w:val="both"/>
        <w:rPr>
          <w:i/>
        </w:rPr>
      </w:pPr>
      <w:bookmarkStart w:name="9.4.2 Awareness of certificate among emp" w:id="86"/>
      <w:bookmarkEnd w:id="86"/>
      <w:r>
        <w:rPr>
          <w:i/>
        </w:rPr>
        <w:t>A</w:t>
      </w:r>
      <w:r>
        <w:rPr>
          <w:i/>
        </w:rPr>
        <w:t>wareness</w:t>
      </w:r>
      <w:r>
        <w:rPr>
          <w:i/>
          <w:spacing w:val="-6"/>
        </w:rPr>
        <w:t> </w:t>
      </w:r>
      <w:r>
        <w:rPr>
          <w:i/>
        </w:rPr>
        <w:t>of</w:t>
      </w:r>
      <w:r>
        <w:rPr>
          <w:i/>
          <w:spacing w:val="-5"/>
        </w:rPr>
        <w:t> </w:t>
      </w:r>
      <w:r>
        <w:rPr>
          <w:i/>
        </w:rPr>
        <w:t>certificate</w:t>
      </w:r>
      <w:r>
        <w:rPr>
          <w:i/>
          <w:spacing w:val="-6"/>
        </w:rPr>
        <w:t> </w:t>
      </w:r>
      <w:r>
        <w:rPr>
          <w:i/>
        </w:rPr>
        <w:t>among</w:t>
      </w:r>
      <w:r>
        <w:rPr>
          <w:i/>
          <w:spacing w:val="-4"/>
        </w:rPr>
        <w:t> </w:t>
      </w:r>
      <w:r>
        <w:rPr>
          <w:i/>
          <w:spacing w:val="-2"/>
        </w:rPr>
        <w:t>employers</w:t>
      </w:r>
    </w:p>
    <w:p>
      <w:pPr>
        <w:pStyle w:val="BodyText"/>
        <w:spacing w:before="60"/>
        <w:ind w:left="1336" w:right="1473"/>
        <w:jc w:val="both"/>
      </w:pPr>
      <w:r>
        <w:rPr/>
        <w:t>Eight in ten (79 per cent) employer-side participants were aware that when EC concluded without a COT3 settlement, claimants were issued with a certificate confirming that they had complied with the requirement to contact Acas and permitting them to submit an Employment Tribunal claim. A fifth (16 per cent) of employers</w:t>
      </w:r>
      <w:r>
        <w:rPr>
          <w:spacing w:val="-7"/>
        </w:rPr>
        <w:t> </w:t>
      </w:r>
      <w:r>
        <w:rPr/>
        <w:t>were</w:t>
      </w:r>
      <w:r>
        <w:rPr>
          <w:spacing w:val="-9"/>
        </w:rPr>
        <w:t> </w:t>
      </w:r>
      <w:r>
        <w:rPr/>
        <w:t>unaware.</w:t>
      </w:r>
      <w:r>
        <w:rPr>
          <w:spacing w:val="-8"/>
        </w:rPr>
        <w:t> </w:t>
      </w:r>
      <w:r>
        <w:rPr/>
        <w:t>In</w:t>
      </w:r>
      <w:r>
        <w:rPr>
          <w:spacing w:val="-8"/>
        </w:rPr>
        <w:t> </w:t>
      </w:r>
      <w:r>
        <w:rPr/>
        <w:t>2015,</w:t>
      </w:r>
      <w:r>
        <w:rPr>
          <w:spacing w:val="-9"/>
        </w:rPr>
        <w:t> </w:t>
      </w:r>
      <w:r>
        <w:rPr/>
        <w:t>84</w:t>
      </w:r>
      <w:r>
        <w:rPr>
          <w:spacing w:val="-8"/>
        </w:rPr>
        <w:t> </w:t>
      </w:r>
      <w:r>
        <w:rPr/>
        <w:t>per</w:t>
      </w:r>
      <w:r>
        <w:rPr>
          <w:spacing w:val="-8"/>
        </w:rPr>
        <w:t> </w:t>
      </w:r>
      <w:r>
        <w:rPr/>
        <w:t>cent</w:t>
      </w:r>
      <w:r>
        <w:rPr>
          <w:spacing w:val="-8"/>
        </w:rPr>
        <w:t> </w:t>
      </w:r>
      <w:r>
        <w:rPr/>
        <w:t>were</w:t>
      </w:r>
      <w:r>
        <w:rPr>
          <w:spacing w:val="-9"/>
        </w:rPr>
        <w:t> </w:t>
      </w:r>
      <w:r>
        <w:rPr/>
        <w:t>aware</w:t>
      </w:r>
      <w:r>
        <w:rPr>
          <w:spacing w:val="-9"/>
        </w:rPr>
        <w:t> </w:t>
      </w:r>
      <w:r>
        <w:rPr/>
        <w:t>that</w:t>
      </w:r>
      <w:r>
        <w:rPr>
          <w:spacing w:val="-8"/>
        </w:rPr>
        <w:t> </w:t>
      </w:r>
      <w:r>
        <w:rPr/>
        <w:t>a</w:t>
      </w:r>
      <w:r>
        <w:rPr>
          <w:spacing w:val="-8"/>
        </w:rPr>
        <w:t> </w:t>
      </w:r>
      <w:r>
        <w:rPr/>
        <w:t>certificate</w:t>
      </w:r>
      <w:r>
        <w:rPr>
          <w:spacing w:val="-9"/>
        </w:rPr>
        <w:t> </w:t>
      </w:r>
      <w:r>
        <w:rPr/>
        <w:t>would be issued.</w:t>
      </w:r>
    </w:p>
    <w:p>
      <w:pPr>
        <w:pStyle w:val="BodyText"/>
      </w:pPr>
    </w:p>
    <w:p>
      <w:pPr>
        <w:pStyle w:val="BodyText"/>
        <w:ind w:left="1336" w:right="1474"/>
        <w:jc w:val="both"/>
      </w:pPr>
      <w:r>
        <w:rPr/>
        <w:t>Employer</w:t>
      </w:r>
      <w:r>
        <w:rPr>
          <w:spacing w:val="-10"/>
        </w:rPr>
        <w:t> </w:t>
      </w:r>
      <w:r>
        <w:rPr/>
        <w:t>representatives</w:t>
      </w:r>
      <w:r>
        <w:rPr>
          <w:spacing w:val="-9"/>
        </w:rPr>
        <w:t> </w:t>
      </w:r>
      <w:r>
        <w:rPr/>
        <w:t>were</w:t>
      </w:r>
      <w:r>
        <w:rPr>
          <w:spacing w:val="-10"/>
        </w:rPr>
        <w:t> </w:t>
      </w:r>
      <w:r>
        <w:rPr/>
        <w:t>more</w:t>
      </w:r>
      <w:r>
        <w:rPr>
          <w:spacing w:val="-10"/>
        </w:rPr>
        <w:t> </w:t>
      </w:r>
      <w:r>
        <w:rPr/>
        <w:t>likely</w:t>
      </w:r>
      <w:r>
        <w:rPr>
          <w:spacing w:val="-9"/>
        </w:rPr>
        <w:t> </w:t>
      </w:r>
      <w:r>
        <w:rPr/>
        <w:t>to</w:t>
      </w:r>
      <w:r>
        <w:rPr>
          <w:spacing w:val="-10"/>
        </w:rPr>
        <w:t> </w:t>
      </w:r>
      <w:r>
        <w:rPr/>
        <w:t>be</w:t>
      </w:r>
      <w:r>
        <w:rPr>
          <w:spacing w:val="-10"/>
        </w:rPr>
        <w:t> </w:t>
      </w:r>
      <w:r>
        <w:rPr/>
        <w:t>aware</w:t>
      </w:r>
      <w:r>
        <w:rPr>
          <w:spacing w:val="-10"/>
        </w:rPr>
        <w:t> </w:t>
      </w:r>
      <w:r>
        <w:rPr/>
        <w:t>of</w:t>
      </w:r>
      <w:r>
        <w:rPr>
          <w:spacing w:val="-9"/>
        </w:rPr>
        <w:t> </w:t>
      </w:r>
      <w:r>
        <w:rPr/>
        <w:t>this</w:t>
      </w:r>
      <w:r>
        <w:rPr>
          <w:spacing w:val="-9"/>
        </w:rPr>
        <w:t> </w:t>
      </w:r>
      <w:r>
        <w:rPr/>
        <w:t>requirement</w:t>
      </w:r>
      <w:r>
        <w:rPr>
          <w:spacing w:val="-9"/>
        </w:rPr>
        <w:t> </w:t>
      </w:r>
      <w:r>
        <w:rPr/>
        <w:t>(87</w:t>
      </w:r>
      <w:r>
        <w:rPr>
          <w:spacing w:val="-9"/>
        </w:rPr>
        <w:t> </w:t>
      </w:r>
      <w:r>
        <w:rPr/>
        <w:t>per cent) than were employers themselves (76 per cent).</w:t>
      </w:r>
    </w:p>
    <w:p>
      <w:pPr>
        <w:pStyle w:val="BodyText"/>
      </w:pPr>
    </w:p>
    <w:p>
      <w:pPr>
        <w:pStyle w:val="BodyText"/>
        <w:ind w:left="1336"/>
        <w:jc w:val="both"/>
      </w:pPr>
      <w:r>
        <w:rPr/>
        <w:t>In</w:t>
      </w:r>
      <w:r>
        <w:rPr>
          <w:spacing w:val="-5"/>
        </w:rPr>
        <w:t> </w:t>
      </w:r>
      <w:r>
        <w:rPr/>
        <w:t>contrast</w:t>
      </w:r>
      <w:r>
        <w:rPr>
          <w:spacing w:val="-4"/>
        </w:rPr>
        <w:t> </w:t>
      </w:r>
      <w:r>
        <w:rPr/>
        <w:t>to</w:t>
      </w:r>
      <w:r>
        <w:rPr>
          <w:spacing w:val="-3"/>
        </w:rPr>
        <w:t> </w:t>
      </w:r>
      <w:r>
        <w:rPr/>
        <w:t>2015,</w:t>
      </w:r>
      <w:r>
        <w:rPr>
          <w:spacing w:val="-4"/>
        </w:rPr>
        <w:t> </w:t>
      </w:r>
      <w:r>
        <w:rPr/>
        <w:t>there</w:t>
      </w:r>
      <w:r>
        <w:rPr>
          <w:spacing w:val="-4"/>
        </w:rPr>
        <w:t> </w:t>
      </w:r>
      <w:r>
        <w:rPr/>
        <w:t>was</w:t>
      </w:r>
      <w:r>
        <w:rPr>
          <w:spacing w:val="-3"/>
        </w:rPr>
        <w:t> </w:t>
      </w:r>
      <w:r>
        <w:rPr/>
        <w:t>no</w:t>
      </w:r>
      <w:r>
        <w:rPr>
          <w:spacing w:val="-5"/>
        </w:rPr>
        <w:t> </w:t>
      </w:r>
      <w:r>
        <w:rPr/>
        <w:t>significant</w:t>
      </w:r>
      <w:r>
        <w:rPr>
          <w:spacing w:val="-3"/>
        </w:rPr>
        <w:t> </w:t>
      </w:r>
      <w:r>
        <w:rPr/>
        <w:t>difference</w:t>
      </w:r>
      <w:r>
        <w:rPr>
          <w:spacing w:val="-4"/>
        </w:rPr>
        <w:t> </w:t>
      </w:r>
      <w:r>
        <w:rPr/>
        <w:t>by</w:t>
      </w:r>
      <w:r>
        <w:rPr>
          <w:spacing w:val="-4"/>
        </w:rPr>
        <w:t> </w:t>
      </w:r>
      <w:r>
        <w:rPr/>
        <w:t>case</w:t>
      </w:r>
      <w:r>
        <w:rPr>
          <w:spacing w:val="-4"/>
        </w:rPr>
        <w:t> </w:t>
      </w:r>
      <w:r>
        <w:rPr/>
        <w:t>outcome</w:t>
      </w:r>
      <w:r>
        <w:rPr>
          <w:spacing w:val="-4"/>
        </w:rPr>
        <w:t> </w:t>
      </w:r>
      <w:r>
        <w:rPr/>
        <w:t>or</w:t>
      </w:r>
      <w:r>
        <w:rPr>
          <w:spacing w:val="-2"/>
        </w:rPr>
        <w:t> track.</w:t>
      </w:r>
    </w:p>
    <w:p>
      <w:pPr>
        <w:spacing w:after="0"/>
        <w:jc w:val="both"/>
        <w:sectPr>
          <w:pgSz w:w="11910" w:h="16840"/>
          <w:pgMar w:header="0" w:footer="996" w:top="1340" w:bottom="1180" w:left="460" w:right="320"/>
        </w:sectPr>
      </w:pPr>
    </w:p>
    <w:p>
      <w:pPr>
        <w:pStyle w:val="Heading2"/>
        <w:numPr>
          <w:ilvl w:val="0"/>
          <w:numId w:val="2"/>
        </w:numPr>
        <w:tabs>
          <w:tab w:pos="2058" w:val="left" w:leader="none"/>
          <w:tab w:pos="4739" w:val="left" w:leader="none"/>
          <w:tab w:pos="5936" w:val="left" w:leader="none"/>
          <w:tab w:pos="7250" w:val="left" w:leader="none"/>
        </w:tabs>
        <w:spacing w:line="240" w:lineRule="auto" w:before="81" w:after="0"/>
        <w:ind w:left="1695" w:right="1474" w:hanging="358"/>
        <w:jc w:val="left"/>
      </w:pPr>
      <w:bookmarkStart w:name="10. SATISFACTION WITH EARLY CONCILIATION" w:id="87"/>
      <w:bookmarkEnd w:id="87"/>
      <w:r>
        <w:rPr>
          <w:b w:val="0"/>
        </w:rPr>
      </w:r>
      <w:bookmarkStart w:name="10." w:id="88"/>
      <w:bookmarkEnd w:id="88"/>
      <w:r>
        <w:rPr>
          <w:b w:val="0"/>
        </w:rPr>
      </w:r>
      <w:bookmarkStart w:name="_bookmark22" w:id="89"/>
      <w:bookmarkEnd w:id="89"/>
      <w:r>
        <w:rPr>
          <w:spacing w:val="-2"/>
        </w:rPr>
        <w:t>SAT</w:t>
      </w:r>
      <w:r>
        <w:rPr>
          <w:spacing w:val="-2"/>
        </w:rPr>
        <w:t>ISFACTION</w:t>
      </w:r>
      <w:r>
        <w:rPr/>
        <w:tab/>
      </w:r>
      <w:r>
        <w:rPr>
          <w:spacing w:val="-4"/>
        </w:rPr>
        <w:t>WITH</w:t>
      </w:r>
      <w:r>
        <w:rPr/>
        <w:tab/>
      </w:r>
      <w:r>
        <w:rPr>
          <w:spacing w:val="-2"/>
        </w:rPr>
        <w:t>EARLY</w:t>
      </w:r>
      <w:r>
        <w:rPr/>
        <w:tab/>
      </w:r>
      <w:r>
        <w:rPr>
          <w:spacing w:val="-2"/>
        </w:rPr>
        <w:t>CONCILIATION </w:t>
      </w:r>
      <w:r>
        <w:rPr/>
        <w:t>AND DRIVERS OF OUTCOME</w:t>
      </w:r>
    </w:p>
    <w:p>
      <w:pPr>
        <w:pStyle w:val="BodyText"/>
        <w:rPr>
          <w:b/>
          <w:sz w:val="34"/>
        </w:rPr>
      </w:pPr>
    </w:p>
    <w:p>
      <w:pPr>
        <w:pStyle w:val="BodyText"/>
        <w:spacing w:before="211"/>
        <w:ind w:left="1337" w:right="1473"/>
        <w:jc w:val="both"/>
      </w:pPr>
      <w:r>
        <w:rPr>
          <w:b/>
        </w:rPr>
        <w:t>Synopsis: </w:t>
      </w:r>
      <w:r>
        <w:rPr/>
        <w:t>This chapter looks at the determinants of case outcome, including the importance</w:t>
      </w:r>
      <w:r>
        <w:rPr>
          <w:spacing w:val="-18"/>
        </w:rPr>
        <w:t> </w:t>
      </w:r>
      <w:r>
        <w:rPr/>
        <w:t>of</w:t>
      </w:r>
      <w:r>
        <w:rPr>
          <w:spacing w:val="-18"/>
        </w:rPr>
        <w:t> </w:t>
      </w:r>
      <w:r>
        <w:rPr/>
        <w:t>Acas</w:t>
      </w:r>
      <w:r>
        <w:rPr>
          <w:spacing w:val="-17"/>
        </w:rPr>
        <w:t> </w:t>
      </w:r>
      <w:r>
        <w:rPr/>
        <w:t>in</w:t>
      </w:r>
      <w:r>
        <w:rPr>
          <w:spacing w:val="-18"/>
        </w:rPr>
        <w:t> </w:t>
      </w:r>
      <w:r>
        <w:rPr/>
        <w:t>resolving</w:t>
      </w:r>
      <w:r>
        <w:rPr>
          <w:spacing w:val="-17"/>
        </w:rPr>
        <w:t> </w:t>
      </w:r>
      <w:r>
        <w:rPr/>
        <w:t>disputes</w:t>
      </w:r>
      <w:r>
        <w:rPr>
          <w:spacing w:val="-18"/>
        </w:rPr>
        <w:t> </w:t>
      </w:r>
      <w:r>
        <w:rPr/>
        <w:t>and</w:t>
      </w:r>
      <w:r>
        <w:rPr>
          <w:spacing w:val="-18"/>
        </w:rPr>
        <w:t> </w:t>
      </w:r>
      <w:r>
        <w:rPr/>
        <w:t>likelihood</w:t>
      </w:r>
      <w:r>
        <w:rPr>
          <w:spacing w:val="-17"/>
        </w:rPr>
        <w:t> </w:t>
      </w:r>
      <w:r>
        <w:rPr/>
        <w:t>to</w:t>
      </w:r>
      <w:r>
        <w:rPr>
          <w:spacing w:val="-18"/>
        </w:rPr>
        <w:t> </w:t>
      </w:r>
      <w:r>
        <w:rPr/>
        <w:t>recommend</w:t>
      </w:r>
      <w:r>
        <w:rPr>
          <w:spacing w:val="-17"/>
        </w:rPr>
        <w:t> </w:t>
      </w:r>
      <w:r>
        <w:rPr/>
        <w:t>Acas</w:t>
      </w:r>
      <w:r>
        <w:rPr>
          <w:spacing w:val="-18"/>
        </w:rPr>
        <w:t> </w:t>
      </w:r>
      <w:r>
        <w:rPr/>
        <w:t>services to others.</w:t>
      </w:r>
    </w:p>
    <w:p>
      <w:pPr>
        <w:pStyle w:val="BodyText"/>
      </w:pPr>
    </w:p>
    <w:p>
      <w:pPr>
        <w:pStyle w:val="BodyText"/>
        <w:spacing w:before="5"/>
        <w:rPr>
          <w:sz w:val="22"/>
        </w:rPr>
      </w:pPr>
    </w:p>
    <w:p>
      <w:pPr>
        <w:pStyle w:val="Heading3"/>
        <w:ind w:left="1445"/>
        <w:jc w:val="left"/>
      </w:pPr>
      <w:r>
        <w:rPr/>
        <w:pict>
          <v:group style="position:absolute;margin-left:84.660004pt;margin-top:-13.646265pt;width:456.15pt;height:367.65pt;mso-position-horizontal-relative:page;mso-position-vertical-relative:paragraph;z-index:-18114048" id="docshapegroup22" coordorigin="1693,-273" coordsize="9123,7353">
            <v:rect style="position:absolute;left:1722;top:-243;width:9064;height:7293" id="docshape23" filled="true" fillcolor="#f1f1f1" stroked="false">
              <v:fill type="solid"/>
            </v:rect>
            <v:shape style="position:absolute;left:1693;top:-273;width:9094;height:30" id="docshape24" coordorigin="1693,-273" coordsize="9094,30" path="m10787,-254l1722,-254,1722,-254,1712,-254,1712,-244,1712,-243,1722,-243,1722,-244,10787,-244,10787,-254xm10787,-273l1722,-273,1703,-273,1693,-273,1693,-263,1693,-243,1703,-243,1703,-263,1722,-263,10787,-263,10787,-273xe" filled="true" fillcolor="#000000" stroked="false">
              <v:path arrowok="t"/>
              <v:fill type="solid"/>
            </v:shape>
            <v:rect style="position:absolute;left:1722;top:-245;width:9065;height:2" id="docshape25" filled="true" fillcolor="#f1f1f1" stroked="false">
              <v:fill type="solid"/>
            </v:rect>
            <v:shape style="position:absolute;left:1693;top:-273;width:9123;height:7353" id="docshape26" coordorigin="1693,-273" coordsize="9123,7353" path="m10796,-254l10787,-254,10787,-244,10787,-243,10787,7051,1722,7051,1722,-243,1712,-243,1712,7051,1712,7060,1722,7060,1722,7060,10787,7060,10796,7060,10796,7051,10796,-243,10796,-244,10796,-254xm10816,-273l10816,-273,10806,-273,10787,-273,10787,-263,10806,-263,10806,-243,10806,7051,10806,7070,10787,7070,1722,7070,1703,7070,1703,7051,1703,-243,1693,-243,1693,7051,1693,7070,1693,7079,1703,7079,1722,7079,10787,7079,10806,7079,10816,7079,10816,7079,10816,7051,10816,-243,10816,-273xe" filled="true" fillcolor="#000000" stroked="false">
              <v:path arrowok="t"/>
              <v:fill type="solid"/>
            </v:shape>
            <w10:wrap type="none"/>
          </v:group>
        </w:pict>
      </w:r>
      <w:r>
        <w:rPr/>
        <w:t>Key</w:t>
      </w:r>
      <w:r>
        <w:rPr>
          <w:spacing w:val="-2"/>
        </w:rPr>
        <w:t> </w:t>
      </w:r>
      <w:r>
        <w:rPr/>
        <w:t>trends</w:t>
      </w:r>
      <w:r>
        <w:rPr>
          <w:spacing w:val="-3"/>
        </w:rPr>
        <w:t> </w:t>
      </w:r>
      <w:r>
        <w:rPr/>
        <w:t>at</w:t>
      </w:r>
      <w:r>
        <w:rPr>
          <w:spacing w:val="-2"/>
        </w:rPr>
        <w:t> </w:t>
      </w:r>
      <w:r>
        <w:rPr/>
        <w:t>a</w:t>
      </w:r>
      <w:r>
        <w:rPr>
          <w:spacing w:val="-2"/>
        </w:rPr>
        <w:t> glance</w:t>
      </w:r>
    </w:p>
    <w:p>
      <w:pPr>
        <w:pStyle w:val="BodyText"/>
        <w:spacing w:before="3"/>
        <w:rPr>
          <w:b/>
        </w:rPr>
      </w:pPr>
    </w:p>
    <w:p>
      <w:pPr>
        <w:pStyle w:val="ListParagraph"/>
        <w:numPr>
          <w:ilvl w:val="0"/>
          <w:numId w:val="22"/>
        </w:numPr>
        <w:tabs>
          <w:tab w:pos="2076" w:val="left" w:leader="none"/>
        </w:tabs>
        <w:spacing w:line="237" w:lineRule="auto" w:before="0" w:after="0"/>
        <w:ind w:left="2075" w:right="892" w:hanging="360"/>
        <w:jc w:val="both"/>
        <w:rPr>
          <w:sz w:val="20"/>
        </w:rPr>
      </w:pPr>
      <w:r>
        <w:rPr>
          <w:sz w:val="20"/>
        </w:rPr>
        <w:t>Around</w:t>
      </w:r>
      <w:r>
        <w:rPr>
          <w:spacing w:val="-1"/>
          <w:sz w:val="20"/>
        </w:rPr>
        <w:t> </w:t>
      </w:r>
      <w:r>
        <w:rPr>
          <w:sz w:val="20"/>
        </w:rPr>
        <w:t>a</w:t>
      </w:r>
      <w:r>
        <w:rPr>
          <w:spacing w:val="-2"/>
          <w:sz w:val="20"/>
        </w:rPr>
        <w:t> </w:t>
      </w:r>
      <w:r>
        <w:rPr>
          <w:sz w:val="20"/>
        </w:rPr>
        <w:t>quarter</w:t>
      </w:r>
      <w:r>
        <w:rPr>
          <w:spacing w:val="-1"/>
          <w:sz w:val="20"/>
        </w:rPr>
        <w:t> </w:t>
      </w:r>
      <w:r>
        <w:rPr>
          <w:sz w:val="20"/>
        </w:rPr>
        <w:t>of</w:t>
      </w:r>
      <w:r>
        <w:rPr>
          <w:spacing w:val="-2"/>
          <w:sz w:val="20"/>
        </w:rPr>
        <w:t> </w:t>
      </w:r>
      <w:r>
        <w:rPr>
          <w:sz w:val="20"/>
        </w:rPr>
        <w:t>those</w:t>
      </w:r>
      <w:r>
        <w:rPr>
          <w:spacing w:val="-1"/>
          <w:sz w:val="20"/>
        </w:rPr>
        <w:t> </w:t>
      </w:r>
      <w:r>
        <w:rPr>
          <w:sz w:val="20"/>
        </w:rPr>
        <w:t>taking</w:t>
      </w:r>
      <w:r>
        <w:rPr>
          <w:spacing w:val="-2"/>
          <w:sz w:val="20"/>
        </w:rPr>
        <w:t> </w:t>
      </w:r>
      <w:r>
        <w:rPr>
          <w:sz w:val="20"/>
        </w:rPr>
        <w:t>part in</w:t>
      </w:r>
      <w:r>
        <w:rPr>
          <w:spacing w:val="-2"/>
          <w:sz w:val="20"/>
        </w:rPr>
        <w:t> </w:t>
      </w:r>
      <w:r>
        <w:rPr>
          <w:sz w:val="20"/>
        </w:rPr>
        <w:t>EC</w:t>
      </w:r>
      <w:r>
        <w:rPr>
          <w:spacing w:val="-2"/>
          <w:sz w:val="20"/>
        </w:rPr>
        <w:t> </w:t>
      </w:r>
      <w:r>
        <w:rPr>
          <w:sz w:val="20"/>
        </w:rPr>
        <w:t>reached</w:t>
      </w:r>
      <w:r>
        <w:rPr>
          <w:spacing w:val="-1"/>
          <w:sz w:val="20"/>
        </w:rPr>
        <w:t> </w:t>
      </w:r>
      <w:r>
        <w:rPr>
          <w:sz w:val="20"/>
        </w:rPr>
        <w:t>a</w:t>
      </w:r>
      <w:r>
        <w:rPr>
          <w:spacing w:val="-2"/>
          <w:sz w:val="20"/>
        </w:rPr>
        <w:t> </w:t>
      </w:r>
      <w:r>
        <w:rPr>
          <w:sz w:val="20"/>
        </w:rPr>
        <w:t>settlement,</w:t>
      </w:r>
      <w:r>
        <w:rPr>
          <w:spacing w:val="-2"/>
          <w:sz w:val="20"/>
        </w:rPr>
        <w:t> </w:t>
      </w:r>
      <w:r>
        <w:rPr>
          <w:sz w:val="20"/>
        </w:rPr>
        <w:t>while</w:t>
      </w:r>
      <w:r>
        <w:rPr>
          <w:spacing w:val="-1"/>
          <w:sz w:val="20"/>
        </w:rPr>
        <w:t> </w:t>
      </w:r>
      <w:r>
        <w:rPr>
          <w:sz w:val="20"/>
        </w:rPr>
        <w:t>seven in ten were unable to achieve a resolution within the EC period.</w:t>
      </w:r>
    </w:p>
    <w:p>
      <w:pPr>
        <w:pStyle w:val="ListParagraph"/>
        <w:numPr>
          <w:ilvl w:val="0"/>
          <w:numId w:val="22"/>
        </w:numPr>
        <w:tabs>
          <w:tab w:pos="2076" w:val="left" w:leader="none"/>
        </w:tabs>
        <w:spacing w:line="240" w:lineRule="auto" w:before="1" w:after="0"/>
        <w:ind w:left="2075" w:right="889" w:hanging="360"/>
        <w:jc w:val="both"/>
        <w:rPr>
          <w:sz w:val="20"/>
        </w:rPr>
      </w:pPr>
      <w:r>
        <w:rPr>
          <w:sz w:val="20"/>
        </w:rPr>
        <w:t>The majority of settlements involved a financial payment. The average (mean) value of any payment rose significantly since 2015, now reported as £4,246 by claimant-side participants and £4,019 by employer-side participants. Almost all claimants who received a monetary settlement had been paid by the time of the </w:t>
      </w:r>
      <w:r>
        <w:rPr>
          <w:spacing w:val="-2"/>
          <w:sz w:val="20"/>
        </w:rPr>
        <w:t>survey.</w:t>
      </w:r>
    </w:p>
    <w:p>
      <w:pPr>
        <w:pStyle w:val="ListParagraph"/>
        <w:numPr>
          <w:ilvl w:val="0"/>
          <w:numId w:val="22"/>
        </w:numPr>
        <w:tabs>
          <w:tab w:pos="2076" w:val="left" w:leader="none"/>
        </w:tabs>
        <w:spacing w:line="240" w:lineRule="auto" w:before="0" w:after="0"/>
        <w:ind w:left="2075" w:right="890" w:hanging="360"/>
        <w:jc w:val="both"/>
        <w:rPr>
          <w:sz w:val="20"/>
        </w:rPr>
      </w:pPr>
      <w:r>
        <w:rPr>
          <w:sz w:val="20"/>
        </w:rPr>
        <w:t>Where a settlement had taken place, both sides agreed that Acas’ involvement had</w:t>
      </w:r>
      <w:r>
        <w:rPr>
          <w:spacing w:val="-14"/>
          <w:sz w:val="20"/>
        </w:rPr>
        <w:t> </w:t>
      </w:r>
      <w:r>
        <w:rPr>
          <w:sz w:val="20"/>
        </w:rPr>
        <w:t>been</w:t>
      </w:r>
      <w:r>
        <w:rPr>
          <w:spacing w:val="-14"/>
          <w:sz w:val="20"/>
        </w:rPr>
        <w:t> </w:t>
      </w:r>
      <w:r>
        <w:rPr>
          <w:sz w:val="20"/>
        </w:rPr>
        <w:t>important</w:t>
      </w:r>
      <w:r>
        <w:rPr>
          <w:spacing w:val="-13"/>
          <w:sz w:val="20"/>
        </w:rPr>
        <w:t> </w:t>
      </w:r>
      <w:r>
        <w:rPr>
          <w:sz w:val="20"/>
        </w:rPr>
        <w:t>in</w:t>
      </w:r>
      <w:r>
        <w:rPr>
          <w:spacing w:val="-14"/>
          <w:sz w:val="20"/>
        </w:rPr>
        <w:t> </w:t>
      </w:r>
      <w:r>
        <w:rPr>
          <w:sz w:val="20"/>
        </w:rPr>
        <w:t>resolving</w:t>
      </w:r>
      <w:r>
        <w:rPr>
          <w:spacing w:val="-14"/>
          <w:sz w:val="20"/>
        </w:rPr>
        <w:t> </w:t>
      </w:r>
      <w:r>
        <w:rPr>
          <w:sz w:val="20"/>
        </w:rPr>
        <w:t>their</w:t>
      </w:r>
      <w:r>
        <w:rPr>
          <w:spacing w:val="-14"/>
          <w:sz w:val="20"/>
        </w:rPr>
        <w:t> </w:t>
      </w:r>
      <w:r>
        <w:rPr>
          <w:sz w:val="20"/>
        </w:rPr>
        <w:t>dispute,</w:t>
      </w:r>
      <w:r>
        <w:rPr>
          <w:spacing w:val="-13"/>
          <w:sz w:val="20"/>
        </w:rPr>
        <w:t> </w:t>
      </w:r>
      <w:r>
        <w:rPr>
          <w:sz w:val="20"/>
        </w:rPr>
        <w:t>although</w:t>
      </w:r>
      <w:r>
        <w:rPr>
          <w:spacing w:val="-14"/>
          <w:sz w:val="20"/>
        </w:rPr>
        <w:t> </w:t>
      </w:r>
      <w:r>
        <w:rPr>
          <w:sz w:val="20"/>
        </w:rPr>
        <w:t>claimant-side</w:t>
      </w:r>
      <w:r>
        <w:rPr>
          <w:spacing w:val="-14"/>
          <w:sz w:val="20"/>
        </w:rPr>
        <w:t> </w:t>
      </w:r>
      <w:r>
        <w:rPr>
          <w:sz w:val="20"/>
        </w:rPr>
        <w:t>participants tended to place greater weight on Acas’ input when making a decision than the employer side.</w:t>
      </w:r>
    </w:p>
    <w:p>
      <w:pPr>
        <w:pStyle w:val="ListParagraph"/>
        <w:numPr>
          <w:ilvl w:val="0"/>
          <w:numId w:val="22"/>
        </w:numPr>
        <w:tabs>
          <w:tab w:pos="2076" w:val="left" w:leader="none"/>
        </w:tabs>
        <w:spacing w:line="237" w:lineRule="auto" w:before="0" w:after="0"/>
        <w:ind w:left="2075" w:right="891" w:hanging="360"/>
        <w:jc w:val="both"/>
        <w:rPr>
          <w:sz w:val="20"/>
        </w:rPr>
      </w:pPr>
      <w:r>
        <w:rPr>
          <w:sz w:val="20"/>
        </w:rPr>
        <w:t>Around half of EC participants were satisfied with the outcome of EC, although satisfaction varied significantly by outcome and track.</w:t>
      </w:r>
    </w:p>
    <w:p>
      <w:pPr>
        <w:pStyle w:val="ListParagraph"/>
        <w:numPr>
          <w:ilvl w:val="0"/>
          <w:numId w:val="22"/>
        </w:numPr>
        <w:tabs>
          <w:tab w:pos="2076" w:val="left" w:leader="none"/>
        </w:tabs>
        <w:spacing w:line="240" w:lineRule="auto" w:before="0" w:after="0"/>
        <w:ind w:left="2075" w:right="892" w:hanging="360"/>
        <w:jc w:val="both"/>
        <w:rPr>
          <w:sz w:val="20"/>
        </w:rPr>
      </w:pPr>
      <w:r>
        <w:rPr>
          <w:sz w:val="20"/>
        </w:rPr>
        <w:t>Setting aside case outcome, around eight in ten EC participants were satisfied with the service provided by Acas. Satisfaction with the Acas service has fallen slightly among employer-side participants, from 86 per cent to 80 per cent.</w:t>
      </w:r>
    </w:p>
    <w:p>
      <w:pPr>
        <w:pStyle w:val="ListParagraph"/>
        <w:numPr>
          <w:ilvl w:val="0"/>
          <w:numId w:val="22"/>
        </w:numPr>
        <w:tabs>
          <w:tab w:pos="2076" w:val="left" w:leader="none"/>
        </w:tabs>
        <w:spacing w:line="240" w:lineRule="auto" w:before="0" w:after="0"/>
        <w:ind w:left="2075" w:right="888" w:hanging="360"/>
        <w:jc w:val="both"/>
        <w:rPr>
          <w:sz w:val="20"/>
        </w:rPr>
      </w:pPr>
      <w:r>
        <w:rPr>
          <w:sz w:val="20"/>
        </w:rPr>
        <w:t>Key drivers for satisfaction with the service provided by Acas among claimants included the quality of information provided at the EC notification stage, Acas’ role</w:t>
      </w:r>
      <w:r>
        <w:rPr>
          <w:spacing w:val="-11"/>
          <w:sz w:val="20"/>
        </w:rPr>
        <w:t> </w:t>
      </w:r>
      <w:r>
        <w:rPr>
          <w:sz w:val="20"/>
        </w:rPr>
        <w:t>in</w:t>
      </w:r>
      <w:r>
        <w:rPr>
          <w:spacing w:val="-11"/>
          <w:sz w:val="20"/>
        </w:rPr>
        <w:t> </w:t>
      </w:r>
      <w:r>
        <w:rPr>
          <w:sz w:val="20"/>
        </w:rPr>
        <w:t>moving</w:t>
      </w:r>
      <w:r>
        <w:rPr>
          <w:spacing w:val="-11"/>
          <w:sz w:val="20"/>
        </w:rPr>
        <w:t> </w:t>
      </w:r>
      <w:r>
        <w:rPr>
          <w:sz w:val="20"/>
        </w:rPr>
        <w:t>the</w:t>
      </w:r>
      <w:r>
        <w:rPr>
          <w:spacing w:val="-12"/>
          <w:sz w:val="20"/>
        </w:rPr>
        <w:t> </w:t>
      </w:r>
      <w:r>
        <w:rPr>
          <w:sz w:val="20"/>
        </w:rPr>
        <w:t>sides</w:t>
      </w:r>
      <w:r>
        <w:rPr>
          <w:spacing w:val="-11"/>
          <w:sz w:val="20"/>
        </w:rPr>
        <w:t> </w:t>
      </w:r>
      <w:r>
        <w:rPr>
          <w:sz w:val="20"/>
        </w:rPr>
        <w:t>closer</w:t>
      </w:r>
      <w:r>
        <w:rPr>
          <w:spacing w:val="-12"/>
          <w:sz w:val="20"/>
        </w:rPr>
        <w:t> </w:t>
      </w:r>
      <w:r>
        <w:rPr>
          <w:sz w:val="20"/>
        </w:rPr>
        <w:t>together</w:t>
      </w:r>
      <w:r>
        <w:rPr>
          <w:spacing w:val="-12"/>
          <w:sz w:val="20"/>
        </w:rPr>
        <w:t> </w:t>
      </w:r>
      <w:r>
        <w:rPr>
          <w:sz w:val="20"/>
        </w:rPr>
        <w:t>and</w:t>
      </w:r>
      <w:r>
        <w:rPr>
          <w:spacing w:val="-11"/>
          <w:sz w:val="20"/>
        </w:rPr>
        <w:t> </w:t>
      </w:r>
      <w:r>
        <w:rPr>
          <w:sz w:val="20"/>
        </w:rPr>
        <w:t>claimants’</w:t>
      </w:r>
      <w:r>
        <w:rPr>
          <w:spacing w:val="-11"/>
          <w:sz w:val="20"/>
        </w:rPr>
        <w:t> </w:t>
      </w:r>
      <w:r>
        <w:rPr>
          <w:sz w:val="20"/>
        </w:rPr>
        <w:t>motivation</w:t>
      </w:r>
      <w:r>
        <w:rPr>
          <w:spacing w:val="-11"/>
          <w:sz w:val="20"/>
        </w:rPr>
        <w:t> </w:t>
      </w:r>
      <w:r>
        <w:rPr>
          <w:sz w:val="20"/>
        </w:rPr>
        <w:t>for</w:t>
      </w:r>
      <w:r>
        <w:rPr>
          <w:spacing w:val="-12"/>
          <w:sz w:val="20"/>
        </w:rPr>
        <w:t> </w:t>
      </w:r>
      <w:r>
        <w:rPr>
          <w:sz w:val="20"/>
        </w:rPr>
        <w:t>entering</w:t>
      </w:r>
      <w:r>
        <w:rPr>
          <w:spacing w:val="-11"/>
          <w:sz w:val="20"/>
        </w:rPr>
        <w:t> </w:t>
      </w:r>
      <w:r>
        <w:rPr>
          <w:sz w:val="20"/>
        </w:rPr>
        <w:t>EC (whether</w:t>
      </w:r>
      <w:r>
        <w:rPr>
          <w:spacing w:val="-2"/>
          <w:sz w:val="20"/>
        </w:rPr>
        <w:t> </w:t>
      </w:r>
      <w:r>
        <w:rPr>
          <w:sz w:val="20"/>
        </w:rPr>
        <w:t>they</w:t>
      </w:r>
      <w:r>
        <w:rPr>
          <w:spacing w:val="-2"/>
          <w:sz w:val="20"/>
        </w:rPr>
        <w:t> </w:t>
      </w:r>
      <w:r>
        <w:rPr>
          <w:sz w:val="20"/>
        </w:rPr>
        <w:t>were</w:t>
      </w:r>
      <w:r>
        <w:rPr>
          <w:spacing w:val="-2"/>
          <w:sz w:val="20"/>
        </w:rPr>
        <w:t> </w:t>
      </w:r>
      <w:r>
        <w:rPr>
          <w:sz w:val="20"/>
        </w:rPr>
        <w:t>interested</w:t>
      </w:r>
      <w:r>
        <w:rPr>
          <w:spacing w:val="-2"/>
          <w:sz w:val="20"/>
        </w:rPr>
        <w:t> </w:t>
      </w:r>
      <w:r>
        <w:rPr>
          <w:sz w:val="20"/>
        </w:rPr>
        <w:t>in</w:t>
      </w:r>
      <w:r>
        <w:rPr>
          <w:spacing w:val="-2"/>
          <w:sz w:val="20"/>
        </w:rPr>
        <w:t> </w:t>
      </w:r>
      <w:r>
        <w:rPr>
          <w:sz w:val="20"/>
        </w:rPr>
        <w:t>reaching</w:t>
      </w:r>
      <w:r>
        <w:rPr>
          <w:spacing w:val="-2"/>
          <w:sz w:val="20"/>
        </w:rPr>
        <w:t> </w:t>
      </w:r>
      <w:r>
        <w:rPr>
          <w:sz w:val="20"/>
        </w:rPr>
        <w:t>a</w:t>
      </w:r>
      <w:r>
        <w:rPr>
          <w:spacing w:val="-2"/>
          <w:sz w:val="20"/>
        </w:rPr>
        <w:t> </w:t>
      </w:r>
      <w:r>
        <w:rPr>
          <w:sz w:val="20"/>
        </w:rPr>
        <w:t>settlement</w:t>
      </w:r>
      <w:r>
        <w:rPr>
          <w:spacing w:val="-2"/>
          <w:sz w:val="20"/>
        </w:rPr>
        <w:t> </w:t>
      </w:r>
      <w:r>
        <w:rPr>
          <w:sz w:val="20"/>
        </w:rPr>
        <w:t>or</w:t>
      </w:r>
      <w:r>
        <w:rPr>
          <w:spacing w:val="-2"/>
          <w:sz w:val="20"/>
        </w:rPr>
        <w:t> </w:t>
      </w:r>
      <w:r>
        <w:rPr>
          <w:sz w:val="20"/>
        </w:rPr>
        <w:t>just</w:t>
      </w:r>
      <w:r>
        <w:rPr>
          <w:spacing w:val="-3"/>
          <w:sz w:val="20"/>
        </w:rPr>
        <w:t> </w:t>
      </w:r>
      <w:r>
        <w:rPr>
          <w:sz w:val="20"/>
        </w:rPr>
        <w:t>wanted</w:t>
      </w:r>
      <w:r>
        <w:rPr>
          <w:spacing w:val="-2"/>
          <w:sz w:val="20"/>
        </w:rPr>
        <w:t> </w:t>
      </w:r>
      <w:r>
        <w:rPr>
          <w:sz w:val="20"/>
        </w:rPr>
        <w:t>to</w:t>
      </w:r>
      <w:r>
        <w:rPr>
          <w:spacing w:val="-2"/>
          <w:sz w:val="20"/>
        </w:rPr>
        <w:t> </w:t>
      </w:r>
      <w:r>
        <w:rPr>
          <w:sz w:val="20"/>
        </w:rPr>
        <w:t>go</w:t>
      </w:r>
      <w:r>
        <w:rPr>
          <w:spacing w:val="-4"/>
          <w:sz w:val="20"/>
        </w:rPr>
        <w:t> </w:t>
      </w:r>
      <w:r>
        <w:rPr>
          <w:sz w:val="20"/>
        </w:rPr>
        <w:t>to</w:t>
      </w:r>
      <w:r>
        <w:rPr>
          <w:spacing w:val="-2"/>
          <w:sz w:val="20"/>
        </w:rPr>
        <w:t> </w:t>
      </w:r>
      <w:r>
        <w:rPr>
          <w:sz w:val="20"/>
        </w:rPr>
        <w:t>a </w:t>
      </w:r>
      <w:r>
        <w:rPr>
          <w:spacing w:val="-2"/>
          <w:sz w:val="20"/>
        </w:rPr>
        <w:t>Tribunal).</w:t>
      </w:r>
    </w:p>
    <w:p>
      <w:pPr>
        <w:pStyle w:val="ListParagraph"/>
        <w:numPr>
          <w:ilvl w:val="0"/>
          <w:numId w:val="22"/>
        </w:numPr>
        <w:tabs>
          <w:tab w:pos="2076" w:val="left" w:leader="none"/>
        </w:tabs>
        <w:spacing w:line="240" w:lineRule="auto" w:before="0" w:after="0"/>
        <w:ind w:left="2075" w:right="890" w:hanging="360"/>
        <w:jc w:val="both"/>
        <w:rPr>
          <w:sz w:val="20"/>
        </w:rPr>
      </w:pPr>
      <w:r>
        <w:rPr>
          <w:sz w:val="20"/>
        </w:rPr>
        <w:t>For employers, important determinants of satisfaction included the role Acas played</w:t>
      </w:r>
      <w:r>
        <w:rPr>
          <w:spacing w:val="-13"/>
          <w:sz w:val="20"/>
        </w:rPr>
        <w:t> </w:t>
      </w:r>
      <w:r>
        <w:rPr>
          <w:sz w:val="20"/>
        </w:rPr>
        <w:t>in</w:t>
      </w:r>
      <w:r>
        <w:rPr>
          <w:spacing w:val="-12"/>
          <w:sz w:val="20"/>
        </w:rPr>
        <w:t> </w:t>
      </w:r>
      <w:r>
        <w:rPr>
          <w:sz w:val="20"/>
        </w:rPr>
        <w:t>bringing</w:t>
      </w:r>
      <w:r>
        <w:rPr>
          <w:spacing w:val="-13"/>
          <w:sz w:val="20"/>
        </w:rPr>
        <w:t> </w:t>
      </w:r>
      <w:r>
        <w:rPr>
          <w:sz w:val="20"/>
        </w:rPr>
        <w:t>the</w:t>
      </w:r>
      <w:r>
        <w:rPr>
          <w:spacing w:val="-14"/>
          <w:sz w:val="20"/>
        </w:rPr>
        <w:t> </w:t>
      </w:r>
      <w:r>
        <w:rPr>
          <w:sz w:val="20"/>
        </w:rPr>
        <w:t>sides</w:t>
      </w:r>
      <w:r>
        <w:rPr>
          <w:spacing w:val="-13"/>
          <w:sz w:val="20"/>
        </w:rPr>
        <w:t> </w:t>
      </w:r>
      <w:r>
        <w:rPr>
          <w:sz w:val="20"/>
        </w:rPr>
        <w:t>closer,</w:t>
      </w:r>
      <w:r>
        <w:rPr>
          <w:spacing w:val="-12"/>
          <w:sz w:val="20"/>
        </w:rPr>
        <w:t> </w:t>
      </w:r>
      <w:r>
        <w:rPr>
          <w:sz w:val="20"/>
        </w:rPr>
        <w:t>the</w:t>
      </w:r>
      <w:r>
        <w:rPr>
          <w:spacing w:val="-13"/>
          <w:sz w:val="20"/>
        </w:rPr>
        <w:t> </w:t>
      </w:r>
      <w:r>
        <w:rPr>
          <w:sz w:val="20"/>
        </w:rPr>
        <w:t>availability</w:t>
      </w:r>
      <w:r>
        <w:rPr>
          <w:spacing w:val="-12"/>
          <w:sz w:val="20"/>
        </w:rPr>
        <w:t> </w:t>
      </w:r>
      <w:r>
        <w:rPr>
          <w:sz w:val="20"/>
        </w:rPr>
        <w:t>and</w:t>
      </w:r>
      <w:r>
        <w:rPr>
          <w:spacing w:val="-13"/>
          <w:sz w:val="20"/>
        </w:rPr>
        <w:t> </w:t>
      </w:r>
      <w:r>
        <w:rPr>
          <w:sz w:val="20"/>
        </w:rPr>
        <w:t>method</w:t>
      </w:r>
      <w:r>
        <w:rPr>
          <w:spacing w:val="-13"/>
          <w:sz w:val="20"/>
        </w:rPr>
        <w:t> </w:t>
      </w:r>
      <w:r>
        <w:rPr>
          <w:sz w:val="20"/>
        </w:rPr>
        <w:t>of</w:t>
      </w:r>
      <w:r>
        <w:rPr>
          <w:spacing w:val="-12"/>
          <w:sz w:val="20"/>
        </w:rPr>
        <w:t> </w:t>
      </w:r>
      <w:r>
        <w:rPr>
          <w:sz w:val="20"/>
        </w:rPr>
        <w:t>contact</w:t>
      </w:r>
      <w:r>
        <w:rPr>
          <w:spacing w:val="-12"/>
          <w:sz w:val="20"/>
        </w:rPr>
        <w:t> </w:t>
      </w:r>
      <w:r>
        <w:rPr>
          <w:sz w:val="20"/>
        </w:rPr>
        <w:t>with</w:t>
      </w:r>
      <w:r>
        <w:rPr>
          <w:spacing w:val="-12"/>
          <w:sz w:val="20"/>
        </w:rPr>
        <w:t> </w:t>
      </w:r>
      <w:r>
        <w:rPr>
          <w:sz w:val="20"/>
        </w:rPr>
        <w:t>the conciliator, as well as the size of the organisation.</w:t>
      </w:r>
    </w:p>
    <w:p>
      <w:pPr>
        <w:pStyle w:val="ListParagraph"/>
        <w:numPr>
          <w:ilvl w:val="0"/>
          <w:numId w:val="22"/>
        </w:numPr>
        <w:tabs>
          <w:tab w:pos="2076" w:val="left" w:leader="none"/>
        </w:tabs>
        <w:spacing w:line="237" w:lineRule="auto" w:before="0" w:after="0"/>
        <w:ind w:left="2075" w:right="891" w:hanging="360"/>
        <w:jc w:val="both"/>
        <w:rPr>
          <w:sz w:val="20"/>
        </w:rPr>
      </w:pPr>
      <w:r>
        <w:rPr>
          <w:sz w:val="20"/>
        </w:rPr>
        <w:t>A</w:t>
      </w:r>
      <w:r>
        <w:rPr>
          <w:spacing w:val="-5"/>
          <w:sz w:val="20"/>
        </w:rPr>
        <w:t> </w:t>
      </w:r>
      <w:r>
        <w:rPr>
          <w:sz w:val="20"/>
        </w:rPr>
        <w:t>majority</w:t>
      </w:r>
      <w:r>
        <w:rPr>
          <w:spacing w:val="-5"/>
          <w:sz w:val="20"/>
        </w:rPr>
        <w:t> </w:t>
      </w:r>
      <w:r>
        <w:rPr>
          <w:sz w:val="20"/>
        </w:rPr>
        <w:t>of</w:t>
      </w:r>
      <w:r>
        <w:rPr>
          <w:spacing w:val="-5"/>
          <w:sz w:val="20"/>
        </w:rPr>
        <w:t> </w:t>
      </w:r>
      <w:r>
        <w:rPr>
          <w:sz w:val="20"/>
        </w:rPr>
        <w:t>both</w:t>
      </w:r>
      <w:r>
        <w:rPr>
          <w:spacing w:val="-5"/>
          <w:sz w:val="20"/>
        </w:rPr>
        <w:t> </w:t>
      </w:r>
      <w:r>
        <w:rPr>
          <w:sz w:val="20"/>
        </w:rPr>
        <w:t>claimant-side</w:t>
      </w:r>
      <w:r>
        <w:rPr>
          <w:spacing w:val="-6"/>
          <w:sz w:val="20"/>
        </w:rPr>
        <w:t> </w:t>
      </w:r>
      <w:r>
        <w:rPr>
          <w:sz w:val="20"/>
        </w:rPr>
        <w:t>participants</w:t>
      </w:r>
      <w:r>
        <w:rPr>
          <w:spacing w:val="-5"/>
          <w:sz w:val="20"/>
        </w:rPr>
        <w:t> </w:t>
      </w:r>
      <w:r>
        <w:rPr>
          <w:sz w:val="20"/>
        </w:rPr>
        <w:t>and</w:t>
      </w:r>
      <w:r>
        <w:rPr>
          <w:spacing w:val="-5"/>
          <w:sz w:val="20"/>
        </w:rPr>
        <w:t> </w:t>
      </w:r>
      <w:r>
        <w:rPr>
          <w:sz w:val="20"/>
        </w:rPr>
        <w:t>employer-side</w:t>
      </w:r>
      <w:r>
        <w:rPr>
          <w:spacing w:val="-6"/>
          <w:sz w:val="20"/>
        </w:rPr>
        <w:t> </w:t>
      </w:r>
      <w:r>
        <w:rPr>
          <w:sz w:val="20"/>
        </w:rPr>
        <w:t>participants</w:t>
      </w:r>
      <w:r>
        <w:rPr>
          <w:spacing w:val="-5"/>
          <w:sz w:val="20"/>
        </w:rPr>
        <w:t> </w:t>
      </w:r>
      <w:r>
        <w:rPr>
          <w:sz w:val="20"/>
        </w:rPr>
        <w:t>said they would use Acas again, were they to find themselves in a similar position.</w:t>
      </w:r>
    </w:p>
    <w:p>
      <w:pPr>
        <w:pStyle w:val="BodyText"/>
      </w:pPr>
    </w:p>
    <w:p>
      <w:pPr>
        <w:pStyle w:val="BodyText"/>
        <w:spacing w:before="8"/>
        <w:rPr>
          <w:sz w:val="28"/>
        </w:rPr>
      </w:pPr>
    </w:p>
    <w:p>
      <w:pPr>
        <w:pStyle w:val="Heading3"/>
        <w:numPr>
          <w:ilvl w:val="1"/>
          <w:numId w:val="2"/>
        </w:numPr>
        <w:tabs>
          <w:tab w:pos="2042" w:val="left" w:leader="none"/>
        </w:tabs>
        <w:spacing w:line="240" w:lineRule="auto" w:before="100" w:after="0"/>
        <w:ind w:left="2041" w:right="0" w:hanging="705"/>
        <w:jc w:val="both"/>
      </w:pPr>
      <w:bookmarkStart w:name="10.1   EC outcomes" w:id="90"/>
      <w:bookmarkEnd w:id="90"/>
      <w:r>
        <w:rPr>
          <w:b w:val="0"/>
        </w:rPr>
      </w:r>
      <w:bookmarkStart w:name="_bookmark23" w:id="91"/>
      <w:bookmarkEnd w:id="91"/>
      <w:r>
        <w:rPr/>
        <w:t>E</w:t>
      </w:r>
      <w:r>
        <w:rPr/>
        <w:t>C</w:t>
      </w:r>
      <w:r>
        <w:rPr>
          <w:spacing w:val="-3"/>
        </w:rPr>
        <w:t> </w:t>
      </w:r>
      <w:r>
        <w:rPr>
          <w:spacing w:val="-2"/>
        </w:rPr>
        <w:t>outcomes</w:t>
      </w:r>
    </w:p>
    <w:p>
      <w:pPr>
        <w:pStyle w:val="BodyText"/>
        <w:spacing w:before="60"/>
        <w:ind w:left="1337" w:right="1472"/>
        <w:jc w:val="both"/>
        <w:rPr>
          <w:sz w:val="13"/>
        </w:rPr>
      </w:pPr>
      <w:r>
        <w:rPr/>
        <w:t>Although case outcome is recorded in the Acas Management Information system from which the surveys were sampled, it was also re-confirmed by both parties during the interview. This reported outcome of EC was used for the analysis conducted throughout this chapter. Given the nature of the sampling design – described at Chapter 5 – findings cannot be combined from both sides to be representative of ‘EC cases’ as a whole and Acas MI, rather than survey data, remains the definitive source for the quantification of case outcome at the overall </w:t>
      </w:r>
      <w:r>
        <w:rPr>
          <w:spacing w:val="-2"/>
        </w:rPr>
        <w:t>level.</w:t>
      </w:r>
      <w:hyperlink w:history="true" w:anchor="_bookmark84">
        <w:r>
          <w:rPr>
            <w:spacing w:val="-2"/>
            <w:position w:val="7"/>
            <w:sz w:val="13"/>
          </w:rPr>
          <w:t>18</w:t>
        </w:r>
      </w:hyperlink>
    </w:p>
    <w:p>
      <w:pPr>
        <w:pStyle w:val="BodyText"/>
      </w:pPr>
    </w:p>
    <w:p>
      <w:pPr>
        <w:pStyle w:val="BodyText"/>
        <w:ind w:left="1337" w:right="1472"/>
        <w:jc w:val="both"/>
      </w:pPr>
      <w:r>
        <w:rPr/>
        <w:t>The</w:t>
      </w:r>
      <w:r>
        <w:rPr>
          <w:spacing w:val="-18"/>
        </w:rPr>
        <w:t> </w:t>
      </w:r>
      <w:r>
        <w:rPr/>
        <w:t>proportion</w:t>
      </w:r>
      <w:r>
        <w:rPr>
          <w:spacing w:val="-18"/>
        </w:rPr>
        <w:t> </w:t>
      </w:r>
      <w:r>
        <w:rPr/>
        <w:t>of</w:t>
      </w:r>
      <w:r>
        <w:rPr>
          <w:spacing w:val="-17"/>
        </w:rPr>
        <w:t> </w:t>
      </w:r>
      <w:r>
        <w:rPr/>
        <w:t>claimant-side</w:t>
      </w:r>
      <w:r>
        <w:rPr>
          <w:spacing w:val="-18"/>
        </w:rPr>
        <w:t> </w:t>
      </w:r>
      <w:r>
        <w:rPr/>
        <w:t>participants</w:t>
      </w:r>
      <w:r>
        <w:rPr>
          <w:spacing w:val="-17"/>
        </w:rPr>
        <w:t> </w:t>
      </w:r>
      <w:r>
        <w:rPr/>
        <w:t>in</w:t>
      </w:r>
      <w:r>
        <w:rPr>
          <w:spacing w:val="-18"/>
        </w:rPr>
        <w:t> </w:t>
      </w:r>
      <w:r>
        <w:rPr/>
        <w:t>the</w:t>
      </w:r>
      <w:r>
        <w:rPr>
          <w:spacing w:val="-18"/>
        </w:rPr>
        <w:t> </w:t>
      </w:r>
      <w:r>
        <w:rPr/>
        <w:t>survey</w:t>
      </w:r>
      <w:r>
        <w:rPr>
          <w:spacing w:val="-17"/>
        </w:rPr>
        <w:t> </w:t>
      </w:r>
      <w:r>
        <w:rPr/>
        <w:t>reporting</w:t>
      </w:r>
      <w:r>
        <w:rPr>
          <w:spacing w:val="-18"/>
        </w:rPr>
        <w:t> </w:t>
      </w:r>
      <w:r>
        <w:rPr/>
        <w:t>that</w:t>
      </w:r>
      <w:r>
        <w:rPr>
          <w:spacing w:val="-17"/>
        </w:rPr>
        <w:t> </w:t>
      </w:r>
      <w:r>
        <w:rPr/>
        <w:t>conciliation had</w:t>
      </w:r>
      <w:r>
        <w:rPr>
          <w:spacing w:val="-7"/>
        </w:rPr>
        <w:t> </w:t>
      </w:r>
      <w:r>
        <w:rPr/>
        <w:t>taken</w:t>
      </w:r>
      <w:r>
        <w:rPr>
          <w:spacing w:val="-6"/>
        </w:rPr>
        <w:t> </w:t>
      </w:r>
      <w:r>
        <w:rPr/>
        <w:t>place</w:t>
      </w:r>
      <w:r>
        <w:rPr>
          <w:spacing w:val="-6"/>
        </w:rPr>
        <w:t> </w:t>
      </w:r>
      <w:r>
        <w:rPr/>
        <w:t>represented</w:t>
      </w:r>
      <w:r>
        <w:rPr>
          <w:spacing w:val="-7"/>
        </w:rPr>
        <w:t> </w:t>
      </w:r>
      <w:r>
        <w:rPr/>
        <w:t>over</w:t>
      </w:r>
      <w:r>
        <w:rPr>
          <w:spacing w:val="-7"/>
        </w:rPr>
        <w:t> </w:t>
      </w:r>
      <w:r>
        <w:rPr/>
        <w:t>half</w:t>
      </w:r>
      <w:r>
        <w:rPr>
          <w:spacing w:val="-5"/>
        </w:rPr>
        <w:t> </w:t>
      </w:r>
      <w:r>
        <w:rPr/>
        <w:t>of</w:t>
      </w:r>
      <w:r>
        <w:rPr>
          <w:spacing w:val="-5"/>
        </w:rPr>
        <w:t> </w:t>
      </w:r>
      <w:r>
        <w:rPr/>
        <w:t>all</w:t>
      </w:r>
      <w:r>
        <w:rPr>
          <w:spacing w:val="-7"/>
        </w:rPr>
        <w:t> </w:t>
      </w:r>
      <w:r>
        <w:rPr/>
        <w:t>cases</w:t>
      </w:r>
      <w:r>
        <w:rPr>
          <w:spacing w:val="-6"/>
        </w:rPr>
        <w:t> </w:t>
      </w:r>
      <w:r>
        <w:rPr/>
        <w:t>(58</w:t>
      </w:r>
      <w:r>
        <w:rPr>
          <w:spacing w:val="-7"/>
        </w:rPr>
        <w:t> </w:t>
      </w:r>
      <w:r>
        <w:rPr/>
        <w:t>per</w:t>
      </w:r>
      <w:r>
        <w:rPr>
          <w:spacing w:val="-7"/>
        </w:rPr>
        <w:t> </w:t>
      </w:r>
      <w:r>
        <w:rPr/>
        <w:t>cent).</w:t>
      </w:r>
      <w:r>
        <w:rPr>
          <w:spacing w:val="-7"/>
        </w:rPr>
        <w:t> </w:t>
      </w:r>
      <w:r>
        <w:rPr/>
        <w:t>Among</w:t>
      </w:r>
      <w:r>
        <w:rPr>
          <w:spacing w:val="-6"/>
        </w:rPr>
        <w:t> </w:t>
      </w:r>
      <w:r>
        <w:rPr/>
        <w:t>those</w:t>
      </w:r>
      <w:r>
        <w:rPr>
          <w:spacing w:val="-7"/>
        </w:rPr>
        <w:t> </w:t>
      </w:r>
      <w:r>
        <w:rPr/>
        <w:t>who took</w:t>
      </w:r>
      <w:r>
        <w:rPr>
          <w:spacing w:val="-2"/>
        </w:rPr>
        <w:t> </w:t>
      </w:r>
      <w:r>
        <w:rPr/>
        <w:t>part</w:t>
      </w:r>
      <w:r>
        <w:rPr>
          <w:spacing w:val="-2"/>
        </w:rPr>
        <w:t> </w:t>
      </w:r>
      <w:r>
        <w:rPr/>
        <w:t>in</w:t>
      </w:r>
      <w:r>
        <w:rPr>
          <w:spacing w:val="-2"/>
        </w:rPr>
        <w:t> </w:t>
      </w:r>
      <w:r>
        <w:rPr/>
        <w:t>EC,</w:t>
      </w:r>
      <w:r>
        <w:rPr>
          <w:spacing w:val="-2"/>
        </w:rPr>
        <w:t> </w:t>
      </w:r>
      <w:r>
        <w:rPr/>
        <w:t>a</w:t>
      </w:r>
      <w:r>
        <w:rPr>
          <w:spacing w:val="-2"/>
        </w:rPr>
        <w:t> </w:t>
      </w:r>
      <w:r>
        <w:rPr/>
        <w:t>quarter</w:t>
      </w:r>
      <w:r>
        <w:rPr>
          <w:spacing w:val="-2"/>
        </w:rPr>
        <w:t> </w:t>
      </w:r>
      <w:r>
        <w:rPr/>
        <w:t>(28</w:t>
      </w:r>
      <w:r>
        <w:rPr>
          <w:spacing w:val="-2"/>
        </w:rPr>
        <w:t> </w:t>
      </w:r>
      <w:r>
        <w:rPr/>
        <w:t>per</w:t>
      </w:r>
      <w:r>
        <w:rPr>
          <w:spacing w:val="-2"/>
        </w:rPr>
        <w:t> </w:t>
      </w:r>
      <w:r>
        <w:rPr/>
        <w:t>cent)</w:t>
      </w:r>
      <w:r>
        <w:rPr>
          <w:spacing w:val="-2"/>
        </w:rPr>
        <w:t> </w:t>
      </w:r>
      <w:r>
        <w:rPr/>
        <w:t>reached</w:t>
      </w:r>
      <w:r>
        <w:rPr>
          <w:spacing w:val="-2"/>
        </w:rPr>
        <w:t> </w:t>
      </w:r>
      <w:r>
        <w:rPr/>
        <w:t>a</w:t>
      </w:r>
      <w:r>
        <w:rPr>
          <w:spacing w:val="-2"/>
        </w:rPr>
        <w:t> </w:t>
      </w:r>
      <w:r>
        <w:rPr/>
        <w:t>COT3</w:t>
      </w:r>
      <w:r>
        <w:rPr>
          <w:spacing w:val="-2"/>
        </w:rPr>
        <w:t> </w:t>
      </w:r>
      <w:r>
        <w:rPr/>
        <w:t>settlement,</w:t>
      </w:r>
      <w:r>
        <w:rPr>
          <w:spacing w:val="-2"/>
        </w:rPr>
        <w:t> </w:t>
      </w:r>
      <w:r>
        <w:rPr/>
        <w:t>while</w:t>
      </w:r>
      <w:r>
        <w:rPr>
          <w:spacing w:val="-2"/>
        </w:rPr>
        <w:t> </w:t>
      </w:r>
      <w:r>
        <w:rPr/>
        <w:t>two</w:t>
      </w:r>
      <w:r>
        <w:rPr>
          <w:spacing w:val="-2"/>
        </w:rPr>
        <w:t> </w:t>
      </w:r>
      <w:r>
        <w:rPr/>
        <w:t>per cent reported a private settlement. Seven in ten (70 per cent) said they were unable</w:t>
      </w:r>
      <w:r>
        <w:rPr>
          <w:spacing w:val="-14"/>
        </w:rPr>
        <w:t> </w:t>
      </w:r>
      <w:r>
        <w:rPr/>
        <w:t>to</w:t>
      </w:r>
      <w:r>
        <w:rPr>
          <w:spacing w:val="-14"/>
        </w:rPr>
        <w:t> </w:t>
      </w:r>
      <w:r>
        <w:rPr/>
        <w:t>reach</w:t>
      </w:r>
      <w:r>
        <w:rPr>
          <w:spacing w:val="-14"/>
        </w:rPr>
        <w:t> </w:t>
      </w:r>
      <w:r>
        <w:rPr/>
        <w:t>either</w:t>
      </w:r>
      <w:r>
        <w:rPr>
          <w:spacing w:val="-14"/>
        </w:rPr>
        <w:t> </w:t>
      </w:r>
      <w:r>
        <w:rPr/>
        <w:t>form</w:t>
      </w:r>
      <w:r>
        <w:rPr>
          <w:spacing w:val="-14"/>
        </w:rPr>
        <w:t> </w:t>
      </w:r>
      <w:r>
        <w:rPr/>
        <w:t>of</w:t>
      </w:r>
      <w:r>
        <w:rPr>
          <w:spacing w:val="-14"/>
        </w:rPr>
        <w:t> </w:t>
      </w:r>
      <w:r>
        <w:rPr/>
        <w:t>settlement</w:t>
      </w:r>
      <w:hyperlink w:history="true" w:anchor="_bookmark85">
        <w:r>
          <w:rPr>
            <w:position w:val="7"/>
            <w:sz w:val="13"/>
          </w:rPr>
          <w:t>19</w:t>
        </w:r>
      </w:hyperlink>
      <w:r>
        <w:rPr/>
        <w:t>.</w:t>
      </w:r>
      <w:r>
        <w:rPr>
          <w:spacing w:val="43"/>
        </w:rPr>
        <w:t> </w:t>
      </w:r>
      <w:r>
        <w:rPr/>
        <w:t>As</w:t>
      </w:r>
      <w:r>
        <w:rPr>
          <w:spacing w:val="-14"/>
        </w:rPr>
        <w:t> </w:t>
      </w:r>
      <w:r>
        <w:rPr/>
        <w:t>for</w:t>
      </w:r>
      <w:r>
        <w:rPr>
          <w:spacing w:val="-14"/>
        </w:rPr>
        <w:t> </w:t>
      </w:r>
      <w:r>
        <w:rPr/>
        <w:t>employer-side</w:t>
      </w:r>
      <w:r>
        <w:rPr>
          <w:spacing w:val="-15"/>
        </w:rPr>
        <w:t> </w:t>
      </w:r>
      <w:r>
        <w:rPr/>
        <w:t>participants</w:t>
      </w:r>
      <w:r>
        <w:rPr>
          <w:spacing w:val="-15"/>
        </w:rPr>
        <w:t> </w:t>
      </w:r>
      <w:r>
        <w:rPr>
          <w:spacing w:val="-4"/>
        </w:rPr>
        <w:t>who,</w:t>
      </w:r>
    </w:p>
    <w:p>
      <w:pPr>
        <w:spacing w:after="0"/>
        <w:jc w:val="both"/>
        <w:sectPr>
          <w:pgSz w:w="11910" w:h="16840"/>
          <w:pgMar w:header="0" w:footer="996" w:top="1340" w:bottom="1180" w:left="460" w:right="320"/>
        </w:sectPr>
      </w:pPr>
    </w:p>
    <w:p>
      <w:pPr>
        <w:pStyle w:val="BodyText"/>
        <w:spacing w:before="82"/>
        <w:ind w:left="1337" w:right="1471" w:hanging="1"/>
        <w:jc w:val="both"/>
      </w:pPr>
      <w:r>
        <w:rPr/>
        <w:t>it should be borne in mind, are not surveyed in cases where the claimant refused EC – eight in ten (78 per cent) reported having taken part in EC. Results for this group aligned closely with claimants: a quarter (26 per cent) reported reaching a COT3 settlement, two per cent reached a settlement privately and three-quarters (72 per cent) said they were unable to reach either form of agreement.</w:t>
      </w:r>
    </w:p>
    <w:p>
      <w:pPr>
        <w:pStyle w:val="BodyText"/>
        <w:spacing w:before="1"/>
      </w:pPr>
    </w:p>
    <w:p>
      <w:pPr>
        <w:pStyle w:val="Heading3"/>
        <w:numPr>
          <w:ilvl w:val="1"/>
          <w:numId w:val="2"/>
        </w:numPr>
        <w:tabs>
          <w:tab w:pos="1972" w:val="left" w:leader="none"/>
        </w:tabs>
        <w:spacing w:line="240" w:lineRule="auto" w:before="0" w:after="0"/>
        <w:ind w:left="1971" w:right="0" w:hanging="635"/>
        <w:jc w:val="left"/>
      </w:pPr>
      <w:bookmarkStart w:name="_TOC_250007" w:id="92"/>
      <w:bookmarkStart w:name="10.2  Drivers of successful case outcome" w:id="93"/>
      <w:r>
        <w:rPr/>
        <w:t>D</w:t>
      </w:r>
      <w:r>
        <w:rPr/>
        <w:t>rivers</w:t>
      </w:r>
      <w:r>
        <w:rPr>
          <w:spacing w:val="-7"/>
        </w:rPr>
        <w:t> </w:t>
      </w:r>
      <w:r>
        <w:rPr/>
        <w:t>of</w:t>
      </w:r>
      <w:r>
        <w:rPr>
          <w:spacing w:val="-6"/>
        </w:rPr>
        <w:t> </w:t>
      </w:r>
      <w:r>
        <w:rPr/>
        <w:t>successful</w:t>
      </w:r>
      <w:r>
        <w:rPr>
          <w:spacing w:val="-7"/>
        </w:rPr>
        <w:t> </w:t>
      </w:r>
      <w:r>
        <w:rPr/>
        <w:t>case</w:t>
      </w:r>
      <w:r>
        <w:rPr>
          <w:spacing w:val="-7"/>
        </w:rPr>
        <w:t> </w:t>
      </w:r>
      <w:bookmarkEnd w:id="92"/>
      <w:r>
        <w:rPr>
          <w:spacing w:val="-2"/>
        </w:rPr>
        <w:t>outcome</w:t>
      </w:r>
    </w:p>
    <w:p>
      <w:pPr>
        <w:pStyle w:val="BodyText"/>
        <w:spacing w:before="59"/>
        <w:ind w:left="1337" w:right="1472"/>
      </w:pPr>
      <w:r>
        <w:rPr/>
        <w:t>Throughout this report a series of regression analyses have been conducted to understand the factors associated with the likelihood of service users using different parts of the EC service. These models examine the factors ‘driving’ whether claimants and employers came to a settlement in their case (representatives</w:t>
      </w:r>
      <w:r>
        <w:rPr>
          <w:spacing w:val="-4"/>
        </w:rPr>
        <w:t> </w:t>
      </w:r>
      <w:r>
        <w:rPr/>
        <w:t>were</w:t>
      </w:r>
      <w:r>
        <w:rPr>
          <w:spacing w:val="-2"/>
        </w:rPr>
        <w:t> </w:t>
      </w:r>
      <w:r>
        <w:rPr/>
        <w:t>not</w:t>
      </w:r>
      <w:r>
        <w:rPr>
          <w:spacing w:val="-2"/>
        </w:rPr>
        <w:t> </w:t>
      </w:r>
      <w:r>
        <w:rPr/>
        <w:t>included</w:t>
      </w:r>
      <w:r>
        <w:rPr>
          <w:spacing w:val="-3"/>
        </w:rPr>
        <w:t> </w:t>
      </w:r>
      <w:r>
        <w:rPr/>
        <w:t>in</w:t>
      </w:r>
      <w:r>
        <w:rPr>
          <w:spacing w:val="-2"/>
        </w:rPr>
        <w:t> </w:t>
      </w:r>
      <w:r>
        <w:rPr/>
        <w:t>either</w:t>
      </w:r>
      <w:r>
        <w:rPr>
          <w:spacing w:val="-4"/>
        </w:rPr>
        <w:t> </w:t>
      </w:r>
      <w:r>
        <w:rPr/>
        <w:t>model).</w:t>
      </w:r>
      <w:r>
        <w:rPr>
          <w:position w:val="7"/>
          <w:sz w:val="13"/>
        </w:rPr>
        <w:t>20</w:t>
      </w:r>
      <w:r>
        <w:rPr>
          <w:spacing w:val="20"/>
          <w:position w:val="7"/>
          <w:sz w:val="13"/>
        </w:rPr>
        <w:t> </w:t>
      </w:r>
      <w:r>
        <w:rPr/>
        <w:t>Note</w:t>
      </w:r>
      <w:r>
        <w:rPr>
          <w:spacing w:val="-4"/>
        </w:rPr>
        <w:t> </w:t>
      </w:r>
      <w:r>
        <w:rPr/>
        <w:t>that</w:t>
      </w:r>
      <w:r>
        <w:rPr>
          <w:spacing w:val="-2"/>
        </w:rPr>
        <w:t> </w:t>
      </w:r>
      <w:r>
        <w:rPr/>
        <w:t>these</w:t>
      </w:r>
      <w:r>
        <w:rPr>
          <w:spacing w:val="-4"/>
        </w:rPr>
        <w:t> </w:t>
      </w:r>
      <w:r>
        <w:rPr/>
        <w:t>models</w:t>
      </w:r>
      <w:r>
        <w:rPr>
          <w:spacing w:val="-4"/>
        </w:rPr>
        <w:t> </w:t>
      </w:r>
      <w:r>
        <w:rPr/>
        <w:t>are used to measure associations between variables, not causation.</w:t>
      </w:r>
    </w:p>
    <w:p>
      <w:pPr>
        <w:pStyle w:val="BodyText"/>
      </w:pPr>
    </w:p>
    <w:p>
      <w:pPr>
        <w:pStyle w:val="BodyText"/>
        <w:ind w:left="1337" w:right="1472"/>
      </w:pPr>
      <w:r>
        <w:rPr/>
        <w:t>To</w:t>
      </w:r>
      <w:r>
        <w:rPr>
          <w:spacing w:val="-4"/>
        </w:rPr>
        <w:t> </w:t>
      </w:r>
      <w:r>
        <w:rPr/>
        <w:t>provide</w:t>
      </w:r>
      <w:r>
        <w:rPr>
          <w:spacing w:val="-4"/>
        </w:rPr>
        <w:t> </w:t>
      </w:r>
      <w:r>
        <w:rPr/>
        <w:t>understanding</w:t>
      </w:r>
      <w:r>
        <w:rPr>
          <w:spacing w:val="-3"/>
        </w:rPr>
        <w:t> </w:t>
      </w:r>
      <w:r>
        <w:rPr/>
        <w:t>on</w:t>
      </w:r>
      <w:r>
        <w:rPr>
          <w:spacing w:val="-2"/>
        </w:rPr>
        <w:t> </w:t>
      </w:r>
      <w:r>
        <w:rPr/>
        <w:t>the</w:t>
      </w:r>
      <w:r>
        <w:rPr>
          <w:spacing w:val="-4"/>
        </w:rPr>
        <w:t> </w:t>
      </w:r>
      <w:r>
        <w:rPr/>
        <w:t>impact</w:t>
      </w:r>
      <w:r>
        <w:rPr>
          <w:spacing w:val="-2"/>
        </w:rPr>
        <w:t> </w:t>
      </w:r>
      <w:r>
        <w:rPr/>
        <w:t>of</w:t>
      </w:r>
      <w:r>
        <w:rPr>
          <w:spacing w:val="-4"/>
        </w:rPr>
        <w:t> </w:t>
      </w:r>
      <w:r>
        <w:rPr/>
        <w:t>‘internal’</w:t>
      </w:r>
      <w:r>
        <w:rPr>
          <w:spacing w:val="-4"/>
        </w:rPr>
        <w:t> </w:t>
      </w:r>
      <w:r>
        <w:rPr/>
        <w:t>factors</w:t>
      </w:r>
      <w:r>
        <w:rPr>
          <w:spacing w:val="-4"/>
        </w:rPr>
        <w:t> </w:t>
      </w:r>
      <w:r>
        <w:rPr/>
        <w:t>(those</w:t>
      </w:r>
      <w:r>
        <w:rPr>
          <w:spacing w:val="-4"/>
        </w:rPr>
        <w:t> </w:t>
      </w:r>
      <w:r>
        <w:rPr/>
        <w:t>within</w:t>
      </w:r>
      <w:r>
        <w:rPr>
          <w:spacing w:val="-2"/>
        </w:rPr>
        <w:t> </w:t>
      </w:r>
      <w:r>
        <w:rPr/>
        <w:t>Acas’ control such as conciliator performance) and ‘external’ ones (e.g. claimant or employer characteristics) separate models have been established for both.</w:t>
      </w:r>
    </w:p>
    <w:p>
      <w:pPr>
        <w:pStyle w:val="BodyText"/>
      </w:pPr>
    </w:p>
    <w:p>
      <w:pPr>
        <w:pStyle w:val="Heading4"/>
        <w:spacing w:line="243" w:lineRule="exact"/>
        <w:jc w:val="left"/>
        <w:rPr>
          <w:i/>
        </w:rPr>
      </w:pPr>
      <w:bookmarkStart w:name="Among claimants – internal factors" w:id="94"/>
      <w:bookmarkEnd w:id="94"/>
      <w:r>
        <w:rPr>
          <w:b w:val="0"/>
          <w:i w:val="0"/>
        </w:rPr>
      </w:r>
      <w:r>
        <w:rPr>
          <w:i/>
        </w:rPr>
        <w:t>Among</w:t>
      </w:r>
      <w:r>
        <w:rPr>
          <w:i/>
          <w:spacing w:val="-9"/>
        </w:rPr>
        <w:t> </w:t>
      </w:r>
      <w:r>
        <w:rPr>
          <w:i/>
        </w:rPr>
        <w:t>claimants</w:t>
      </w:r>
      <w:r>
        <w:rPr>
          <w:i/>
          <w:spacing w:val="-6"/>
        </w:rPr>
        <w:t> </w:t>
      </w:r>
      <w:r>
        <w:rPr>
          <w:i/>
        </w:rPr>
        <w:t>–</w:t>
      </w:r>
      <w:r>
        <w:rPr>
          <w:i/>
          <w:spacing w:val="-6"/>
        </w:rPr>
        <w:t> </w:t>
      </w:r>
      <w:r>
        <w:rPr>
          <w:i/>
        </w:rPr>
        <w:t>internal</w:t>
      </w:r>
      <w:r>
        <w:rPr>
          <w:i/>
          <w:spacing w:val="-6"/>
        </w:rPr>
        <w:t> </w:t>
      </w:r>
      <w:r>
        <w:rPr>
          <w:i/>
          <w:spacing w:val="-2"/>
        </w:rPr>
        <w:t>factors</w:t>
      </w:r>
    </w:p>
    <w:p>
      <w:pPr>
        <w:pStyle w:val="BodyText"/>
        <w:ind w:left="1337" w:right="1472"/>
      </w:pPr>
      <w:r>
        <w:rPr/>
        <w:t>The independent internal variables which were found to be determinants of whether</w:t>
      </w:r>
      <w:r>
        <w:rPr>
          <w:spacing w:val="-2"/>
        </w:rPr>
        <w:t> </w:t>
      </w:r>
      <w:r>
        <w:rPr/>
        <w:t>claimants</w:t>
      </w:r>
      <w:r>
        <w:rPr>
          <w:spacing w:val="-4"/>
        </w:rPr>
        <w:t> </w:t>
      </w:r>
      <w:r>
        <w:rPr/>
        <w:t>successfully</w:t>
      </w:r>
      <w:r>
        <w:rPr>
          <w:spacing w:val="-4"/>
        </w:rPr>
        <w:t> </w:t>
      </w:r>
      <w:r>
        <w:rPr/>
        <w:t>settled</w:t>
      </w:r>
      <w:r>
        <w:rPr>
          <w:spacing w:val="-2"/>
        </w:rPr>
        <w:t> </w:t>
      </w:r>
      <w:r>
        <w:rPr/>
        <w:t>their</w:t>
      </w:r>
      <w:r>
        <w:rPr>
          <w:spacing w:val="-4"/>
        </w:rPr>
        <w:t> </w:t>
      </w:r>
      <w:r>
        <w:rPr/>
        <w:t>EC case</w:t>
      </w:r>
      <w:r>
        <w:rPr>
          <w:spacing w:val="-4"/>
        </w:rPr>
        <w:t> </w:t>
      </w:r>
      <w:r>
        <w:rPr/>
        <w:t>are</w:t>
      </w:r>
      <w:r>
        <w:rPr>
          <w:spacing w:val="-4"/>
        </w:rPr>
        <w:t> </w:t>
      </w:r>
      <w:r>
        <w:rPr/>
        <w:t>listed</w:t>
      </w:r>
      <w:r>
        <w:rPr>
          <w:spacing w:val="-3"/>
        </w:rPr>
        <w:t> </w:t>
      </w:r>
      <w:r>
        <w:rPr/>
        <w:t>below,</w:t>
      </w:r>
      <w:r>
        <w:rPr>
          <w:spacing w:val="-4"/>
        </w:rPr>
        <w:t> </w:t>
      </w:r>
      <w:r>
        <w:rPr/>
        <w:t>in</w:t>
      </w:r>
      <w:r>
        <w:rPr>
          <w:spacing w:val="-2"/>
        </w:rPr>
        <w:t> </w:t>
      </w:r>
      <w:r>
        <w:rPr/>
        <w:t>order</w:t>
      </w:r>
      <w:r>
        <w:rPr>
          <w:spacing w:val="-4"/>
        </w:rPr>
        <w:t> </w:t>
      </w:r>
      <w:r>
        <w:rPr/>
        <w:t>of predictive strength (See Figure 9):</w:t>
      </w:r>
    </w:p>
    <w:p>
      <w:pPr>
        <w:pStyle w:val="BodyText"/>
        <w:spacing w:before="11"/>
        <w:rPr>
          <w:sz w:val="19"/>
        </w:rPr>
      </w:pPr>
    </w:p>
    <w:p>
      <w:pPr>
        <w:pStyle w:val="ListParagraph"/>
        <w:numPr>
          <w:ilvl w:val="0"/>
          <w:numId w:val="23"/>
        </w:numPr>
        <w:tabs>
          <w:tab w:pos="2058" w:val="left" w:leader="none"/>
        </w:tabs>
        <w:spacing w:line="240" w:lineRule="auto" w:before="1" w:after="0"/>
        <w:ind w:left="2057" w:right="1475" w:hanging="360"/>
        <w:jc w:val="both"/>
        <w:rPr>
          <w:rFonts w:ascii="Symbol" w:hAnsi="Symbol"/>
          <w:sz w:val="20"/>
        </w:rPr>
      </w:pPr>
      <w:r>
        <w:rPr>
          <w:i/>
          <w:sz w:val="20"/>
        </w:rPr>
        <w:t>Importance of Acas in brokering a resolution</w:t>
      </w:r>
      <w:r>
        <w:rPr>
          <w:sz w:val="20"/>
        </w:rPr>
        <w:t>: Agreeing that Acas was important</w:t>
      </w:r>
      <w:r>
        <w:rPr>
          <w:spacing w:val="-10"/>
          <w:sz w:val="20"/>
        </w:rPr>
        <w:t> </w:t>
      </w:r>
      <w:r>
        <w:rPr>
          <w:sz w:val="20"/>
        </w:rPr>
        <w:t>in</w:t>
      </w:r>
      <w:r>
        <w:rPr>
          <w:spacing w:val="-9"/>
          <w:sz w:val="20"/>
        </w:rPr>
        <w:t> </w:t>
      </w:r>
      <w:r>
        <w:rPr>
          <w:sz w:val="20"/>
        </w:rPr>
        <w:t>helping</w:t>
      </w:r>
      <w:r>
        <w:rPr>
          <w:spacing w:val="-10"/>
          <w:sz w:val="20"/>
        </w:rPr>
        <w:t> </w:t>
      </w:r>
      <w:r>
        <w:rPr>
          <w:sz w:val="20"/>
        </w:rPr>
        <w:t>move</w:t>
      </w:r>
      <w:r>
        <w:rPr>
          <w:spacing w:val="-11"/>
          <w:sz w:val="20"/>
        </w:rPr>
        <w:t> </w:t>
      </w:r>
      <w:r>
        <w:rPr>
          <w:sz w:val="20"/>
        </w:rPr>
        <w:t>the</w:t>
      </w:r>
      <w:r>
        <w:rPr>
          <w:spacing w:val="-11"/>
          <w:sz w:val="20"/>
        </w:rPr>
        <w:t> </w:t>
      </w:r>
      <w:r>
        <w:rPr>
          <w:sz w:val="20"/>
        </w:rPr>
        <w:t>two</w:t>
      </w:r>
      <w:r>
        <w:rPr>
          <w:spacing w:val="-11"/>
          <w:sz w:val="20"/>
        </w:rPr>
        <w:t> </w:t>
      </w:r>
      <w:r>
        <w:rPr>
          <w:sz w:val="20"/>
        </w:rPr>
        <w:t>parties</w:t>
      </w:r>
      <w:r>
        <w:rPr>
          <w:spacing w:val="-11"/>
          <w:sz w:val="20"/>
        </w:rPr>
        <w:t> </w:t>
      </w:r>
      <w:r>
        <w:rPr>
          <w:sz w:val="20"/>
        </w:rPr>
        <w:t>closer</w:t>
      </w:r>
      <w:r>
        <w:rPr>
          <w:spacing w:val="-9"/>
          <w:sz w:val="20"/>
        </w:rPr>
        <w:t> </w:t>
      </w:r>
      <w:r>
        <w:rPr>
          <w:sz w:val="20"/>
        </w:rPr>
        <w:t>towards</w:t>
      </w:r>
      <w:r>
        <w:rPr>
          <w:spacing w:val="-9"/>
          <w:sz w:val="20"/>
        </w:rPr>
        <w:t> </w:t>
      </w:r>
      <w:r>
        <w:rPr>
          <w:sz w:val="20"/>
        </w:rPr>
        <w:t>resolving</w:t>
      </w:r>
      <w:r>
        <w:rPr>
          <w:spacing w:val="-10"/>
          <w:sz w:val="20"/>
        </w:rPr>
        <w:t> </w:t>
      </w:r>
      <w:r>
        <w:rPr>
          <w:sz w:val="20"/>
        </w:rPr>
        <w:t>the</w:t>
      </w:r>
      <w:r>
        <w:rPr>
          <w:spacing w:val="-11"/>
          <w:sz w:val="20"/>
        </w:rPr>
        <w:t> </w:t>
      </w:r>
      <w:r>
        <w:rPr>
          <w:sz w:val="20"/>
        </w:rPr>
        <w:t>case was associated with a significantly higher likelihood of a successful case </w:t>
      </w:r>
      <w:r>
        <w:rPr>
          <w:spacing w:val="-2"/>
          <w:sz w:val="20"/>
        </w:rPr>
        <w:t>resolution.</w:t>
      </w:r>
    </w:p>
    <w:p>
      <w:pPr>
        <w:pStyle w:val="ListParagraph"/>
        <w:numPr>
          <w:ilvl w:val="0"/>
          <w:numId w:val="23"/>
        </w:numPr>
        <w:tabs>
          <w:tab w:pos="2057" w:val="left" w:leader="none"/>
        </w:tabs>
        <w:spacing w:line="240" w:lineRule="auto" w:before="0" w:after="0"/>
        <w:ind w:left="2057" w:right="1474" w:hanging="361"/>
        <w:jc w:val="both"/>
        <w:rPr>
          <w:rFonts w:ascii="Symbol" w:hAnsi="Symbol"/>
          <w:sz w:val="20"/>
        </w:rPr>
      </w:pPr>
      <w:r>
        <w:rPr>
          <w:i/>
          <w:sz w:val="20"/>
        </w:rPr>
        <w:t>Information</w:t>
      </w:r>
      <w:r>
        <w:rPr>
          <w:i/>
          <w:spacing w:val="-7"/>
          <w:sz w:val="20"/>
        </w:rPr>
        <w:t> </w:t>
      </w:r>
      <w:r>
        <w:rPr>
          <w:i/>
          <w:sz w:val="20"/>
        </w:rPr>
        <w:t>provided</w:t>
      </w:r>
      <w:r>
        <w:rPr>
          <w:i/>
          <w:spacing w:val="-8"/>
          <w:sz w:val="20"/>
        </w:rPr>
        <w:t> </w:t>
      </w:r>
      <w:r>
        <w:rPr>
          <w:i/>
          <w:sz w:val="20"/>
        </w:rPr>
        <w:t>at</w:t>
      </w:r>
      <w:r>
        <w:rPr>
          <w:i/>
          <w:spacing w:val="-5"/>
          <w:sz w:val="20"/>
        </w:rPr>
        <w:t> </w:t>
      </w:r>
      <w:r>
        <w:rPr>
          <w:i/>
          <w:sz w:val="20"/>
        </w:rPr>
        <w:t>the</w:t>
      </w:r>
      <w:r>
        <w:rPr>
          <w:i/>
          <w:spacing w:val="-7"/>
          <w:sz w:val="20"/>
        </w:rPr>
        <w:t> </w:t>
      </w:r>
      <w:r>
        <w:rPr>
          <w:i/>
          <w:sz w:val="20"/>
        </w:rPr>
        <w:t>EC</w:t>
      </w:r>
      <w:r>
        <w:rPr>
          <w:i/>
          <w:spacing w:val="-8"/>
          <w:sz w:val="20"/>
        </w:rPr>
        <w:t> </w:t>
      </w:r>
      <w:r>
        <w:rPr>
          <w:i/>
          <w:sz w:val="20"/>
        </w:rPr>
        <w:t>notification</w:t>
      </w:r>
      <w:r>
        <w:rPr>
          <w:i/>
          <w:spacing w:val="-5"/>
          <w:sz w:val="20"/>
        </w:rPr>
        <w:t> </w:t>
      </w:r>
      <w:r>
        <w:rPr>
          <w:i/>
          <w:sz w:val="20"/>
        </w:rPr>
        <w:t>form</w:t>
      </w:r>
      <w:r>
        <w:rPr>
          <w:i/>
          <w:spacing w:val="-6"/>
          <w:sz w:val="20"/>
        </w:rPr>
        <w:t> </w:t>
      </w:r>
      <w:r>
        <w:rPr>
          <w:i/>
          <w:sz w:val="20"/>
        </w:rPr>
        <w:t>submission</w:t>
      </w:r>
      <w:r>
        <w:rPr>
          <w:i/>
          <w:spacing w:val="-7"/>
          <w:sz w:val="20"/>
        </w:rPr>
        <w:t> </w:t>
      </w:r>
      <w:r>
        <w:rPr>
          <w:i/>
          <w:sz w:val="20"/>
        </w:rPr>
        <w:t>stage</w:t>
      </w:r>
      <w:r>
        <w:rPr>
          <w:sz w:val="20"/>
        </w:rPr>
        <w:t>:</w:t>
      </w:r>
      <w:r>
        <w:rPr>
          <w:spacing w:val="-8"/>
          <w:sz w:val="20"/>
        </w:rPr>
        <w:t> </w:t>
      </w:r>
      <w:r>
        <w:rPr>
          <w:sz w:val="20"/>
        </w:rPr>
        <w:t>Another strong</w:t>
      </w:r>
      <w:r>
        <w:rPr>
          <w:spacing w:val="-1"/>
          <w:sz w:val="20"/>
        </w:rPr>
        <w:t> </w:t>
      </w:r>
      <w:r>
        <w:rPr>
          <w:sz w:val="20"/>
        </w:rPr>
        <w:t>predictor</w:t>
      </w:r>
      <w:r>
        <w:rPr>
          <w:spacing w:val="-3"/>
          <w:sz w:val="20"/>
        </w:rPr>
        <w:t> </w:t>
      </w:r>
      <w:r>
        <w:rPr>
          <w:sz w:val="20"/>
        </w:rPr>
        <w:t>was</w:t>
      </w:r>
      <w:r>
        <w:rPr>
          <w:spacing w:val="-2"/>
          <w:sz w:val="20"/>
        </w:rPr>
        <w:t> </w:t>
      </w:r>
      <w:r>
        <w:rPr>
          <w:sz w:val="20"/>
        </w:rPr>
        <w:t>agreeing</w:t>
      </w:r>
      <w:r>
        <w:rPr>
          <w:spacing w:val="-1"/>
          <w:sz w:val="20"/>
        </w:rPr>
        <w:t> </w:t>
      </w:r>
      <w:r>
        <w:rPr>
          <w:sz w:val="20"/>
        </w:rPr>
        <w:t>that</w:t>
      </w:r>
      <w:r>
        <w:rPr>
          <w:spacing w:val="-1"/>
          <w:sz w:val="20"/>
        </w:rPr>
        <w:t> </w:t>
      </w:r>
      <w:r>
        <w:rPr>
          <w:sz w:val="20"/>
        </w:rPr>
        <w:t>the</w:t>
      </w:r>
      <w:r>
        <w:rPr>
          <w:spacing w:val="-3"/>
          <w:sz w:val="20"/>
        </w:rPr>
        <w:t> </w:t>
      </w:r>
      <w:r>
        <w:rPr>
          <w:sz w:val="20"/>
        </w:rPr>
        <w:t>information</w:t>
      </w:r>
      <w:r>
        <w:rPr>
          <w:spacing w:val="-1"/>
          <w:sz w:val="20"/>
        </w:rPr>
        <w:t> </w:t>
      </w:r>
      <w:r>
        <w:rPr>
          <w:sz w:val="20"/>
        </w:rPr>
        <w:t>provided</w:t>
      </w:r>
      <w:r>
        <w:rPr>
          <w:spacing w:val="-1"/>
          <w:sz w:val="20"/>
        </w:rPr>
        <w:t> </w:t>
      </w:r>
      <w:r>
        <w:rPr>
          <w:sz w:val="20"/>
        </w:rPr>
        <w:t>by</w:t>
      </w:r>
      <w:r>
        <w:rPr>
          <w:spacing w:val="-2"/>
          <w:sz w:val="20"/>
        </w:rPr>
        <w:t> </w:t>
      </w:r>
      <w:r>
        <w:rPr>
          <w:sz w:val="20"/>
        </w:rPr>
        <w:t>Acas at the EC form submission stage helped them understand how the EC process worked (note that those surveyed used the old version of the notification form, which has since been redesigned).</w:t>
      </w:r>
    </w:p>
    <w:p>
      <w:pPr>
        <w:pStyle w:val="BodyText"/>
        <w:spacing w:before="8"/>
        <w:rPr>
          <w:sz w:val="19"/>
        </w:rPr>
      </w:pPr>
    </w:p>
    <w:p>
      <w:pPr>
        <w:pStyle w:val="Heading3"/>
        <w:spacing w:before="1"/>
        <w:ind w:right="1472"/>
        <w:jc w:val="left"/>
      </w:pPr>
      <w:r>
        <w:rPr/>
        <w:t>Figure</w:t>
      </w:r>
      <w:r>
        <w:rPr>
          <w:spacing w:val="80"/>
        </w:rPr>
        <w:t> </w:t>
      </w:r>
      <w:r>
        <w:rPr/>
        <w:t>9.</w:t>
      </w:r>
      <w:r>
        <w:rPr>
          <w:spacing w:val="80"/>
        </w:rPr>
        <w:t> </w:t>
      </w:r>
      <w:r>
        <w:rPr/>
        <w:t>Logistic</w:t>
      </w:r>
      <w:r>
        <w:rPr>
          <w:spacing w:val="80"/>
        </w:rPr>
        <w:t> </w:t>
      </w:r>
      <w:r>
        <w:rPr/>
        <w:t>regression</w:t>
      </w:r>
      <w:r>
        <w:rPr>
          <w:spacing w:val="80"/>
        </w:rPr>
        <w:t> </w:t>
      </w:r>
      <w:r>
        <w:rPr/>
        <w:t>results</w:t>
      </w:r>
      <w:r>
        <w:rPr>
          <w:spacing w:val="80"/>
        </w:rPr>
        <w:t> </w:t>
      </w:r>
      <w:r>
        <w:rPr/>
        <w:t>of</w:t>
      </w:r>
      <w:r>
        <w:rPr>
          <w:spacing w:val="80"/>
        </w:rPr>
        <w:t> </w:t>
      </w:r>
      <w:r>
        <w:rPr/>
        <w:t>internal</w:t>
      </w:r>
      <w:r>
        <w:rPr>
          <w:spacing w:val="80"/>
        </w:rPr>
        <w:t> </w:t>
      </w:r>
      <w:r>
        <w:rPr/>
        <w:t>factors</w:t>
      </w:r>
      <w:r>
        <w:rPr>
          <w:spacing w:val="80"/>
        </w:rPr>
        <w:t> </w:t>
      </w:r>
      <w:r>
        <w:rPr/>
        <w:t>determining claimant settlement</w:t>
      </w:r>
    </w:p>
    <w:p>
      <w:pPr>
        <w:spacing w:before="51"/>
        <w:ind w:left="4657" w:right="0" w:firstLine="0"/>
        <w:jc w:val="left"/>
        <w:rPr>
          <w:b/>
          <w:i/>
          <w:sz w:val="11"/>
        </w:rPr>
      </w:pPr>
      <w:r>
        <w:rPr>
          <w:b/>
          <w:i/>
          <w:color w:val="74AA50"/>
          <w:sz w:val="11"/>
        </w:rPr>
        <w:t>Claimant</w:t>
      </w:r>
      <w:r>
        <w:rPr>
          <w:b/>
          <w:i/>
          <w:color w:val="74AA50"/>
          <w:spacing w:val="1"/>
          <w:sz w:val="11"/>
        </w:rPr>
        <w:t> </w:t>
      </w:r>
      <w:r>
        <w:rPr>
          <w:b/>
          <w:i/>
          <w:color w:val="74AA50"/>
          <w:sz w:val="11"/>
          <w:u w:val="single" w:color="74AA50"/>
        </w:rPr>
        <w:t>more</w:t>
      </w:r>
      <w:r>
        <w:rPr>
          <w:b/>
          <w:i/>
          <w:color w:val="74AA50"/>
          <w:spacing w:val="11"/>
          <w:sz w:val="11"/>
        </w:rPr>
        <w:t> </w:t>
      </w:r>
      <w:r>
        <w:rPr>
          <w:b/>
          <w:i/>
          <w:color w:val="74AA50"/>
          <w:sz w:val="11"/>
        </w:rPr>
        <w:t>likely</w:t>
      </w:r>
      <w:r>
        <w:rPr>
          <w:b/>
          <w:i/>
          <w:color w:val="74AA50"/>
          <w:spacing w:val="13"/>
          <w:sz w:val="11"/>
        </w:rPr>
        <w:t> </w:t>
      </w:r>
      <w:r>
        <w:rPr>
          <w:b/>
          <w:i/>
          <w:color w:val="74AA50"/>
          <w:sz w:val="11"/>
        </w:rPr>
        <w:t>to</w:t>
      </w:r>
      <w:r>
        <w:rPr>
          <w:b/>
          <w:i/>
          <w:color w:val="74AA50"/>
          <w:spacing w:val="8"/>
          <w:sz w:val="11"/>
        </w:rPr>
        <w:t> </w:t>
      </w:r>
      <w:r>
        <w:rPr>
          <w:b/>
          <w:i/>
          <w:color w:val="74AA50"/>
          <w:sz w:val="11"/>
        </w:rPr>
        <w:t>have</w:t>
      </w:r>
      <w:r>
        <w:rPr>
          <w:b/>
          <w:i/>
          <w:color w:val="74AA50"/>
          <w:spacing w:val="11"/>
          <w:sz w:val="11"/>
        </w:rPr>
        <w:t> </w:t>
      </w:r>
      <w:r>
        <w:rPr>
          <w:b/>
          <w:i/>
          <w:color w:val="74AA50"/>
          <w:sz w:val="11"/>
        </w:rPr>
        <w:t>reached</w:t>
      </w:r>
      <w:r>
        <w:rPr>
          <w:b/>
          <w:i/>
          <w:color w:val="74AA50"/>
          <w:spacing w:val="7"/>
          <w:sz w:val="11"/>
        </w:rPr>
        <w:t> </w:t>
      </w:r>
      <w:r>
        <w:rPr>
          <w:b/>
          <w:i/>
          <w:color w:val="74AA50"/>
          <w:sz w:val="11"/>
        </w:rPr>
        <w:t>a</w:t>
      </w:r>
      <w:r>
        <w:rPr>
          <w:b/>
          <w:i/>
          <w:color w:val="74AA50"/>
          <w:spacing w:val="10"/>
          <w:sz w:val="11"/>
        </w:rPr>
        <w:t> </w:t>
      </w:r>
      <w:r>
        <w:rPr>
          <w:b/>
          <w:i/>
          <w:color w:val="74AA50"/>
          <w:spacing w:val="-2"/>
          <w:sz w:val="11"/>
        </w:rPr>
        <w:t>settlement</w:t>
      </w:r>
    </w:p>
    <w:p>
      <w:pPr>
        <w:pStyle w:val="BodyText"/>
        <w:spacing w:before="8"/>
        <w:rPr>
          <w:b/>
          <w:i/>
          <w:sz w:val="28"/>
        </w:rPr>
      </w:pPr>
    </w:p>
    <w:p>
      <w:pPr>
        <w:spacing w:before="102"/>
        <w:ind w:left="2047" w:right="6477" w:hanging="480"/>
        <w:jc w:val="left"/>
        <w:rPr>
          <w:sz w:val="11"/>
        </w:rPr>
      </w:pPr>
      <w:r>
        <w:rPr/>
        <w:pict>
          <v:group style="position:absolute;margin-left:254.169876pt;margin-top:-13.741159pt;width:207.2pt;height:104.35pt;mso-position-horizontal-relative:page;mso-position-vertical-relative:paragraph;z-index:15742464" id="docshapegroup27" coordorigin="5083,-275" coordsize="4144,2087">
            <v:shape style="position:absolute;left:5083;top:-16;width:4144;height:1568" id="docshape28" coordorigin="5083,-15" coordsize="4144,1568" path="m7227,1033l5083,1033,5083,1552,7227,1552,7227,1033xm9227,-15l5083,-15,5083,504,9227,504,9227,-15xe" filled="true" fillcolor="#74aa50" stroked="false">
              <v:path arrowok="t"/>
              <v:fill type="solid"/>
            </v:shape>
            <v:line style="position:absolute" from="5089,1812" to="5089,-275" stroked="true" strokeweight=".510829pt" strokecolor="#ddddde">
              <v:stroke dashstyle="solid"/>
            </v:line>
            <w10:wrap type="none"/>
          </v:group>
        </w:pict>
      </w:r>
      <w:r>
        <w:rPr>
          <w:sz w:val="11"/>
        </w:rPr>
        <w:t>Acas involvement was important in helping move</w:t>
      </w:r>
      <w:r>
        <w:rPr>
          <w:spacing w:val="40"/>
          <w:sz w:val="11"/>
        </w:rPr>
        <w:t> </w:t>
      </w:r>
      <w:r>
        <w:rPr>
          <w:sz w:val="11"/>
        </w:rPr>
        <w:t>parties</w:t>
      </w:r>
      <w:r>
        <w:rPr>
          <w:spacing w:val="5"/>
          <w:sz w:val="11"/>
        </w:rPr>
        <w:t> </w:t>
      </w:r>
      <w:r>
        <w:rPr>
          <w:sz w:val="11"/>
        </w:rPr>
        <w:t>closer</w:t>
      </w:r>
      <w:r>
        <w:rPr>
          <w:spacing w:val="7"/>
          <w:sz w:val="11"/>
        </w:rPr>
        <w:t> </w:t>
      </w:r>
      <w:r>
        <w:rPr>
          <w:sz w:val="11"/>
        </w:rPr>
        <w:t>towards</w:t>
      </w:r>
      <w:r>
        <w:rPr>
          <w:spacing w:val="5"/>
          <w:sz w:val="11"/>
        </w:rPr>
        <w:t> </w:t>
      </w:r>
      <w:r>
        <w:rPr>
          <w:sz w:val="11"/>
        </w:rPr>
        <w:t>resolving</w:t>
      </w:r>
      <w:r>
        <w:rPr>
          <w:spacing w:val="4"/>
          <w:sz w:val="11"/>
        </w:rPr>
        <w:t> </w:t>
      </w:r>
      <w:r>
        <w:rPr>
          <w:sz w:val="11"/>
        </w:rPr>
        <w:t>the</w:t>
      </w:r>
      <w:r>
        <w:rPr>
          <w:spacing w:val="8"/>
          <w:sz w:val="11"/>
        </w:rPr>
        <w:t> </w:t>
      </w:r>
      <w:r>
        <w:rPr>
          <w:spacing w:val="-4"/>
          <w:sz w:val="11"/>
        </w:rPr>
        <w:t>case</w:t>
      </w:r>
    </w:p>
    <w:p>
      <w:pPr>
        <w:pStyle w:val="BodyText"/>
      </w:pPr>
    </w:p>
    <w:p>
      <w:pPr>
        <w:pStyle w:val="BodyText"/>
      </w:pPr>
    </w:p>
    <w:p>
      <w:pPr>
        <w:pStyle w:val="BodyText"/>
        <w:rPr>
          <w:sz w:val="14"/>
        </w:rPr>
      </w:pPr>
    </w:p>
    <w:p>
      <w:pPr>
        <w:spacing w:before="110"/>
        <w:ind w:left="1825" w:right="6668" w:firstLine="61"/>
        <w:jc w:val="right"/>
        <w:rPr>
          <w:sz w:val="11"/>
        </w:rPr>
      </w:pPr>
      <w:r>
        <w:rPr>
          <w:sz w:val="11"/>
        </w:rPr>
        <w:t>Information provided by Acas</w:t>
      </w:r>
      <w:r>
        <w:rPr>
          <w:spacing w:val="-9"/>
          <w:sz w:val="11"/>
        </w:rPr>
        <w:t> </w:t>
      </w:r>
      <w:r>
        <w:rPr>
          <w:sz w:val="11"/>
        </w:rPr>
        <w:t>at</w:t>
      </w:r>
      <w:r>
        <w:rPr>
          <w:spacing w:val="-4"/>
          <w:sz w:val="11"/>
        </w:rPr>
        <w:t> </w:t>
      </w:r>
      <w:r>
        <w:rPr>
          <w:sz w:val="11"/>
        </w:rPr>
        <w:t>the EC Form</w:t>
      </w:r>
      <w:r>
        <w:rPr>
          <w:spacing w:val="40"/>
          <w:sz w:val="11"/>
        </w:rPr>
        <w:t> </w:t>
      </w:r>
      <w:r>
        <w:rPr>
          <w:sz w:val="11"/>
        </w:rPr>
        <w:t>submission</w:t>
      </w:r>
      <w:r>
        <w:rPr>
          <w:spacing w:val="3"/>
          <w:sz w:val="11"/>
        </w:rPr>
        <w:t> </w:t>
      </w:r>
      <w:r>
        <w:rPr>
          <w:sz w:val="11"/>
        </w:rPr>
        <w:t>stage</w:t>
      </w:r>
      <w:r>
        <w:rPr>
          <w:spacing w:val="9"/>
          <w:sz w:val="11"/>
        </w:rPr>
        <w:t> </w:t>
      </w:r>
      <w:r>
        <w:rPr>
          <w:sz w:val="11"/>
        </w:rPr>
        <w:t>was</w:t>
      </w:r>
      <w:r>
        <w:rPr>
          <w:spacing w:val="6"/>
          <w:sz w:val="11"/>
        </w:rPr>
        <w:t> </w:t>
      </w:r>
      <w:r>
        <w:rPr>
          <w:sz w:val="11"/>
        </w:rPr>
        <w:t>helpful</w:t>
      </w:r>
      <w:r>
        <w:rPr>
          <w:spacing w:val="2"/>
          <w:sz w:val="11"/>
        </w:rPr>
        <w:t> </w:t>
      </w:r>
      <w:r>
        <w:rPr>
          <w:sz w:val="11"/>
        </w:rPr>
        <w:t>in</w:t>
      </w:r>
      <w:r>
        <w:rPr>
          <w:spacing w:val="4"/>
          <w:sz w:val="11"/>
        </w:rPr>
        <w:t> </w:t>
      </w:r>
      <w:r>
        <w:rPr>
          <w:sz w:val="11"/>
        </w:rPr>
        <w:t>explaining</w:t>
      </w:r>
      <w:r>
        <w:rPr>
          <w:spacing w:val="4"/>
          <w:sz w:val="11"/>
        </w:rPr>
        <w:t> </w:t>
      </w:r>
      <w:r>
        <w:rPr>
          <w:spacing w:val="-5"/>
          <w:sz w:val="11"/>
        </w:rPr>
        <w:t>the</w:t>
      </w:r>
    </w:p>
    <w:p>
      <w:pPr>
        <w:spacing w:line="131" w:lineRule="exact" w:before="0"/>
        <w:ind w:left="0" w:right="6665" w:firstLine="0"/>
        <w:jc w:val="right"/>
        <w:rPr>
          <w:sz w:val="11"/>
        </w:rPr>
      </w:pPr>
      <w:r>
        <w:rPr>
          <w:spacing w:val="-2"/>
          <w:sz w:val="11"/>
        </w:rPr>
        <w:t>process</w:t>
      </w:r>
    </w:p>
    <w:p>
      <w:pPr>
        <w:pStyle w:val="BodyText"/>
        <w:spacing w:before="11"/>
        <w:rPr>
          <w:sz w:val="26"/>
        </w:rPr>
      </w:pPr>
    </w:p>
    <w:p>
      <w:pPr>
        <w:pStyle w:val="Heading4"/>
        <w:spacing w:line="243" w:lineRule="exact" w:before="100"/>
        <w:jc w:val="left"/>
        <w:rPr>
          <w:i/>
        </w:rPr>
      </w:pPr>
      <w:bookmarkStart w:name="Among claimants – external factors" w:id="95"/>
      <w:bookmarkEnd w:id="95"/>
      <w:r>
        <w:rPr>
          <w:b w:val="0"/>
          <w:i w:val="0"/>
        </w:rPr>
      </w:r>
      <w:r>
        <w:rPr>
          <w:i/>
        </w:rPr>
        <w:t>Among</w:t>
      </w:r>
      <w:r>
        <w:rPr>
          <w:i/>
          <w:spacing w:val="-9"/>
        </w:rPr>
        <w:t> </w:t>
      </w:r>
      <w:r>
        <w:rPr>
          <w:i/>
        </w:rPr>
        <w:t>claimants</w:t>
      </w:r>
      <w:r>
        <w:rPr>
          <w:i/>
          <w:spacing w:val="-7"/>
        </w:rPr>
        <w:t> </w:t>
      </w:r>
      <w:r>
        <w:rPr>
          <w:i/>
        </w:rPr>
        <w:t>–</w:t>
      </w:r>
      <w:r>
        <w:rPr>
          <w:i/>
          <w:spacing w:val="-5"/>
        </w:rPr>
        <w:t> </w:t>
      </w:r>
      <w:r>
        <w:rPr>
          <w:i/>
        </w:rPr>
        <w:t>external</w:t>
      </w:r>
      <w:r>
        <w:rPr>
          <w:i/>
          <w:spacing w:val="-7"/>
        </w:rPr>
        <w:t> </w:t>
      </w:r>
      <w:r>
        <w:rPr>
          <w:i/>
          <w:spacing w:val="-2"/>
        </w:rPr>
        <w:t>factors</w:t>
      </w:r>
    </w:p>
    <w:p>
      <w:pPr>
        <w:pStyle w:val="BodyText"/>
        <w:ind w:left="1337" w:right="1472"/>
      </w:pPr>
      <w:r>
        <w:rPr/>
        <w:t>The independent external variables which were found to be determinants of whether</w:t>
      </w:r>
      <w:r>
        <w:rPr>
          <w:spacing w:val="-3"/>
        </w:rPr>
        <w:t> </w:t>
      </w:r>
      <w:r>
        <w:rPr/>
        <w:t>claimants</w:t>
      </w:r>
      <w:r>
        <w:rPr>
          <w:spacing w:val="-5"/>
        </w:rPr>
        <w:t> </w:t>
      </w:r>
      <w:r>
        <w:rPr/>
        <w:t>successfully</w:t>
      </w:r>
      <w:r>
        <w:rPr>
          <w:spacing w:val="-5"/>
        </w:rPr>
        <w:t> </w:t>
      </w:r>
      <w:r>
        <w:rPr/>
        <w:t>settled</w:t>
      </w:r>
      <w:r>
        <w:rPr>
          <w:spacing w:val="-3"/>
        </w:rPr>
        <w:t> </w:t>
      </w:r>
      <w:r>
        <w:rPr/>
        <w:t>their</w:t>
      </w:r>
      <w:r>
        <w:rPr>
          <w:spacing w:val="-5"/>
        </w:rPr>
        <w:t> </w:t>
      </w:r>
      <w:r>
        <w:rPr/>
        <w:t>EC case</w:t>
      </w:r>
      <w:r>
        <w:rPr>
          <w:spacing w:val="-5"/>
        </w:rPr>
        <w:t> </w:t>
      </w:r>
      <w:r>
        <w:rPr/>
        <w:t>are</w:t>
      </w:r>
      <w:r>
        <w:rPr>
          <w:spacing w:val="-5"/>
        </w:rPr>
        <w:t> </w:t>
      </w:r>
      <w:r>
        <w:rPr/>
        <w:t>listed</w:t>
      </w:r>
      <w:r>
        <w:rPr>
          <w:spacing w:val="-4"/>
        </w:rPr>
        <w:t> </w:t>
      </w:r>
      <w:r>
        <w:rPr/>
        <w:t>below</w:t>
      </w:r>
      <w:r>
        <w:rPr>
          <w:spacing w:val="-4"/>
        </w:rPr>
        <w:t> </w:t>
      </w:r>
      <w:r>
        <w:rPr/>
        <w:t>in</w:t>
      </w:r>
      <w:r>
        <w:rPr>
          <w:spacing w:val="-3"/>
        </w:rPr>
        <w:t> </w:t>
      </w:r>
      <w:r>
        <w:rPr/>
        <w:t>order</w:t>
      </w:r>
      <w:r>
        <w:rPr>
          <w:spacing w:val="-3"/>
        </w:rPr>
        <w:t> </w:t>
      </w:r>
      <w:r>
        <w:rPr/>
        <w:t>of predictive strength (See Figure 10):</w:t>
      </w:r>
    </w:p>
    <w:p>
      <w:pPr>
        <w:pStyle w:val="BodyText"/>
        <w:spacing w:before="11"/>
        <w:rPr>
          <w:sz w:val="19"/>
        </w:rPr>
      </w:pPr>
    </w:p>
    <w:p>
      <w:pPr>
        <w:pStyle w:val="ListParagraph"/>
        <w:numPr>
          <w:ilvl w:val="0"/>
          <w:numId w:val="23"/>
        </w:numPr>
        <w:tabs>
          <w:tab w:pos="2058" w:val="left" w:leader="none"/>
        </w:tabs>
        <w:spacing w:line="240" w:lineRule="auto" w:before="1" w:after="0"/>
        <w:ind w:left="2057" w:right="1477" w:hanging="360"/>
        <w:jc w:val="both"/>
        <w:rPr>
          <w:rFonts w:ascii="Symbol" w:hAnsi="Symbol"/>
          <w:sz w:val="20"/>
        </w:rPr>
      </w:pPr>
      <w:r>
        <w:rPr>
          <w:i/>
          <w:sz w:val="20"/>
        </w:rPr>
        <w:t>Claimant gender: </w:t>
      </w:r>
      <w:r>
        <w:rPr>
          <w:sz w:val="20"/>
        </w:rPr>
        <w:t>Men were associated with a significantly lower likelihood of successfully resolving their EC case, compared with women and those who withheld this information.</w:t>
      </w:r>
    </w:p>
    <w:p>
      <w:pPr>
        <w:pStyle w:val="ListParagraph"/>
        <w:numPr>
          <w:ilvl w:val="0"/>
          <w:numId w:val="23"/>
        </w:numPr>
        <w:tabs>
          <w:tab w:pos="2058" w:val="left" w:leader="none"/>
        </w:tabs>
        <w:spacing w:line="240" w:lineRule="auto" w:before="0" w:after="0"/>
        <w:ind w:left="2057" w:right="1474" w:hanging="361"/>
        <w:jc w:val="both"/>
        <w:rPr>
          <w:rFonts w:ascii="Symbol" w:hAnsi="Symbol"/>
          <w:sz w:val="20"/>
        </w:rPr>
      </w:pPr>
      <w:r>
        <w:rPr>
          <w:i/>
          <w:sz w:val="20"/>
        </w:rPr>
        <w:t>Long-term illness: </w:t>
      </w:r>
      <w:r>
        <w:rPr>
          <w:sz w:val="20"/>
        </w:rPr>
        <w:t>Having with a long-term illness, health problem or disability was also associated with a lower likelihood of a successful settlement of</w:t>
      </w:r>
      <w:r>
        <w:rPr>
          <w:spacing w:val="-1"/>
          <w:sz w:val="20"/>
        </w:rPr>
        <w:t> </w:t>
      </w:r>
      <w:r>
        <w:rPr>
          <w:sz w:val="20"/>
        </w:rPr>
        <w:t>their</w:t>
      </w:r>
      <w:r>
        <w:rPr>
          <w:spacing w:val="-2"/>
          <w:sz w:val="20"/>
        </w:rPr>
        <w:t> </w:t>
      </w:r>
      <w:r>
        <w:rPr>
          <w:sz w:val="20"/>
        </w:rPr>
        <w:t>case at the</w:t>
      </w:r>
      <w:r>
        <w:rPr>
          <w:spacing w:val="-2"/>
          <w:sz w:val="20"/>
        </w:rPr>
        <w:t> </w:t>
      </w:r>
      <w:r>
        <w:rPr>
          <w:sz w:val="20"/>
        </w:rPr>
        <w:t>EC</w:t>
      </w:r>
      <w:r>
        <w:rPr>
          <w:spacing w:val="-1"/>
          <w:sz w:val="20"/>
        </w:rPr>
        <w:t> </w:t>
      </w:r>
      <w:r>
        <w:rPr>
          <w:sz w:val="20"/>
        </w:rPr>
        <w:t>stage</w:t>
      </w:r>
      <w:r>
        <w:rPr>
          <w:spacing w:val="-2"/>
          <w:sz w:val="20"/>
        </w:rPr>
        <w:t> </w:t>
      </w:r>
      <w:r>
        <w:rPr>
          <w:sz w:val="20"/>
        </w:rPr>
        <w:t>(claimants</w:t>
      </w:r>
      <w:r>
        <w:rPr>
          <w:spacing w:val="-1"/>
          <w:sz w:val="20"/>
        </w:rPr>
        <w:t> </w:t>
      </w:r>
      <w:r>
        <w:rPr>
          <w:sz w:val="20"/>
        </w:rPr>
        <w:t>with a</w:t>
      </w:r>
      <w:r>
        <w:rPr>
          <w:spacing w:val="-3"/>
          <w:sz w:val="20"/>
        </w:rPr>
        <w:t> </w:t>
      </w:r>
      <w:r>
        <w:rPr>
          <w:sz w:val="20"/>
        </w:rPr>
        <w:t>long-term illness</w:t>
      </w:r>
    </w:p>
    <w:p>
      <w:pPr>
        <w:spacing w:after="0" w:line="240" w:lineRule="auto"/>
        <w:jc w:val="both"/>
        <w:rPr>
          <w:rFonts w:ascii="Symbol" w:hAnsi="Symbol"/>
          <w:sz w:val="20"/>
        </w:rPr>
        <w:sectPr>
          <w:pgSz w:w="11910" w:h="16840"/>
          <w:pgMar w:header="0" w:footer="996" w:top="1340" w:bottom="1180" w:left="460" w:right="320"/>
        </w:sectPr>
      </w:pPr>
    </w:p>
    <w:p>
      <w:pPr>
        <w:pStyle w:val="BodyText"/>
        <w:spacing w:before="82"/>
        <w:ind w:left="2057" w:right="1474"/>
        <w:jc w:val="both"/>
      </w:pPr>
      <w:r>
        <w:rPr/>
        <w:t>or disability were also significantly more likely to have more complex open track cases – 44% compared with 30% overall – which may play a role in this correlation)</w:t>
      </w:r>
    </w:p>
    <w:p>
      <w:pPr>
        <w:pStyle w:val="ListParagraph"/>
        <w:numPr>
          <w:ilvl w:val="0"/>
          <w:numId w:val="23"/>
        </w:numPr>
        <w:tabs>
          <w:tab w:pos="2058" w:val="left" w:leader="none"/>
        </w:tabs>
        <w:spacing w:line="240" w:lineRule="auto" w:before="0" w:after="0"/>
        <w:ind w:left="2057" w:right="1474" w:hanging="360"/>
        <w:jc w:val="both"/>
        <w:rPr>
          <w:rFonts w:ascii="Symbol" w:hAnsi="Symbol"/>
          <w:sz w:val="20"/>
        </w:rPr>
      </w:pPr>
      <w:r>
        <w:rPr>
          <w:i/>
          <w:sz w:val="20"/>
        </w:rPr>
        <w:t>Current employment: </w:t>
      </w:r>
      <w:r>
        <w:rPr>
          <w:sz w:val="20"/>
        </w:rPr>
        <w:t>If a claimant is currently working for the employer with</w:t>
      </w:r>
      <w:r>
        <w:rPr>
          <w:spacing w:val="-1"/>
          <w:sz w:val="20"/>
        </w:rPr>
        <w:t> </w:t>
      </w:r>
      <w:r>
        <w:rPr>
          <w:sz w:val="20"/>
        </w:rPr>
        <w:t>whom</w:t>
      </w:r>
      <w:r>
        <w:rPr>
          <w:spacing w:val="-2"/>
          <w:sz w:val="20"/>
        </w:rPr>
        <w:t> </w:t>
      </w:r>
      <w:r>
        <w:rPr>
          <w:sz w:val="20"/>
        </w:rPr>
        <w:t>they</w:t>
      </w:r>
      <w:r>
        <w:rPr>
          <w:spacing w:val="-2"/>
          <w:sz w:val="20"/>
        </w:rPr>
        <w:t> </w:t>
      </w:r>
      <w:r>
        <w:rPr>
          <w:sz w:val="20"/>
        </w:rPr>
        <w:t>have</w:t>
      </w:r>
      <w:r>
        <w:rPr>
          <w:spacing w:val="-2"/>
          <w:sz w:val="20"/>
        </w:rPr>
        <w:t> </w:t>
      </w:r>
      <w:r>
        <w:rPr>
          <w:sz w:val="20"/>
        </w:rPr>
        <w:t>a</w:t>
      </w:r>
      <w:r>
        <w:rPr>
          <w:spacing w:val="-2"/>
          <w:sz w:val="20"/>
        </w:rPr>
        <w:t> </w:t>
      </w:r>
      <w:r>
        <w:rPr>
          <w:sz w:val="20"/>
        </w:rPr>
        <w:t>dispute,</w:t>
      </w:r>
      <w:r>
        <w:rPr>
          <w:spacing w:val="-2"/>
          <w:sz w:val="20"/>
        </w:rPr>
        <w:t> </w:t>
      </w:r>
      <w:r>
        <w:rPr>
          <w:sz w:val="20"/>
        </w:rPr>
        <w:t>this</w:t>
      </w:r>
      <w:r>
        <w:rPr>
          <w:spacing w:val="-1"/>
          <w:sz w:val="20"/>
        </w:rPr>
        <w:t> </w:t>
      </w:r>
      <w:r>
        <w:rPr>
          <w:sz w:val="20"/>
        </w:rPr>
        <w:t>is</w:t>
      </w:r>
      <w:r>
        <w:rPr>
          <w:spacing w:val="-1"/>
          <w:sz w:val="20"/>
        </w:rPr>
        <w:t> </w:t>
      </w:r>
      <w:r>
        <w:rPr>
          <w:sz w:val="20"/>
        </w:rPr>
        <w:t>correlated</w:t>
      </w:r>
      <w:r>
        <w:rPr>
          <w:spacing w:val="-1"/>
          <w:sz w:val="20"/>
        </w:rPr>
        <w:t> </w:t>
      </w:r>
      <w:r>
        <w:rPr>
          <w:sz w:val="20"/>
        </w:rPr>
        <w:t>with</w:t>
      </w:r>
      <w:r>
        <w:rPr>
          <w:spacing w:val="-1"/>
          <w:sz w:val="20"/>
        </w:rPr>
        <w:t> </w:t>
      </w:r>
      <w:r>
        <w:rPr>
          <w:sz w:val="20"/>
        </w:rPr>
        <w:t>a</w:t>
      </w:r>
      <w:r>
        <w:rPr>
          <w:spacing w:val="-1"/>
          <w:sz w:val="20"/>
        </w:rPr>
        <w:t> </w:t>
      </w:r>
      <w:r>
        <w:rPr>
          <w:sz w:val="20"/>
        </w:rPr>
        <w:t>lower</w:t>
      </w:r>
      <w:r>
        <w:rPr>
          <w:spacing w:val="-1"/>
          <w:sz w:val="20"/>
        </w:rPr>
        <w:t> </w:t>
      </w:r>
      <w:r>
        <w:rPr>
          <w:sz w:val="20"/>
        </w:rPr>
        <w:t>likelihood</w:t>
      </w:r>
      <w:r>
        <w:rPr>
          <w:spacing w:val="-1"/>
          <w:sz w:val="20"/>
        </w:rPr>
        <w:t> </w:t>
      </w:r>
      <w:r>
        <w:rPr>
          <w:sz w:val="20"/>
        </w:rPr>
        <w:t>of a successful resolution to the case</w:t>
      </w:r>
    </w:p>
    <w:p>
      <w:pPr>
        <w:pStyle w:val="BodyText"/>
        <w:spacing w:before="9"/>
        <w:rPr>
          <w:sz w:val="19"/>
        </w:rPr>
      </w:pPr>
    </w:p>
    <w:p>
      <w:pPr>
        <w:pStyle w:val="Heading3"/>
        <w:ind w:right="1472"/>
        <w:jc w:val="left"/>
      </w:pPr>
      <w:r>
        <w:rPr/>
        <w:t>Figure</w:t>
      </w:r>
      <w:r>
        <w:rPr>
          <w:spacing w:val="40"/>
        </w:rPr>
        <w:t> </w:t>
      </w:r>
      <w:r>
        <w:rPr/>
        <w:t>10.</w:t>
      </w:r>
      <w:r>
        <w:rPr>
          <w:spacing w:val="40"/>
        </w:rPr>
        <w:t> </w:t>
      </w:r>
      <w:r>
        <w:rPr/>
        <w:t>Logistic</w:t>
      </w:r>
      <w:r>
        <w:rPr>
          <w:spacing w:val="40"/>
        </w:rPr>
        <w:t> </w:t>
      </w:r>
      <w:r>
        <w:rPr/>
        <w:t>regression</w:t>
      </w:r>
      <w:r>
        <w:rPr>
          <w:spacing w:val="40"/>
        </w:rPr>
        <w:t> </w:t>
      </w:r>
      <w:r>
        <w:rPr/>
        <w:t>results</w:t>
      </w:r>
      <w:r>
        <w:rPr>
          <w:spacing w:val="40"/>
        </w:rPr>
        <w:t> </w:t>
      </w:r>
      <w:r>
        <w:rPr/>
        <w:t>of</w:t>
      </w:r>
      <w:r>
        <w:rPr>
          <w:spacing w:val="40"/>
        </w:rPr>
        <w:t> </w:t>
      </w:r>
      <w:r>
        <w:rPr/>
        <w:t>external</w:t>
      </w:r>
      <w:r>
        <w:rPr>
          <w:spacing w:val="40"/>
        </w:rPr>
        <w:t> </w:t>
      </w:r>
      <w:r>
        <w:rPr/>
        <w:t>factors</w:t>
      </w:r>
      <w:r>
        <w:rPr>
          <w:spacing w:val="40"/>
        </w:rPr>
        <w:t> </w:t>
      </w:r>
      <w:r>
        <w:rPr/>
        <w:t>determining claimant settlement</w:t>
      </w:r>
    </w:p>
    <w:p>
      <w:pPr>
        <w:spacing w:line="166" w:lineRule="exact" w:before="52"/>
        <w:ind w:left="0" w:right="3812" w:firstLine="0"/>
        <w:jc w:val="right"/>
        <w:rPr>
          <w:b/>
          <w:i/>
          <w:sz w:val="14"/>
        </w:rPr>
      </w:pPr>
      <w:r>
        <w:rPr>
          <w:b/>
          <w:i/>
          <w:color w:val="FF575D"/>
          <w:sz w:val="14"/>
        </w:rPr>
        <w:t>Claimant</w:t>
      </w:r>
      <w:r>
        <w:rPr>
          <w:b/>
          <w:i/>
          <w:color w:val="FF575D"/>
          <w:spacing w:val="-1"/>
          <w:sz w:val="14"/>
        </w:rPr>
        <w:t> </w:t>
      </w:r>
      <w:r>
        <w:rPr>
          <w:b/>
          <w:i/>
          <w:color w:val="FF575D"/>
          <w:sz w:val="14"/>
          <w:u w:val="single" w:color="FF575D"/>
        </w:rPr>
        <w:t>less</w:t>
      </w:r>
      <w:r>
        <w:rPr>
          <w:b/>
          <w:i/>
          <w:color w:val="FF575D"/>
          <w:spacing w:val="-6"/>
          <w:sz w:val="14"/>
        </w:rPr>
        <w:t> </w:t>
      </w:r>
      <w:r>
        <w:rPr>
          <w:b/>
          <w:i/>
          <w:color w:val="FF575D"/>
          <w:sz w:val="14"/>
        </w:rPr>
        <w:t>likely</w:t>
      </w:r>
      <w:r>
        <w:rPr>
          <w:b/>
          <w:i/>
          <w:color w:val="FF575D"/>
          <w:spacing w:val="12"/>
          <w:sz w:val="14"/>
        </w:rPr>
        <w:t> </w:t>
      </w:r>
      <w:r>
        <w:rPr>
          <w:b/>
          <w:i/>
          <w:color w:val="FF575D"/>
          <w:sz w:val="14"/>
        </w:rPr>
        <w:t>to</w:t>
      </w:r>
      <w:r>
        <w:rPr>
          <w:b/>
          <w:i/>
          <w:color w:val="FF575D"/>
          <w:spacing w:val="-9"/>
          <w:sz w:val="14"/>
        </w:rPr>
        <w:t> </w:t>
      </w:r>
      <w:r>
        <w:rPr>
          <w:b/>
          <w:i/>
          <w:color w:val="FF575D"/>
          <w:sz w:val="14"/>
        </w:rPr>
        <w:t>have</w:t>
      </w:r>
      <w:r>
        <w:rPr>
          <w:b/>
          <w:i/>
          <w:color w:val="FF575D"/>
          <w:spacing w:val="-12"/>
          <w:sz w:val="14"/>
        </w:rPr>
        <w:t> </w:t>
      </w:r>
      <w:r>
        <w:rPr>
          <w:b/>
          <w:i/>
          <w:color w:val="FF575D"/>
          <w:sz w:val="14"/>
        </w:rPr>
        <w:t>reached</w:t>
      </w:r>
      <w:r>
        <w:rPr>
          <w:b/>
          <w:i/>
          <w:color w:val="FF575D"/>
          <w:spacing w:val="-11"/>
          <w:sz w:val="14"/>
        </w:rPr>
        <w:t> </w:t>
      </w:r>
      <w:r>
        <w:rPr>
          <w:b/>
          <w:i/>
          <w:color w:val="FF575D"/>
          <w:spacing w:val="-10"/>
          <w:sz w:val="14"/>
        </w:rPr>
        <w:t>a</w:t>
      </w:r>
    </w:p>
    <w:p>
      <w:pPr>
        <w:spacing w:line="166" w:lineRule="exact" w:before="0"/>
        <w:ind w:left="0" w:right="3814" w:firstLine="0"/>
        <w:jc w:val="right"/>
        <w:rPr>
          <w:b/>
          <w:i/>
          <w:sz w:val="14"/>
        </w:rPr>
      </w:pPr>
      <w:r>
        <w:rPr>
          <w:b/>
          <w:i/>
          <w:color w:val="FF575D"/>
          <w:spacing w:val="-2"/>
          <w:sz w:val="14"/>
        </w:rPr>
        <w:t>settlement</w:t>
      </w:r>
    </w:p>
    <w:p>
      <w:pPr>
        <w:pStyle w:val="BodyText"/>
        <w:spacing w:before="9"/>
        <w:rPr>
          <w:b/>
          <w:i/>
          <w:sz w:val="21"/>
        </w:rPr>
      </w:pPr>
    </w:p>
    <w:p>
      <w:pPr>
        <w:spacing w:before="103"/>
        <w:ind w:left="0" w:right="1878" w:firstLine="0"/>
        <w:jc w:val="right"/>
        <w:rPr>
          <w:sz w:val="14"/>
        </w:rPr>
      </w:pPr>
      <w:r>
        <w:rPr/>
        <w:pict>
          <v:group style="position:absolute;margin-left:140.968018pt;margin-top:-12.861262pt;width:249.4pt;height:134.550pt;mso-position-horizontal-relative:page;mso-position-vertical-relative:paragraph;z-index:15742976" id="docshapegroup29" coordorigin="2819,-257" coordsize="4988,2691">
            <v:shape style="position:absolute;left:2819;top:-34;width:4979;height:2242" id="docshape30" coordorigin="2819,-33" coordsize="4979,2242" path="m7797,1760l2819,1760,2819,2209,7797,2209,7797,1760xm7797,864l5963,864,5963,1312,7797,1312,7797,864xm7797,-33l6221,-33,6221,415,7797,415,7797,-33xe" filled="true" fillcolor="#ff575d" stroked="false">
              <v:path arrowok="t"/>
              <v:fill type="solid"/>
            </v:shape>
            <v:line style="position:absolute" from="7802,2433" to="7802,-257" stroked="true" strokeweight=".478216pt" strokecolor="#ddddde">
              <v:stroke dashstyle="solid"/>
            </v:line>
            <w10:wrap type="none"/>
          </v:group>
        </w:pict>
      </w:r>
      <w:r>
        <w:rPr>
          <w:sz w:val="14"/>
        </w:rPr>
        <w:t>I</w:t>
      </w:r>
      <w:r>
        <w:rPr>
          <w:spacing w:val="-5"/>
          <w:sz w:val="14"/>
        </w:rPr>
        <w:t> </w:t>
      </w:r>
      <w:r>
        <w:rPr>
          <w:sz w:val="14"/>
        </w:rPr>
        <w:t>think</w:t>
      </w:r>
      <w:r>
        <w:rPr>
          <w:spacing w:val="19"/>
          <w:sz w:val="14"/>
        </w:rPr>
        <w:t> </w:t>
      </w:r>
      <w:r>
        <w:rPr>
          <w:sz w:val="14"/>
        </w:rPr>
        <w:t>of</w:t>
      </w:r>
      <w:r>
        <w:rPr>
          <w:spacing w:val="-13"/>
          <w:sz w:val="14"/>
        </w:rPr>
        <w:t> </w:t>
      </w:r>
      <w:r>
        <w:rPr>
          <w:sz w:val="14"/>
        </w:rPr>
        <w:t>myself</w:t>
      </w:r>
      <w:r>
        <w:rPr>
          <w:spacing w:val="-14"/>
          <w:sz w:val="14"/>
        </w:rPr>
        <w:t> </w:t>
      </w:r>
      <w:r>
        <w:rPr>
          <w:sz w:val="14"/>
        </w:rPr>
        <w:t>as</w:t>
      </w:r>
      <w:r>
        <w:rPr>
          <w:spacing w:val="1"/>
          <w:sz w:val="14"/>
        </w:rPr>
        <w:t> </w:t>
      </w:r>
      <w:r>
        <w:rPr>
          <w:spacing w:val="-4"/>
          <w:sz w:val="14"/>
        </w:rPr>
        <w:t>male</w:t>
      </w:r>
    </w:p>
    <w:p>
      <w:pPr>
        <w:pStyle w:val="BodyText"/>
      </w:pPr>
    </w:p>
    <w:p>
      <w:pPr>
        <w:pStyle w:val="BodyText"/>
        <w:spacing w:before="3"/>
        <w:rPr>
          <w:sz w:val="27"/>
        </w:rPr>
      </w:pPr>
    </w:p>
    <w:p>
      <w:pPr>
        <w:spacing w:line="228" w:lineRule="auto" w:before="111"/>
        <w:ind w:left="7499" w:right="0" w:firstLine="0"/>
        <w:jc w:val="left"/>
        <w:rPr>
          <w:sz w:val="14"/>
        </w:rPr>
      </w:pPr>
      <w:r>
        <w:rPr>
          <w:sz w:val="14"/>
        </w:rPr>
        <w:t>I</w:t>
      </w:r>
      <w:r>
        <w:rPr>
          <w:spacing w:val="-8"/>
          <w:sz w:val="14"/>
        </w:rPr>
        <w:t> </w:t>
      </w:r>
      <w:r>
        <w:rPr>
          <w:sz w:val="14"/>
        </w:rPr>
        <w:t>have</w:t>
      </w:r>
      <w:r>
        <w:rPr>
          <w:spacing w:val="-5"/>
          <w:sz w:val="14"/>
        </w:rPr>
        <w:t> </w:t>
      </w:r>
      <w:r>
        <w:rPr>
          <w:sz w:val="14"/>
        </w:rPr>
        <w:t>a</w:t>
      </w:r>
      <w:r>
        <w:rPr>
          <w:spacing w:val="-5"/>
          <w:sz w:val="14"/>
        </w:rPr>
        <w:t> </w:t>
      </w:r>
      <w:r>
        <w:rPr>
          <w:sz w:val="14"/>
        </w:rPr>
        <w:t>long-term</w:t>
      </w:r>
      <w:r>
        <w:rPr>
          <w:spacing w:val="-11"/>
          <w:sz w:val="14"/>
        </w:rPr>
        <w:t> </w:t>
      </w:r>
      <w:r>
        <w:rPr>
          <w:sz w:val="14"/>
        </w:rPr>
        <w:t>illness,</w:t>
      </w:r>
      <w:r>
        <w:rPr>
          <w:spacing w:val="17"/>
          <w:sz w:val="14"/>
        </w:rPr>
        <w:t> </w:t>
      </w:r>
      <w:r>
        <w:rPr>
          <w:sz w:val="14"/>
        </w:rPr>
        <w:t>health</w:t>
      </w:r>
      <w:r>
        <w:rPr>
          <w:spacing w:val="-1"/>
          <w:sz w:val="14"/>
        </w:rPr>
        <w:t> </w:t>
      </w:r>
      <w:r>
        <w:rPr>
          <w:sz w:val="14"/>
        </w:rPr>
        <w:t>problem,</w:t>
      </w:r>
      <w:r>
        <w:rPr>
          <w:spacing w:val="-9"/>
          <w:sz w:val="14"/>
        </w:rPr>
        <w:t> </w:t>
      </w:r>
      <w:r>
        <w:rPr>
          <w:sz w:val="14"/>
        </w:rPr>
        <w:t>or </w:t>
      </w:r>
      <w:r>
        <w:rPr>
          <w:spacing w:val="-2"/>
          <w:sz w:val="14"/>
        </w:rPr>
        <w:t>disability</w:t>
      </w:r>
    </w:p>
    <w:p>
      <w:pPr>
        <w:pStyle w:val="BodyText"/>
        <w:rPr>
          <w:sz w:val="16"/>
        </w:rPr>
      </w:pPr>
    </w:p>
    <w:p>
      <w:pPr>
        <w:pStyle w:val="BodyText"/>
        <w:rPr>
          <w:sz w:val="16"/>
        </w:rPr>
      </w:pPr>
    </w:p>
    <w:p>
      <w:pPr>
        <w:pStyle w:val="BodyText"/>
        <w:spacing w:before="3"/>
        <w:rPr>
          <w:sz w:val="15"/>
        </w:rPr>
      </w:pPr>
    </w:p>
    <w:p>
      <w:pPr>
        <w:spacing w:before="1"/>
        <w:ind w:left="7499" w:right="0" w:firstLine="0"/>
        <w:jc w:val="left"/>
        <w:rPr>
          <w:sz w:val="14"/>
        </w:rPr>
      </w:pPr>
      <w:r>
        <w:rPr>
          <w:sz w:val="14"/>
        </w:rPr>
        <w:t>I</w:t>
      </w:r>
      <w:r>
        <w:rPr>
          <w:spacing w:val="2"/>
          <w:sz w:val="14"/>
        </w:rPr>
        <w:t> </w:t>
      </w:r>
      <w:r>
        <w:rPr>
          <w:sz w:val="14"/>
        </w:rPr>
        <w:t>work</w:t>
      </w:r>
      <w:r>
        <w:rPr>
          <w:spacing w:val="-16"/>
          <w:sz w:val="14"/>
        </w:rPr>
        <w:t> </w:t>
      </w:r>
      <w:r>
        <w:rPr>
          <w:sz w:val="14"/>
        </w:rPr>
        <w:t>for</w:t>
      </w:r>
      <w:r>
        <w:rPr>
          <w:spacing w:val="1"/>
          <w:sz w:val="14"/>
        </w:rPr>
        <w:t> </w:t>
      </w:r>
      <w:r>
        <w:rPr>
          <w:sz w:val="14"/>
        </w:rPr>
        <w:t>them</w:t>
      </w:r>
      <w:r>
        <w:rPr>
          <w:spacing w:val="-1"/>
          <w:sz w:val="14"/>
        </w:rPr>
        <w:t> </w:t>
      </w:r>
      <w:r>
        <w:rPr>
          <w:sz w:val="14"/>
        </w:rPr>
        <w:t>[the</w:t>
      </w:r>
      <w:r>
        <w:rPr>
          <w:spacing w:val="7"/>
          <w:sz w:val="14"/>
        </w:rPr>
        <w:t> </w:t>
      </w:r>
      <w:r>
        <w:rPr>
          <w:sz w:val="14"/>
        </w:rPr>
        <w:t>employer]</w:t>
      </w:r>
      <w:r>
        <w:rPr>
          <w:spacing w:val="-14"/>
          <w:sz w:val="14"/>
        </w:rPr>
        <w:t> </w:t>
      </w:r>
      <w:r>
        <w:rPr>
          <w:spacing w:val="-5"/>
          <w:sz w:val="14"/>
        </w:rPr>
        <w:t>now</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9"/>
      </w:pPr>
    </w:p>
    <w:p>
      <w:pPr>
        <w:pStyle w:val="Heading4"/>
        <w:spacing w:before="1"/>
        <w:jc w:val="left"/>
        <w:rPr>
          <w:i/>
        </w:rPr>
      </w:pPr>
      <w:bookmarkStart w:name="Among employers – internal factors" w:id="96"/>
      <w:bookmarkEnd w:id="96"/>
      <w:r>
        <w:rPr>
          <w:b w:val="0"/>
          <w:i w:val="0"/>
        </w:rPr>
      </w:r>
      <w:r>
        <w:rPr>
          <w:i/>
        </w:rPr>
        <w:t>Among</w:t>
      </w:r>
      <w:r>
        <w:rPr>
          <w:i/>
          <w:spacing w:val="-6"/>
        </w:rPr>
        <w:t> </w:t>
      </w:r>
      <w:r>
        <w:rPr>
          <w:i/>
        </w:rPr>
        <w:t>employers</w:t>
      </w:r>
      <w:r>
        <w:rPr>
          <w:i/>
          <w:spacing w:val="-6"/>
        </w:rPr>
        <w:t> </w:t>
      </w:r>
      <w:r>
        <w:rPr>
          <w:i/>
        </w:rPr>
        <w:t>–</w:t>
      </w:r>
      <w:r>
        <w:rPr>
          <w:i/>
          <w:spacing w:val="-4"/>
        </w:rPr>
        <w:t> </w:t>
      </w:r>
      <w:r>
        <w:rPr>
          <w:i/>
        </w:rPr>
        <w:t>internal</w:t>
      </w:r>
      <w:r>
        <w:rPr>
          <w:i/>
          <w:spacing w:val="-4"/>
        </w:rPr>
        <w:t> </w:t>
      </w:r>
      <w:r>
        <w:rPr>
          <w:i/>
          <w:spacing w:val="-2"/>
        </w:rPr>
        <w:t>factors</w:t>
      </w:r>
    </w:p>
    <w:p>
      <w:pPr>
        <w:pStyle w:val="BodyText"/>
        <w:ind w:left="1337" w:right="1472"/>
      </w:pPr>
      <w:r>
        <w:rPr/>
        <w:t>The independent internal variables which were found to be determinants of whether</w:t>
      </w:r>
      <w:r>
        <w:rPr>
          <w:spacing w:val="-3"/>
        </w:rPr>
        <w:t> </w:t>
      </w:r>
      <w:r>
        <w:rPr/>
        <w:t>employers</w:t>
      </w:r>
      <w:r>
        <w:rPr>
          <w:spacing w:val="-3"/>
        </w:rPr>
        <w:t> </w:t>
      </w:r>
      <w:r>
        <w:rPr/>
        <w:t>successfully</w:t>
      </w:r>
      <w:r>
        <w:rPr>
          <w:spacing w:val="-3"/>
        </w:rPr>
        <w:t> </w:t>
      </w:r>
      <w:r>
        <w:rPr/>
        <w:t>settled</w:t>
      </w:r>
      <w:r>
        <w:rPr>
          <w:spacing w:val="-3"/>
        </w:rPr>
        <w:t> </w:t>
      </w:r>
      <w:r>
        <w:rPr/>
        <w:t>their</w:t>
      </w:r>
      <w:r>
        <w:rPr>
          <w:spacing w:val="-3"/>
        </w:rPr>
        <w:t> </w:t>
      </w:r>
      <w:r>
        <w:rPr/>
        <w:t>EC</w:t>
      </w:r>
      <w:r>
        <w:rPr>
          <w:spacing w:val="-3"/>
        </w:rPr>
        <w:t> </w:t>
      </w:r>
      <w:r>
        <w:rPr/>
        <w:t>case</w:t>
      </w:r>
      <w:r>
        <w:rPr>
          <w:spacing w:val="-3"/>
        </w:rPr>
        <w:t> </w:t>
      </w:r>
      <w:r>
        <w:rPr/>
        <w:t>are</w:t>
      </w:r>
      <w:r>
        <w:rPr>
          <w:spacing w:val="-3"/>
        </w:rPr>
        <w:t> </w:t>
      </w:r>
      <w:r>
        <w:rPr/>
        <w:t>listed</w:t>
      </w:r>
      <w:r>
        <w:rPr>
          <w:spacing w:val="-3"/>
        </w:rPr>
        <w:t> </w:t>
      </w:r>
      <w:r>
        <w:rPr/>
        <w:t>below</w:t>
      </w:r>
      <w:r>
        <w:rPr>
          <w:spacing w:val="-3"/>
        </w:rPr>
        <w:t> </w:t>
      </w:r>
      <w:r>
        <w:rPr/>
        <w:t>in</w:t>
      </w:r>
      <w:r>
        <w:rPr>
          <w:spacing w:val="-3"/>
        </w:rPr>
        <w:t> </w:t>
      </w:r>
      <w:r>
        <w:rPr/>
        <w:t>order</w:t>
      </w:r>
      <w:r>
        <w:rPr>
          <w:spacing w:val="-3"/>
        </w:rPr>
        <w:t> </w:t>
      </w:r>
      <w:r>
        <w:rPr/>
        <w:t>of predictive strength (See Figure 11):</w:t>
      </w:r>
    </w:p>
    <w:p>
      <w:pPr>
        <w:pStyle w:val="BodyText"/>
      </w:pPr>
    </w:p>
    <w:p>
      <w:pPr>
        <w:pStyle w:val="ListParagraph"/>
        <w:numPr>
          <w:ilvl w:val="0"/>
          <w:numId w:val="23"/>
        </w:numPr>
        <w:tabs>
          <w:tab w:pos="2058" w:val="left" w:leader="none"/>
        </w:tabs>
        <w:spacing w:line="240" w:lineRule="auto" w:before="0" w:after="0"/>
        <w:ind w:left="2057" w:right="1474" w:hanging="360"/>
        <w:jc w:val="both"/>
        <w:rPr>
          <w:rFonts w:ascii="Symbol" w:hAnsi="Symbol"/>
          <w:sz w:val="20"/>
        </w:rPr>
      </w:pPr>
      <w:r>
        <w:rPr>
          <w:i/>
          <w:sz w:val="20"/>
        </w:rPr>
        <w:t>Importance of Acas in brokering a resolution</w:t>
      </w:r>
      <w:r>
        <w:rPr>
          <w:sz w:val="20"/>
        </w:rPr>
        <w:t>: Agreeing that Acas was important</w:t>
      </w:r>
      <w:r>
        <w:rPr>
          <w:spacing w:val="-10"/>
          <w:sz w:val="20"/>
        </w:rPr>
        <w:t> </w:t>
      </w:r>
      <w:r>
        <w:rPr>
          <w:sz w:val="20"/>
        </w:rPr>
        <w:t>in</w:t>
      </w:r>
      <w:r>
        <w:rPr>
          <w:spacing w:val="-10"/>
          <w:sz w:val="20"/>
        </w:rPr>
        <w:t> </w:t>
      </w:r>
      <w:r>
        <w:rPr>
          <w:sz w:val="20"/>
        </w:rPr>
        <w:t>helping</w:t>
      </w:r>
      <w:r>
        <w:rPr>
          <w:spacing w:val="-10"/>
          <w:sz w:val="20"/>
        </w:rPr>
        <w:t> </w:t>
      </w:r>
      <w:r>
        <w:rPr>
          <w:sz w:val="20"/>
        </w:rPr>
        <w:t>move</w:t>
      </w:r>
      <w:r>
        <w:rPr>
          <w:spacing w:val="-11"/>
          <w:sz w:val="20"/>
        </w:rPr>
        <w:t> </w:t>
      </w:r>
      <w:r>
        <w:rPr>
          <w:sz w:val="20"/>
        </w:rPr>
        <w:t>the</w:t>
      </w:r>
      <w:r>
        <w:rPr>
          <w:spacing w:val="-11"/>
          <w:sz w:val="20"/>
        </w:rPr>
        <w:t> </w:t>
      </w:r>
      <w:r>
        <w:rPr>
          <w:sz w:val="20"/>
        </w:rPr>
        <w:t>two</w:t>
      </w:r>
      <w:r>
        <w:rPr>
          <w:spacing w:val="-12"/>
          <w:sz w:val="20"/>
        </w:rPr>
        <w:t> </w:t>
      </w:r>
      <w:r>
        <w:rPr>
          <w:sz w:val="20"/>
        </w:rPr>
        <w:t>parties</w:t>
      </w:r>
      <w:r>
        <w:rPr>
          <w:spacing w:val="-10"/>
          <w:sz w:val="20"/>
        </w:rPr>
        <w:t> </w:t>
      </w:r>
      <w:r>
        <w:rPr>
          <w:sz w:val="20"/>
        </w:rPr>
        <w:t>closer</w:t>
      </w:r>
      <w:r>
        <w:rPr>
          <w:spacing w:val="-10"/>
          <w:sz w:val="20"/>
        </w:rPr>
        <w:t> </w:t>
      </w:r>
      <w:r>
        <w:rPr>
          <w:sz w:val="20"/>
        </w:rPr>
        <w:t>towards</w:t>
      </w:r>
      <w:r>
        <w:rPr>
          <w:spacing w:val="-10"/>
          <w:sz w:val="20"/>
        </w:rPr>
        <w:t> </w:t>
      </w:r>
      <w:r>
        <w:rPr>
          <w:sz w:val="20"/>
        </w:rPr>
        <w:t>resolving</w:t>
      </w:r>
      <w:r>
        <w:rPr>
          <w:spacing w:val="-10"/>
          <w:sz w:val="20"/>
        </w:rPr>
        <w:t> </w:t>
      </w:r>
      <w:r>
        <w:rPr>
          <w:sz w:val="20"/>
        </w:rPr>
        <w:t>the</w:t>
      </w:r>
      <w:r>
        <w:rPr>
          <w:spacing w:val="-11"/>
          <w:sz w:val="20"/>
        </w:rPr>
        <w:t> </w:t>
      </w:r>
      <w:r>
        <w:rPr>
          <w:sz w:val="20"/>
        </w:rPr>
        <w:t>case was powerfully associated with a significantly higher likelihood of a successful case resolution.</w:t>
      </w:r>
    </w:p>
    <w:p>
      <w:pPr>
        <w:pStyle w:val="ListParagraph"/>
        <w:numPr>
          <w:ilvl w:val="0"/>
          <w:numId w:val="23"/>
        </w:numPr>
        <w:tabs>
          <w:tab w:pos="2058" w:val="left" w:leader="none"/>
        </w:tabs>
        <w:spacing w:line="240" w:lineRule="auto" w:before="0" w:after="0"/>
        <w:ind w:left="2057" w:right="1474" w:hanging="360"/>
        <w:jc w:val="both"/>
        <w:rPr>
          <w:rFonts w:ascii="Symbol" w:hAnsi="Symbol"/>
          <w:sz w:val="20"/>
        </w:rPr>
      </w:pPr>
      <w:r>
        <w:rPr>
          <w:i/>
          <w:sz w:val="20"/>
        </w:rPr>
        <w:t>Availability of the Acas conciliator</w:t>
      </w:r>
      <w:r>
        <w:rPr>
          <w:sz w:val="20"/>
        </w:rPr>
        <w:t>: There is a positive correlation between the likelihood of a successful settlement with employers feeling that the conciliator was always or usually available when needed</w:t>
      </w:r>
    </w:p>
    <w:p>
      <w:pPr>
        <w:pStyle w:val="ListParagraph"/>
        <w:numPr>
          <w:ilvl w:val="0"/>
          <w:numId w:val="23"/>
        </w:numPr>
        <w:tabs>
          <w:tab w:pos="2057" w:val="left" w:leader="none"/>
          <w:tab w:pos="2058" w:val="left" w:leader="none"/>
        </w:tabs>
        <w:spacing w:line="256" w:lineRule="auto" w:before="0" w:after="0"/>
        <w:ind w:left="2057" w:right="1524" w:hanging="360"/>
        <w:jc w:val="left"/>
        <w:rPr>
          <w:rFonts w:ascii="Symbol" w:hAnsi="Symbol"/>
          <w:sz w:val="22"/>
        </w:rPr>
      </w:pPr>
      <w:r>
        <w:rPr>
          <w:i/>
          <w:sz w:val="20"/>
        </w:rPr>
        <w:t>Method of contact with the conciliators: </w:t>
      </w:r>
      <w:r>
        <w:rPr>
          <w:sz w:val="20"/>
        </w:rPr>
        <w:t>Employers whose main method of contact</w:t>
      </w:r>
      <w:r>
        <w:rPr>
          <w:spacing w:val="-2"/>
          <w:sz w:val="20"/>
        </w:rPr>
        <w:t> </w:t>
      </w:r>
      <w:r>
        <w:rPr>
          <w:sz w:val="20"/>
        </w:rPr>
        <w:t>with</w:t>
      </w:r>
      <w:r>
        <w:rPr>
          <w:spacing w:val="-1"/>
          <w:sz w:val="20"/>
        </w:rPr>
        <w:t> </w:t>
      </w:r>
      <w:r>
        <w:rPr>
          <w:sz w:val="20"/>
        </w:rPr>
        <w:t>their</w:t>
      </w:r>
      <w:r>
        <w:rPr>
          <w:spacing w:val="-1"/>
          <w:sz w:val="20"/>
        </w:rPr>
        <w:t> </w:t>
      </w:r>
      <w:r>
        <w:rPr>
          <w:sz w:val="20"/>
        </w:rPr>
        <w:t>conciliator</w:t>
      </w:r>
      <w:r>
        <w:rPr>
          <w:spacing w:val="-1"/>
          <w:sz w:val="20"/>
        </w:rPr>
        <w:t> </w:t>
      </w:r>
      <w:r>
        <w:rPr>
          <w:sz w:val="20"/>
        </w:rPr>
        <w:t>was</w:t>
      </w:r>
      <w:r>
        <w:rPr>
          <w:spacing w:val="-1"/>
          <w:sz w:val="20"/>
        </w:rPr>
        <w:t> </w:t>
      </w:r>
      <w:r>
        <w:rPr>
          <w:sz w:val="20"/>
        </w:rPr>
        <w:t>by</w:t>
      </w:r>
      <w:r>
        <w:rPr>
          <w:spacing w:val="-1"/>
          <w:sz w:val="20"/>
        </w:rPr>
        <w:t> </w:t>
      </w:r>
      <w:r>
        <w:rPr>
          <w:sz w:val="20"/>
        </w:rPr>
        <w:t>email</w:t>
      </w:r>
      <w:r>
        <w:rPr>
          <w:spacing w:val="-2"/>
          <w:sz w:val="20"/>
        </w:rPr>
        <w:t> </w:t>
      </w:r>
      <w:r>
        <w:rPr>
          <w:sz w:val="20"/>
        </w:rPr>
        <w:t>were</w:t>
      </w:r>
      <w:r>
        <w:rPr>
          <w:spacing w:val="-2"/>
          <w:sz w:val="20"/>
        </w:rPr>
        <w:t> </w:t>
      </w:r>
      <w:r>
        <w:rPr>
          <w:sz w:val="20"/>
        </w:rPr>
        <w:t>also</w:t>
      </w:r>
      <w:r>
        <w:rPr>
          <w:spacing w:val="-1"/>
          <w:sz w:val="20"/>
        </w:rPr>
        <w:t> </w:t>
      </w:r>
      <w:r>
        <w:rPr>
          <w:sz w:val="20"/>
        </w:rPr>
        <w:t>more likely</w:t>
      </w:r>
      <w:r>
        <w:rPr>
          <w:spacing w:val="-1"/>
          <w:sz w:val="20"/>
        </w:rPr>
        <w:t> </w:t>
      </w:r>
      <w:r>
        <w:rPr>
          <w:sz w:val="20"/>
        </w:rPr>
        <w:t>to</w:t>
      </w:r>
      <w:r>
        <w:rPr>
          <w:spacing w:val="-1"/>
          <w:sz w:val="20"/>
        </w:rPr>
        <w:t> </w:t>
      </w:r>
      <w:r>
        <w:rPr>
          <w:sz w:val="20"/>
        </w:rPr>
        <w:t>resolve their</w:t>
      </w:r>
      <w:r>
        <w:rPr>
          <w:spacing w:val="-5"/>
          <w:sz w:val="20"/>
        </w:rPr>
        <w:t> </w:t>
      </w:r>
      <w:r>
        <w:rPr>
          <w:sz w:val="20"/>
        </w:rPr>
        <w:t>case</w:t>
      </w:r>
      <w:r>
        <w:rPr>
          <w:spacing w:val="-4"/>
          <w:sz w:val="20"/>
        </w:rPr>
        <w:t> </w:t>
      </w:r>
      <w:r>
        <w:rPr>
          <w:sz w:val="20"/>
        </w:rPr>
        <w:t>successfully.</w:t>
      </w:r>
      <w:r>
        <w:rPr>
          <w:spacing w:val="-21"/>
          <w:sz w:val="20"/>
        </w:rPr>
        <w:t> </w:t>
      </w:r>
      <w:r>
        <w:rPr>
          <w:sz w:val="20"/>
        </w:rPr>
        <w:t>Email</w:t>
      </w:r>
      <w:r>
        <w:rPr>
          <w:spacing w:val="-4"/>
          <w:sz w:val="20"/>
        </w:rPr>
        <w:t> </w:t>
      </w:r>
      <w:r>
        <w:rPr>
          <w:sz w:val="20"/>
        </w:rPr>
        <w:t>use</w:t>
      </w:r>
      <w:r>
        <w:rPr>
          <w:spacing w:val="-4"/>
          <w:sz w:val="20"/>
        </w:rPr>
        <w:t> </w:t>
      </w:r>
      <w:r>
        <w:rPr>
          <w:sz w:val="20"/>
        </w:rPr>
        <w:t>is</w:t>
      </w:r>
      <w:r>
        <w:rPr>
          <w:spacing w:val="-2"/>
          <w:sz w:val="20"/>
        </w:rPr>
        <w:t> </w:t>
      </w:r>
      <w:r>
        <w:rPr>
          <w:sz w:val="20"/>
        </w:rPr>
        <w:t>also</w:t>
      </w:r>
      <w:r>
        <w:rPr>
          <w:spacing w:val="-4"/>
          <w:sz w:val="20"/>
        </w:rPr>
        <w:t> </w:t>
      </w:r>
      <w:r>
        <w:rPr>
          <w:sz w:val="20"/>
        </w:rPr>
        <w:t>associated</w:t>
      </w:r>
      <w:r>
        <w:rPr>
          <w:spacing w:val="-3"/>
          <w:sz w:val="20"/>
        </w:rPr>
        <w:t> </w:t>
      </w:r>
      <w:r>
        <w:rPr>
          <w:sz w:val="20"/>
        </w:rPr>
        <w:t>with</w:t>
      </w:r>
      <w:r>
        <w:rPr>
          <w:spacing w:val="-4"/>
          <w:sz w:val="20"/>
        </w:rPr>
        <w:t> </w:t>
      </w:r>
      <w:r>
        <w:rPr>
          <w:sz w:val="20"/>
        </w:rPr>
        <w:t>other</w:t>
      </w:r>
      <w:r>
        <w:rPr>
          <w:spacing w:val="-3"/>
          <w:sz w:val="20"/>
        </w:rPr>
        <w:t> </w:t>
      </w:r>
      <w:r>
        <w:rPr>
          <w:sz w:val="20"/>
        </w:rPr>
        <w:t>factors</w:t>
      </w:r>
      <w:r>
        <w:rPr>
          <w:spacing w:val="-5"/>
          <w:sz w:val="20"/>
        </w:rPr>
        <w:t> </w:t>
      </w:r>
      <w:r>
        <w:rPr>
          <w:sz w:val="20"/>
        </w:rPr>
        <w:t>such as</w:t>
      </w:r>
      <w:r>
        <w:rPr>
          <w:spacing w:val="-2"/>
          <w:sz w:val="20"/>
        </w:rPr>
        <w:t> </w:t>
      </w:r>
      <w:r>
        <w:rPr>
          <w:sz w:val="20"/>
        </w:rPr>
        <w:t>larger</w:t>
      </w:r>
      <w:r>
        <w:rPr>
          <w:spacing w:val="-2"/>
          <w:sz w:val="20"/>
        </w:rPr>
        <w:t> </w:t>
      </w:r>
      <w:r>
        <w:rPr>
          <w:sz w:val="20"/>
        </w:rPr>
        <w:t>company</w:t>
      </w:r>
      <w:r>
        <w:rPr>
          <w:spacing w:val="-2"/>
          <w:sz w:val="20"/>
        </w:rPr>
        <w:t> </w:t>
      </w:r>
      <w:r>
        <w:rPr>
          <w:sz w:val="20"/>
        </w:rPr>
        <w:t>size</w:t>
      </w:r>
      <w:r>
        <w:rPr>
          <w:spacing w:val="-4"/>
          <w:sz w:val="20"/>
        </w:rPr>
        <w:t> </w:t>
      </w:r>
      <w:r>
        <w:rPr>
          <w:sz w:val="20"/>
        </w:rPr>
        <w:t>so</w:t>
      </w:r>
      <w:r>
        <w:rPr>
          <w:spacing w:val="-2"/>
          <w:sz w:val="20"/>
        </w:rPr>
        <w:t> </w:t>
      </w:r>
      <w:r>
        <w:rPr>
          <w:sz w:val="20"/>
        </w:rPr>
        <w:t>this</w:t>
      </w:r>
      <w:r>
        <w:rPr>
          <w:spacing w:val="-2"/>
          <w:sz w:val="20"/>
        </w:rPr>
        <w:t> </w:t>
      </w:r>
      <w:r>
        <w:rPr>
          <w:sz w:val="20"/>
        </w:rPr>
        <w:t>relationship</w:t>
      </w:r>
      <w:r>
        <w:rPr>
          <w:spacing w:val="-3"/>
          <w:sz w:val="20"/>
        </w:rPr>
        <w:t> </w:t>
      </w:r>
      <w:r>
        <w:rPr>
          <w:sz w:val="20"/>
        </w:rPr>
        <w:t>is</w:t>
      </w:r>
      <w:r>
        <w:rPr>
          <w:spacing w:val="-2"/>
          <w:sz w:val="20"/>
        </w:rPr>
        <w:t> </w:t>
      </w:r>
      <w:r>
        <w:rPr>
          <w:sz w:val="20"/>
        </w:rPr>
        <w:t>unlikely</w:t>
      </w:r>
      <w:r>
        <w:rPr>
          <w:spacing w:val="-2"/>
          <w:sz w:val="20"/>
        </w:rPr>
        <w:t> </w:t>
      </w:r>
      <w:r>
        <w:rPr>
          <w:sz w:val="20"/>
        </w:rPr>
        <w:t>to</w:t>
      </w:r>
      <w:r>
        <w:rPr>
          <w:spacing w:val="-2"/>
          <w:sz w:val="20"/>
        </w:rPr>
        <w:t> </w:t>
      </w:r>
      <w:r>
        <w:rPr>
          <w:sz w:val="20"/>
        </w:rPr>
        <w:t>be</w:t>
      </w:r>
      <w:r>
        <w:rPr>
          <w:spacing w:val="-3"/>
          <w:sz w:val="20"/>
        </w:rPr>
        <w:t> </w:t>
      </w:r>
      <w:r>
        <w:rPr>
          <w:sz w:val="20"/>
        </w:rPr>
        <w:t>directly</w:t>
      </w:r>
      <w:r>
        <w:rPr>
          <w:spacing w:val="-1"/>
          <w:sz w:val="20"/>
        </w:rPr>
        <w:t> </w:t>
      </w:r>
      <w:r>
        <w:rPr>
          <w:sz w:val="20"/>
        </w:rPr>
        <w:t>causal, instead related to a number of additional factors that are outside of this model. The comparative strength of this factor is also less than the importance of Acas in brokering a resolution and the amount of contact with the conciliator.</w:t>
      </w:r>
    </w:p>
    <w:p>
      <w:pPr>
        <w:pStyle w:val="ListParagraph"/>
        <w:numPr>
          <w:ilvl w:val="0"/>
          <w:numId w:val="23"/>
        </w:numPr>
        <w:tabs>
          <w:tab w:pos="2058" w:val="left" w:leader="none"/>
        </w:tabs>
        <w:spacing w:line="240" w:lineRule="auto" w:before="5" w:after="0"/>
        <w:ind w:left="2057" w:right="1473" w:hanging="360"/>
        <w:jc w:val="both"/>
        <w:rPr>
          <w:rFonts w:ascii="Symbol" w:hAnsi="Symbol"/>
          <w:sz w:val="20"/>
        </w:rPr>
      </w:pPr>
      <w:r>
        <w:rPr>
          <w:i/>
          <w:sz w:val="20"/>
        </w:rPr>
        <w:t>Amount of contact with the conciliator</w:t>
      </w:r>
      <w:r>
        <w:rPr>
          <w:sz w:val="20"/>
        </w:rPr>
        <w:t>: A lower rate of contact with the conciliator</w:t>
      </w:r>
      <w:r>
        <w:rPr>
          <w:spacing w:val="-17"/>
          <w:sz w:val="20"/>
        </w:rPr>
        <w:t> </w:t>
      </w:r>
      <w:r>
        <w:rPr>
          <w:sz w:val="20"/>
        </w:rPr>
        <w:t>was</w:t>
      </w:r>
      <w:r>
        <w:rPr>
          <w:spacing w:val="-16"/>
          <w:sz w:val="20"/>
        </w:rPr>
        <w:t> </w:t>
      </w:r>
      <w:r>
        <w:rPr>
          <w:sz w:val="20"/>
        </w:rPr>
        <w:t>negatively</w:t>
      </w:r>
      <w:r>
        <w:rPr>
          <w:spacing w:val="-16"/>
          <w:sz w:val="20"/>
        </w:rPr>
        <w:t> </w:t>
      </w:r>
      <w:r>
        <w:rPr>
          <w:sz w:val="20"/>
        </w:rPr>
        <w:t>associated</w:t>
      </w:r>
      <w:r>
        <w:rPr>
          <w:spacing w:val="-16"/>
          <w:sz w:val="20"/>
        </w:rPr>
        <w:t> </w:t>
      </w:r>
      <w:r>
        <w:rPr>
          <w:sz w:val="20"/>
        </w:rPr>
        <w:t>with</w:t>
      </w:r>
      <w:r>
        <w:rPr>
          <w:spacing w:val="-16"/>
          <w:sz w:val="20"/>
        </w:rPr>
        <w:t> </w:t>
      </w:r>
      <w:r>
        <w:rPr>
          <w:sz w:val="20"/>
        </w:rPr>
        <w:t>a</w:t>
      </w:r>
      <w:r>
        <w:rPr>
          <w:spacing w:val="-17"/>
          <w:sz w:val="20"/>
        </w:rPr>
        <w:t> </w:t>
      </w:r>
      <w:r>
        <w:rPr>
          <w:sz w:val="20"/>
        </w:rPr>
        <w:t>successful</w:t>
      </w:r>
      <w:r>
        <w:rPr>
          <w:spacing w:val="-17"/>
          <w:sz w:val="20"/>
        </w:rPr>
        <w:t> </w:t>
      </w:r>
      <w:r>
        <w:rPr>
          <w:sz w:val="20"/>
        </w:rPr>
        <w:t>outcome</w:t>
      </w:r>
      <w:r>
        <w:rPr>
          <w:spacing w:val="-17"/>
          <w:sz w:val="20"/>
        </w:rPr>
        <w:t> </w:t>
      </w:r>
      <w:r>
        <w:rPr>
          <w:sz w:val="20"/>
        </w:rPr>
        <w:t>–</w:t>
      </w:r>
      <w:r>
        <w:rPr>
          <w:spacing w:val="-16"/>
          <w:sz w:val="20"/>
        </w:rPr>
        <w:t> </w:t>
      </w:r>
      <w:r>
        <w:rPr>
          <w:sz w:val="20"/>
        </w:rPr>
        <w:t>those</w:t>
      </w:r>
      <w:r>
        <w:rPr>
          <w:spacing w:val="-17"/>
          <w:sz w:val="20"/>
        </w:rPr>
        <w:t> </w:t>
      </w:r>
      <w:r>
        <w:rPr>
          <w:sz w:val="20"/>
        </w:rPr>
        <w:t>who reported 1-3 contacts were less likely to resolve their case through EC</w:t>
      </w:r>
    </w:p>
    <w:p>
      <w:pPr>
        <w:spacing w:after="0" w:line="240" w:lineRule="auto"/>
        <w:jc w:val="both"/>
        <w:rPr>
          <w:rFonts w:ascii="Symbol" w:hAnsi="Symbol"/>
          <w:sz w:val="20"/>
        </w:rPr>
        <w:sectPr>
          <w:pgSz w:w="11910" w:h="16840"/>
          <w:pgMar w:header="0" w:footer="996" w:top="1340" w:bottom="1180" w:left="460" w:right="320"/>
        </w:sectPr>
      </w:pPr>
    </w:p>
    <w:p>
      <w:pPr>
        <w:pStyle w:val="Heading3"/>
        <w:spacing w:before="82"/>
        <w:ind w:right="1472" w:hanging="1"/>
        <w:jc w:val="left"/>
      </w:pPr>
      <w:r>
        <w:rPr/>
        <w:t>Figure</w:t>
      </w:r>
      <w:r>
        <w:rPr>
          <w:spacing w:val="40"/>
        </w:rPr>
        <w:t> </w:t>
      </w:r>
      <w:r>
        <w:rPr/>
        <w:t>11.</w:t>
      </w:r>
      <w:r>
        <w:rPr>
          <w:spacing w:val="40"/>
        </w:rPr>
        <w:t> </w:t>
      </w:r>
      <w:r>
        <w:rPr/>
        <w:t>Logistic</w:t>
      </w:r>
      <w:r>
        <w:rPr>
          <w:spacing w:val="40"/>
        </w:rPr>
        <w:t> </w:t>
      </w:r>
      <w:r>
        <w:rPr/>
        <w:t>regression</w:t>
      </w:r>
      <w:r>
        <w:rPr>
          <w:spacing w:val="40"/>
        </w:rPr>
        <w:t> </w:t>
      </w:r>
      <w:r>
        <w:rPr/>
        <w:t>results</w:t>
      </w:r>
      <w:r>
        <w:rPr>
          <w:spacing w:val="40"/>
        </w:rPr>
        <w:t> </w:t>
      </w:r>
      <w:r>
        <w:rPr/>
        <w:t>of</w:t>
      </w:r>
      <w:r>
        <w:rPr>
          <w:spacing w:val="40"/>
        </w:rPr>
        <w:t> </w:t>
      </w:r>
      <w:r>
        <w:rPr/>
        <w:t>internal</w:t>
      </w:r>
      <w:r>
        <w:rPr>
          <w:spacing w:val="40"/>
        </w:rPr>
        <w:t> </w:t>
      </w:r>
      <w:r>
        <w:rPr/>
        <w:t>factors</w:t>
      </w:r>
      <w:r>
        <w:rPr>
          <w:spacing w:val="40"/>
        </w:rPr>
        <w:t> </w:t>
      </w:r>
      <w:r>
        <w:rPr/>
        <w:t>determining</w:t>
      </w:r>
      <w:r>
        <w:rPr>
          <w:spacing w:val="40"/>
        </w:rPr>
        <w:t> </w:t>
      </w:r>
      <w:r>
        <w:rPr/>
        <w:t>employer settlement</w:t>
      </w:r>
    </w:p>
    <w:p>
      <w:pPr>
        <w:spacing w:before="68"/>
        <w:ind w:left="5524" w:right="0" w:firstLine="0"/>
        <w:jc w:val="left"/>
        <w:rPr>
          <w:b/>
          <w:i/>
          <w:sz w:val="15"/>
        </w:rPr>
      </w:pPr>
      <w:r>
        <w:rPr>
          <w:b/>
          <w:i/>
          <w:color w:val="74AA50"/>
          <w:spacing w:val="-2"/>
          <w:sz w:val="15"/>
        </w:rPr>
        <w:t>Employer</w:t>
      </w:r>
      <w:r>
        <w:rPr>
          <w:b/>
          <w:i/>
          <w:color w:val="74AA50"/>
          <w:spacing w:val="-11"/>
          <w:sz w:val="15"/>
        </w:rPr>
        <w:t> </w:t>
      </w:r>
      <w:r>
        <w:rPr>
          <w:b/>
          <w:i/>
          <w:color w:val="74AA50"/>
          <w:spacing w:val="-2"/>
          <w:sz w:val="15"/>
          <w:u w:val="single" w:color="74AA50"/>
        </w:rPr>
        <w:t>more</w:t>
      </w:r>
      <w:r>
        <w:rPr>
          <w:b/>
          <w:i/>
          <w:color w:val="74AA50"/>
          <w:spacing w:val="-11"/>
          <w:sz w:val="15"/>
        </w:rPr>
        <w:t> </w:t>
      </w:r>
      <w:r>
        <w:rPr>
          <w:b/>
          <w:i/>
          <w:color w:val="74AA50"/>
          <w:spacing w:val="-2"/>
          <w:sz w:val="15"/>
        </w:rPr>
        <w:t>likely</w:t>
      </w:r>
      <w:r>
        <w:rPr>
          <w:b/>
          <w:i/>
          <w:color w:val="74AA50"/>
          <w:spacing w:val="8"/>
          <w:sz w:val="15"/>
        </w:rPr>
        <w:t> </w:t>
      </w:r>
      <w:r>
        <w:rPr>
          <w:b/>
          <w:i/>
          <w:color w:val="74AA50"/>
          <w:spacing w:val="-2"/>
          <w:sz w:val="15"/>
        </w:rPr>
        <w:t>to</w:t>
      </w:r>
      <w:r>
        <w:rPr>
          <w:b/>
          <w:i/>
          <w:color w:val="74AA50"/>
          <w:spacing w:val="-15"/>
          <w:sz w:val="15"/>
        </w:rPr>
        <w:t> </w:t>
      </w:r>
      <w:r>
        <w:rPr>
          <w:b/>
          <w:i/>
          <w:color w:val="74AA50"/>
          <w:spacing w:val="-2"/>
          <w:sz w:val="15"/>
        </w:rPr>
        <w:t>have</w:t>
      </w:r>
      <w:r>
        <w:rPr>
          <w:b/>
          <w:i/>
          <w:color w:val="74AA50"/>
          <w:spacing w:val="-7"/>
          <w:sz w:val="15"/>
        </w:rPr>
        <w:t> </w:t>
      </w:r>
      <w:r>
        <w:rPr>
          <w:b/>
          <w:i/>
          <w:color w:val="74AA50"/>
          <w:spacing w:val="-2"/>
          <w:sz w:val="15"/>
        </w:rPr>
        <w:t>reached</w:t>
      </w:r>
      <w:r>
        <w:rPr>
          <w:b/>
          <w:i/>
          <w:color w:val="74AA50"/>
          <w:spacing w:val="-11"/>
          <w:sz w:val="15"/>
        </w:rPr>
        <w:t> </w:t>
      </w:r>
      <w:r>
        <w:rPr>
          <w:b/>
          <w:i/>
          <w:color w:val="74AA50"/>
          <w:spacing w:val="-2"/>
          <w:sz w:val="15"/>
        </w:rPr>
        <w:t>a</w:t>
      </w:r>
      <w:r>
        <w:rPr>
          <w:b/>
          <w:i/>
          <w:color w:val="74AA50"/>
          <w:spacing w:val="-9"/>
          <w:sz w:val="15"/>
        </w:rPr>
        <w:t> </w:t>
      </w:r>
      <w:r>
        <w:rPr>
          <w:b/>
          <w:i/>
          <w:color w:val="74AA50"/>
          <w:spacing w:val="-2"/>
          <w:sz w:val="15"/>
        </w:rPr>
        <w:t>settlement</w:t>
      </w:r>
    </w:p>
    <w:p>
      <w:pPr>
        <w:pStyle w:val="BodyText"/>
        <w:spacing w:before="3"/>
        <w:rPr>
          <w:b/>
          <w:i/>
          <w:sz w:val="10"/>
        </w:rPr>
      </w:pPr>
    </w:p>
    <w:p>
      <w:pPr>
        <w:spacing w:line="223" w:lineRule="auto" w:before="110"/>
        <w:ind w:left="2314" w:right="5538" w:hanging="629"/>
        <w:jc w:val="left"/>
        <w:rPr>
          <w:sz w:val="15"/>
        </w:rPr>
      </w:pPr>
      <w:r>
        <w:rPr/>
        <w:pict>
          <v:group style="position:absolute;margin-left:195.5737pt;margin-top:-3.666024pt;width:235.9pt;height:140.950pt;mso-position-horizontal-relative:page;mso-position-vertical-relative:paragraph;z-index:-18112512" id="docshapegroup31" coordorigin="3911,-73" coordsize="4718,2819">
            <v:rect style="position:absolute;left:3911;top:2212;width:2035;height:359" id="docshape32" filled="true" fillcolor="#ff575d" stroked="false">
              <v:fill type="solid"/>
            </v:rect>
            <v:shape style="position:absolute;left:5946;top:101;width:2684;height:1763" id="docshape33" coordorigin="5946,101" coordsize="2684,1763" path="m6744,1515l5946,1515,5946,1864,6744,1864,6744,1515xm6764,808l5946,808,5946,1157,6764,1157,6764,808xm8629,101l5946,101,5946,460,8629,460,8629,101xe" filled="true" fillcolor="#74aa50" stroked="false">
              <v:path arrowok="t"/>
              <v:fill type="solid"/>
            </v:shape>
            <v:line style="position:absolute" from="5941,2745" to="5941,-73" stroked="true" strokeweight=".499196pt" strokecolor="#ddddde">
              <v:stroke dashstyle="solid"/>
            </v:line>
            <w10:wrap type="none"/>
          </v:group>
        </w:pict>
      </w:r>
      <w:r>
        <w:rPr>
          <w:sz w:val="15"/>
        </w:rPr>
        <w:t>Acas</w:t>
      </w:r>
      <w:r>
        <w:rPr>
          <w:spacing w:val="-14"/>
          <w:sz w:val="15"/>
        </w:rPr>
        <w:t> </w:t>
      </w:r>
      <w:r>
        <w:rPr>
          <w:sz w:val="15"/>
        </w:rPr>
        <w:t>involvement</w:t>
      </w:r>
      <w:r>
        <w:rPr>
          <w:spacing w:val="-13"/>
          <w:sz w:val="15"/>
        </w:rPr>
        <w:t> </w:t>
      </w:r>
      <w:r>
        <w:rPr>
          <w:sz w:val="15"/>
        </w:rPr>
        <w:t>was</w:t>
      </w:r>
      <w:r>
        <w:rPr>
          <w:spacing w:val="-21"/>
          <w:sz w:val="15"/>
        </w:rPr>
        <w:t> </w:t>
      </w:r>
      <w:r>
        <w:rPr>
          <w:sz w:val="15"/>
        </w:rPr>
        <w:t>important</w:t>
      </w:r>
      <w:r>
        <w:rPr>
          <w:spacing w:val="-13"/>
          <w:sz w:val="15"/>
        </w:rPr>
        <w:t> </w:t>
      </w:r>
      <w:r>
        <w:rPr>
          <w:sz w:val="15"/>
        </w:rPr>
        <w:t>in</w:t>
      </w:r>
      <w:r>
        <w:rPr>
          <w:spacing w:val="-11"/>
          <w:sz w:val="15"/>
        </w:rPr>
        <w:t> </w:t>
      </w:r>
      <w:r>
        <w:rPr>
          <w:sz w:val="15"/>
        </w:rPr>
        <w:t>helping</w:t>
      </w:r>
      <w:r>
        <w:rPr>
          <w:spacing w:val="-10"/>
          <w:sz w:val="15"/>
        </w:rPr>
        <w:t> </w:t>
      </w:r>
      <w:r>
        <w:rPr>
          <w:sz w:val="15"/>
        </w:rPr>
        <w:t>move </w:t>
      </w:r>
      <w:r>
        <w:rPr>
          <w:spacing w:val="-2"/>
          <w:sz w:val="15"/>
        </w:rPr>
        <w:t>parties</w:t>
      </w:r>
      <w:r>
        <w:rPr>
          <w:spacing w:val="4"/>
          <w:sz w:val="15"/>
        </w:rPr>
        <w:t> </w:t>
      </w:r>
      <w:r>
        <w:rPr>
          <w:spacing w:val="-2"/>
          <w:sz w:val="15"/>
        </w:rPr>
        <w:t>closer</w:t>
      </w:r>
      <w:r>
        <w:rPr>
          <w:spacing w:val="-17"/>
          <w:sz w:val="15"/>
        </w:rPr>
        <w:t> </w:t>
      </w:r>
      <w:r>
        <w:rPr>
          <w:spacing w:val="-2"/>
          <w:sz w:val="15"/>
        </w:rPr>
        <w:t>towards</w:t>
      </w:r>
      <w:r>
        <w:rPr>
          <w:spacing w:val="-21"/>
          <w:sz w:val="15"/>
        </w:rPr>
        <w:t> </w:t>
      </w:r>
      <w:r>
        <w:rPr>
          <w:spacing w:val="-2"/>
          <w:sz w:val="15"/>
        </w:rPr>
        <w:t>resolving</w:t>
      </w:r>
      <w:r>
        <w:rPr>
          <w:spacing w:val="2"/>
          <w:sz w:val="15"/>
        </w:rPr>
        <w:t> </w:t>
      </w:r>
      <w:r>
        <w:rPr>
          <w:spacing w:val="-2"/>
          <w:sz w:val="15"/>
        </w:rPr>
        <w:t>the</w:t>
      </w:r>
      <w:r>
        <w:rPr>
          <w:spacing w:val="-4"/>
          <w:sz w:val="15"/>
        </w:rPr>
        <w:t> case</w:t>
      </w:r>
    </w:p>
    <w:p>
      <w:pPr>
        <w:pStyle w:val="BodyText"/>
        <w:spacing w:before="2"/>
        <w:rPr>
          <w:sz w:val="21"/>
        </w:rPr>
      </w:pPr>
    </w:p>
    <w:p>
      <w:pPr>
        <w:spacing w:line="176" w:lineRule="exact" w:before="100"/>
        <w:ind w:left="0" w:right="5800" w:firstLine="0"/>
        <w:jc w:val="right"/>
        <w:rPr>
          <w:sz w:val="15"/>
        </w:rPr>
      </w:pPr>
      <w:r>
        <w:rPr>
          <w:spacing w:val="-2"/>
          <w:sz w:val="15"/>
        </w:rPr>
        <w:t>Acas</w:t>
      </w:r>
      <w:r>
        <w:rPr>
          <w:spacing w:val="-12"/>
          <w:sz w:val="15"/>
        </w:rPr>
        <w:t> </w:t>
      </w:r>
      <w:r>
        <w:rPr>
          <w:spacing w:val="-2"/>
          <w:sz w:val="15"/>
        </w:rPr>
        <w:t>conciliator/s</w:t>
      </w:r>
      <w:r>
        <w:rPr>
          <w:spacing w:val="-11"/>
          <w:sz w:val="15"/>
        </w:rPr>
        <w:t> </w:t>
      </w:r>
      <w:r>
        <w:rPr>
          <w:spacing w:val="-2"/>
          <w:sz w:val="15"/>
        </w:rPr>
        <w:t>were</w:t>
      </w:r>
      <w:r>
        <w:rPr>
          <w:spacing w:val="-13"/>
          <w:sz w:val="15"/>
        </w:rPr>
        <w:t> </w:t>
      </w:r>
      <w:r>
        <w:rPr>
          <w:spacing w:val="-2"/>
          <w:sz w:val="15"/>
        </w:rPr>
        <w:t>always/usually</w:t>
      </w:r>
      <w:r>
        <w:rPr>
          <w:spacing w:val="-5"/>
          <w:sz w:val="15"/>
        </w:rPr>
        <w:t> </w:t>
      </w:r>
      <w:r>
        <w:rPr>
          <w:spacing w:val="-2"/>
          <w:sz w:val="15"/>
        </w:rPr>
        <w:t>available</w:t>
      </w:r>
    </w:p>
    <w:p>
      <w:pPr>
        <w:spacing w:line="176" w:lineRule="exact" w:before="0"/>
        <w:ind w:left="0" w:right="5783" w:firstLine="0"/>
        <w:jc w:val="right"/>
        <w:rPr>
          <w:sz w:val="15"/>
        </w:rPr>
      </w:pPr>
      <w:r>
        <w:rPr>
          <w:spacing w:val="-2"/>
          <w:sz w:val="15"/>
        </w:rPr>
        <w:t>when</w:t>
      </w:r>
      <w:r>
        <w:rPr>
          <w:spacing w:val="-13"/>
          <w:sz w:val="15"/>
        </w:rPr>
        <w:t> </w:t>
      </w:r>
      <w:r>
        <w:rPr>
          <w:spacing w:val="-2"/>
          <w:sz w:val="15"/>
        </w:rPr>
        <w:t>needed</w:t>
      </w:r>
    </w:p>
    <w:p>
      <w:pPr>
        <w:pStyle w:val="BodyText"/>
        <w:rPr>
          <w:sz w:val="18"/>
        </w:rPr>
      </w:pPr>
    </w:p>
    <w:p>
      <w:pPr>
        <w:spacing w:line="176" w:lineRule="exact" w:before="129"/>
        <w:ind w:left="0" w:right="5725" w:firstLine="0"/>
        <w:jc w:val="right"/>
        <w:rPr>
          <w:sz w:val="15"/>
        </w:rPr>
      </w:pPr>
      <w:r>
        <w:rPr>
          <w:spacing w:val="-2"/>
          <w:sz w:val="15"/>
        </w:rPr>
        <w:t>Main/only</w:t>
      </w:r>
      <w:r>
        <w:rPr>
          <w:spacing w:val="3"/>
          <w:sz w:val="15"/>
        </w:rPr>
        <w:t> </w:t>
      </w:r>
      <w:r>
        <w:rPr>
          <w:spacing w:val="-2"/>
          <w:sz w:val="15"/>
        </w:rPr>
        <w:t>method</w:t>
      </w:r>
      <w:r>
        <w:rPr>
          <w:spacing w:val="-24"/>
          <w:sz w:val="15"/>
        </w:rPr>
        <w:t> </w:t>
      </w:r>
      <w:r>
        <w:rPr>
          <w:spacing w:val="-2"/>
          <w:sz w:val="15"/>
        </w:rPr>
        <w:t>of</w:t>
      </w:r>
      <w:r>
        <w:rPr>
          <w:spacing w:val="-1"/>
          <w:sz w:val="15"/>
        </w:rPr>
        <w:t> </w:t>
      </w:r>
      <w:r>
        <w:rPr>
          <w:spacing w:val="-2"/>
          <w:sz w:val="15"/>
        </w:rPr>
        <w:t>contact</w:t>
      </w:r>
      <w:r>
        <w:rPr>
          <w:spacing w:val="-19"/>
          <w:sz w:val="15"/>
        </w:rPr>
        <w:t> </w:t>
      </w:r>
      <w:r>
        <w:rPr>
          <w:spacing w:val="-2"/>
          <w:sz w:val="15"/>
        </w:rPr>
        <w:t>with</w:t>
      </w:r>
      <w:r>
        <w:rPr>
          <w:spacing w:val="-4"/>
          <w:sz w:val="15"/>
        </w:rPr>
        <w:t> </w:t>
      </w:r>
      <w:r>
        <w:rPr>
          <w:spacing w:val="-2"/>
          <w:sz w:val="15"/>
        </w:rPr>
        <w:t>Acas</w:t>
      </w:r>
      <w:r>
        <w:rPr>
          <w:spacing w:val="-7"/>
          <w:sz w:val="15"/>
        </w:rPr>
        <w:t> </w:t>
      </w:r>
      <w:r>
        <w:rPr>
          <w:spacing w:val="-2"/>
          <w:sz w:val="15"/>
        </w:rPr>
        <w:t>conciliator/s</w:t>
      </w:r>
    </w:p>
    <w:p>
      <w:pPr>
        <w:spacing w:line="176" w:lineRule="exact" w:before="0"/>
        <w:ind w:left="0" w:right="5711" w:firstLine="0"/>
        <w:jc w:val="right"/>
        <w:rPr>
          <w:sz w:val="15"/>
        </w:rPr>
      </w:pPr>
      <w:r>
        <w:rPr>
          <w:sz w:val="15"/>
        </w:rPr>
        <w:t>was</w:t>
      </w:r>
      <w:r>
        <w:rPr>
          <w:spacing w:val="-8"/>
          <w:sz w:val="15"/>
        </w:rPr>
        <w:t> </w:t>
      </w:r>
      <w:r>
        <w:rPr>
          <w:spacing w:val="-2"/>
          <w:sz w:val="15"/>
        </w:rPr>
        <w:t>email</w:t>
      </w:r>
    </w:p>
    <w:p>
      <w:pPr>
        <w:pStyle w:val="BodyText"/>
        <w:spacing w:before="7"/>
        <w:rPr>
          <w:sz w:val="26"/>
        </w:rPr>
      </w:pPr>
    </w:p>
    <w:p>
      <w:pPr>
        <w:spacing w:before="100"/>
        <w:ind w:left="5594" w:right="0" w:firstLine="0"/>
        <w:jc w:val="left"/>
        <w:rPr>
          <w:sz w:val="15"/>
        </w:rPr>
      </w:pPr>
      <w:r>
        <w:rPr>
          <w:spacing w:val="-2"/>
          <w:sz w:val="15"/>
        </w:rPr>
        <w:t>Had</w:t>
      </w:r>
      <w:r>
        <w:rPr>
          <w:spacing w:val="-4"/>
          <w:sz w:val="15"/>
        </w:rPr>
        <w:t> </w:t>
      </w:r>
      <w:r>
        <w:rPr>
          <w:spacing w:val="-2"/>
          <w:sz w:val="15"/>
        </w:rPr>
        <w:t>contact</w:t>
      </w:r>
      <w:r>
        <w:rPr>
          <w:spacing w:val="-20"/>
          <w:sz w:val="15"/>
        </w:rPr>
        <w:t> </w:t>
      </w:r>
      <w:r>
        <w:rPr>
          <w:spacing w:val="-2"/>
          <w:sz w:val="15"/>
        </w:rPr>
        <w:t>1-3</w:t>
      </w:r>
      <w:r>
        <w:rPr>
          <w:spacing w:val="-6"/>
          <w:sz w:val="15"/>
        </w:rPr>
        <w:t> </w:t>
      </w:r>
      <w:r>
        <w:rPr>
          <w:spacing w:val="-2"/>
          <w:sz w:val="15"/>
        </w:rPr>
        <w:t>times</w:t>
      </w:r>
      <w:r>
        <w:rPr>
          <w:spacing w:val="-8"/>
          <w:sz w:val="15"/>
        </w:rPr>
        <w:t> </w:t>
      </w:r>
      <w:r>
        <w:rPr>
          <w:spacing w:val="-2"/>
          <w:sz w:val="15"/>
        </w:rPr>
        <w:t>with</w:t>
      </w:r>
      <w:r>
        <w:rPr>
          <w:spacing w:val="6"/>
          <w:sz w:val="15"/>
        </w:rPr>
        <w:t> </w:t>
      </w:r>
      <w:r>
        <w:rPr>
          <w:spacing w:val="-2"/>
          <w:sz w:val="15"/>
        </w:rPr>
        <w:t>Acas</w:t>
      </w:r>
      <w:r>
        <w:rPr>
          <w:spacing w:val="-8"/>
          <w:sz w:val="15"/>
        </w:rPr>
        <w:t> </w:t>
      </w:r>
      <w:r>
        <w:rPr>
          <w:spacing w:val="-2"/>
          <w:sz w:val="15"/>
        </w:rPr>
        <w:t>conciliator/s</w:t>
      </w:r>
    </w:p>
    <w:p>
      <w:pPr>
        <w:pStyle w:val="BodyText"/>
        <w:spacing w:before="3"/>
        <w:rPr>
          <w:sz w:val="19"/>
        </w:rPr>
      </w:pPr>
    </w:p>
    <w:p>
      <w:pPr>
        <w:spacing w:line="176" w:lineRule="exact" w:before="99"/>
        <w:ind w:left="0" w:right="5730" w:firstLine="0"/>
        <w:jc w:val="right"/>
        <w:rPr>
          <w:b/>
          <w:i/>
          <w:sz w:val="15"/>
        </w:rPr>
      </w:pPr>
      <w:r>
        <w:rPr>
          <w:b/>
          <w:i/>
          <w:color w:val="FF575D"/>
          <w:spacing w:val="-4"/>
          <w:sz w:val="15"/>
        </w:rPr>
        <w:t>Employer</w:t>
      </w:r>
      <w:r>
        <w:rPr>
          <w:b/>
          <w:i/>
          <w:color w:val="FF575D"/>
          <w:spacing w:val="-5"/>
          <w:sz w:val="15"/>
        </w:rPr>
        <w:t> </w:t>
      </w:r>
      <w:r>
        <w:rPr>
          <w:b/>
          <w:i/>
          <w:color w:val="FF575D"/>
          <w:spacing w:val="-4"/>
          <w:sz w:val="15"/>
          <w:u w:val="single" w:color="FF575D"/>
        </w:rPr>
        <w:t>less</w:t>
      </w:r>
      <w:r>
        <w:rPr>
          <w:b/>
          <w:i/>
          <w:color w:val="FF575D"/>
          <w:spacing w:val="1"/>
          <w:sz w:val="15"/>
        </w:rPr>
        <w:t> </w:t>
      </w:r>
      <w:r>
        <w:rPr>
          <w:b/>
          <w:i/>
          <w:color w:val="FF575D"/>
          <w:spacing w:val="-4"/>
          <w:sz w:val="15"/>
        </w:rPr>
        <w:t>likely</w:t>
      </w:r>
      <w:r>
        <w:rPr>
          <w:b/>
          <w:i/>
          <w:color w:val="FF575D"/>
          <w:spacing w:val="23"/>
          <w:sz w:val="15"/>
        </w:rPr>
        <w:t> </w:t>
      </w:r>
      <w:r>
        <w:rPr>
          <w:b/>
          <w:i/>
          <w:color w:val="FF575D"/>
          <w:spacing w:val="-4"/>
          <w:sz w:val="15"/>
        </w:rPr>
        <w:t>to have</w:t>
      </w:r>
      <w:r>
        <w:rPr>
          <w:b/>
          <w:i/>
          <w:color w:val="FF575D"/>
          <w:spacing w:val="-9"/>
          <w:sz w:val="15"/>
        </w:rPr>
        <w:t> </w:t>
      </w:r>
      <w:r>
        <w:rPr>
          <w:b/>
          <w:i/>
          <w:color w:val="FF575D"/>
          <w:spacing w:val="-4"/>
          <w:sz w:val="15"/>
        </w:rPr>
        <w:t>reached</w:t>
      </w:r>
      <w:r>
        <w:rPr>
          <w:b/>
          <w:i/>
          <w:color w:val="FF575D"/>
          <w:spacing w:val="-6"/>
          <w:sz w:val="15"/>
        </w:rPr>
        <w:t> </w:t>
      </w:r>
      <w:r>
        <w:rPr>
          <w:b/>
          <w:i/>
          <w:color w:val="FF575D"/>
          <w:spacing w:val="-10"/>
          <w:sz w:val="15"/>
        </w:rPr>
        <w:t>a</w:t>
      </w:r>
    </w:p>
    <w:p>
      <w:pPr>
        <w:spacing w:line="176" w:lineRule="exact" w:before="0"/>
        <w:ind w:left="0" w:right="5732" w:firstLine="0"/>
        <w:jc w:val="right"/>
        <w:rPr>
          <w:b/>
          <w:i/>
          <w:sz w:val="15"/>
        </w:rPr>
      </w:pPr>
      <w:r>
        <w:rPr>
          <w:b/>
          <w:i/>
          <w:color w:val="FF575D"/>
          <w:spacing w:val="-2"/>
          <w:sz w:val="15"/>
        </w:rPr>
        <w:t>settlement</w:t>
      </w:r>
    </w:p>
    <w:p>
      <w:pPr>
        <w:pStyle w:val="Heading4"/>
        <w:spacing w:before="91"/>
        <w:jc w:val="left"/>
        <w:rPr>
          <w:i/>
        </w:rPr>
      </w:pPr>
      <w:bookmarkStart w:name="Among employers – external factors" w:id="97"/>
      <w:bookmarkEnd w:id="97"/>
      <w:r>
        <w:rPr>
          <w:b w:val="0"/>
          <w:i w:val="0"/>
        </w:rPr>
      </w:r>
      <w:r>
        <w:rPr>
          <w:i/>
        </w:rPr>
        <w:t>Among</w:t>
      </w:r>
      <w:r>
        <w:rPr>
          <w:i/>
          <w:spacing w:val="-4"/>
        </w:rPr>
        <w:t> </w:t>
      </w:r>
      <w:r>
        <w:rPr>
          <w:i/>
        </w:rPr>
        <w:t>employers</w:t>
      </w:r>
      <w:r>
        <w:rPr>
          <w:i/>
          <w:spacing w:val="-5"/>
        </w:rPr>
        <w:t> </w:t>
      </w:r>
      <w:r>
        <w:rPr>
          <w:i/>
        </w:rPr>
        <w:t>–</w:t>
      </w:r>
      <w:r>
        <w:rPr>
          <w:i/>
          <w:spacing w:val="-4"/>
        </w:rPr>
        <w:t> </w:t>
      </w:r>
      <w:r>
        <w:rPr>
          <w:i/>
        </w:rPr>
        <w:t>external</w:t>
      </w:r>
      <w:r>
        <w:rPr>
          <w:i/>
          <w:spacing w:val="-4"/>
        </w:rPr>
        <w:t> </w:t>
      </w:r>
      <w:r>
        <w:rPr>
          <w:i/>
          <w:spacing w:val="-2"/>
        </w:rPr>
        <w:t>factors</w:t>
      </w:r>
    </w:p>
    <w:p>
      <w:pPr>
        <w:pStyle w:val="BodyText"/>
        <w:spacing w:before="1"/>
        <w:ind w:left="1337" w:right="1472"/>
      </w:pPr>
      <w:r>
        <w:rPr/>
        <w:t>The independent external variables which were found to be determinants of whether</w:t>
      </w:r>
      <w:r>
        <w:rPr>
          <w:spacing w:val="-3"/>
        </w:rPr>
        <w:t> </w:t>
      </w:r>
      <w:r>
        <w:rPr/>
        <w:t>employers</w:t>
      </w:r>
      <w:r>
        <w:rPr>
          <w:spacing w:val="-3"/>
        </w:rPr>
        <w:t> </w:t>
      </w:r>
      <w:r>
        <w:rPr/>
        <w:t>successfully</w:t>
      </w:r>
      <w:r>
        <w:rPr>
          <w:spacing w:val="-3"/>
        </w:rPr>
        <w:t> </w:t>
      </w:r>
      <w:r>
        <w:rPr/>
        <w:t>settled</w:t>
      </w:r>
      <w:r>
        <w:rPr>
          <w:spacing w:val="-3"/>
        </w:rPr>
        <w:t> </w:t>
      </w:r>
      <w:r>
        <w:rPr/>
        <w:t>their</w:t>
      </w:r>
      <w:r>
        <w:rPr>
          <w:spacing w:val="-3"/>
        </w:rPr>
        <w:t> </w:t>
      </w:r>
      <w:r>
        <w:rPr/>
        <w:t>EC</w:t>
      </w:r>
      <w:r>
        <w:rPr>
          <w:spacing w:val="-3"/>
        </w:rPr>
        <w:t> </w:t>
      </w:r>
      <w:r>
        <w:rPr/>
        <w:t>case</w:t>
      </w:r>
      <w:r>
        <w:rPr>
          <w:spacing w:val="-3"/>
        </w:rPr>
        <w:t> </w:t>
      </w:r>
      <w:r>
        <w:rPr/>
        <w:t>are</w:t>
      </w:r>
      <w:r>
        <w:rPr>
          <w:spacing w:val="-3"/>
        </w:rPr>
        <w:t> </w:t>
      </w:r>
      <w:r>
        <w:rPr/>
        <w:t>listed</w:t>
      </w:r>
      <w:r>
        <w:rPr>
          <w:spacing w:val="-3"/>
        </w:rPr>
        <w:t> </w:t>
      </w:r>
      <w:r>
        <w:rPr/>
        <w:t>below</w:t>
      </w:r>
      <w:r>
        <w:rPr>
          <w:spacing w:val="-3"/>
        </w:rPr>
        <w:t> </w:t>
      </w:r>
      <w:r>
        <w:rPr/>
        <w:t>in</w:t>
      </w:r>
      <w:r>
        <w:rPr>
          <w:spacing w:val="-3"/>
        </w:rPr>
        <w:t> </w:t>
      </w:r>
      <w:r>
        <w:rPr/>
        <w:t>order</w:t>
      </w:r>
      <w:r>
        <w:rPr>
          <w:spacing w:val="-3"/>
        </w:rPr>
        <w:t> </w:t>
      </w:r>
      <w:r>
        <w:rPr/>
        <w:t>of predictive strength (See Figure 12):</w:t>
      </w:r>
    </w:p>
    <w:p>
      <w:pPr>
        <w:pStyle w:val="BodyText"/>
        <w:spacing w:before="12"/>
        <w:rPr>
          <w:sz w:val="19"/>
        </w:rPr>
      </w:pPr>
    </w:p>
    <w:p>
      <w:pPr>
        <w:pStyle w:val="ListParagraph"/>
        <w:numPr>
          <w:ilvl w:val="0"/>
          <w:numId w:val="23"/>
        </w:numPr>
        <w:tabs>
          <w:tab w:pos="2058" w:val="left" w:leader="none"/>
        </w:tabs>
        <w:spacing w:line="240" w:lineRule="auto" w:before="0" w:after="0"/>
        <w:ind w:left="2057" w:right="1473" w:hanging="360"/>
        <w:jc w:val="both"/>
        <w:rPr>
          <w:rFonts w:ascii="Symbol" w:hAnsi="Symbol"/>
          <w:sz w:val="20"/>
        </w:rPr>
      </w:pPr>
      <w:r>
        <w:rPr>
          <w:i/>
          <w:sz w:val="20"/>
        </w:rPr>
        <w:t>Personal involvement in the case: </w:t>
      </w:r>
      <w:r>
        <w:rPr>
          <w:sz w:val="20"/>
        </w:rPr>
        <w:t>Where the employer who dealt with the dispute</w:t>
      </w:r>
      <w:r>
        <w:rPr>
          <w:spacing w:val="-14"/>
          <w:sz w:val="20"/>
        </w:rPr>
        <w:t> </w:t>
      </w:r>
      <w:r>
        <w:rPr>
          <w:sz w:val="20"/>
        </w:rPr>
        <w:t>also</w:t>
      </w:r>
      <w:r>
        <w:rPr>
          <w:spacing w:val="-14"/>
          <w:sz w:val="20"/>
        </w:rPr>
        <w:t> </w:t>
      </w:r>
      <w:r>
        <w:rPr>
          <w:sz w:val="20"/>
        </w:rPr>
        <w:t>had</w:t>
      </w:r>
      <w:r>
        <w:rPr>
          <w:spacing w:val="-14"/>
          <w:sz w:val="20"/>
        </w:rPr>
        <w:t> </w:t>
      </w:r>
      <w:r>
        <w:rPr>
          <w:sz w:val="20"/>
        </w:rPr>
        <w:t>responsibility</w:t>
      </w:r>
      <w:r>
        <w:rPr>
          <w:spacing w:val="-14"/>
          <w:sz w:val="20"/>
        </w:rPr>
        <w:t> </w:t>
      </w:r>
      <w:r>
        <w:rPr>
          <w:sz w:val="20"/>
        </w:rPr>
        <w:t>for</w:t>
      </w:r>
      <w:r>
        <w:rPr>
          <w:spacing w:val="-14"/>
          <w:sz w:val="20"/>
        </w:rPr>
        <w:t> </w:t>
      </w:r>
      <w:r>
        <w:rPr>
          <w:sz w:val="20"/>
        </w:rPr>
        <w:t>dealing</w:t>
      </w:r>
      <w:r>
        <w:rPr>
          <w:spacing w:val="-14"/>
          <w:sz w:val="20"/>
        </w:rPr>
        <w:t> </w:t>
      </w:r>
      <w:r>
        <w:rPr>
          <w:sz w:val="20"/>
        </w:rPr>
        <w:t>with</w:t>
      </w:r>
      <w:r>
        <w:rPr>
          <w:spacing w:val="-15"/>
          <w:sz w:val="20"/>
        </w:rPr>
        <w:t> </w:t>
      </w:r>
      <w:r>
        <w:rPr>
          <w:sz w:val="20"/>
        </w:rPr>
        <w:t>employment</w:t>
      </w:r>
      <w:r>
        <w:rPr>
          <w:spacing w:val="-14"/>
          <w:sz w:val="20"/>
        </w:rPr>
        <w:t> </w:t>
      </w:r>
      <w:r>
        <w:rPr>
          <w:sz w:val="20"/>
        </w:rPr>
        <w:t>disputes</w:t>
      </w:r>
      <w:r>
        <w:rPr>
          <w:spacing w:val="-14"/>
          <w:sz w:val="20"/>
        </w:rPr>
        <w:t> </w:t>
      </w:r>
      <w:r>
        <w:rPr>
          <w:sz w:val="20"/>
        </w:rPr>
        <w:t>in</w:t>
      </w:r>
      <w:r>
        <w:rPr>
          <w:spacing w:val="-15"/>
          <w:sz w:val="20"/>
        </w:rPr>
        <w:t> </w:t>
      </w:r>
      <w:r>
        <w:rPr>
          <w:sz w:val="20"/>
        </w:rPr>
        <w:t>their organisation</w:t>
      </w:r>
      <w:r>
        <w:rPr>
          <w:spacing w:val="-1"/>
          <w:sz w:val="20"/>
        </w:rPr>
        <w:t> </w:t>
      </w:r>
      <w:r>
        <w:rPr>
          <w:sz w:val="20"/>
        </w:rPr>
        <w:t>more</w:t>
      </w:r>
      <w:r>
        <w:rPr>
          <w:spacing w:val="-2"/>
          <w:sz w:val="20"/>
        </w:rPr>
        <w:t> </w:t>
      </w:r>
      <w:r>
        <w:rPr>
          <w:sz w:val="20"/>
        </w:rPr>
        <w:t>generally,</w:t>
      </w:r>
      <w:r>
        <w:rPr>
          <w:spacing w:val="-1"/>
          <w:sz w:val="20"/>
        </w:rPr>
        <w:t> </w:t>
      </w:r>
      <w:r>
        <w:rPr>
          <w:sz w:val="20"/>
        </w:rPr>
        <w:t>this</w:t>
      </w:r>
      <w:r>
        <w:rPr>
          <w:spacing w:val="-2"/>
          <w:sz w:val="20"/>
        </w:rPr>
        <w:t> </w:t>
      </w:r>
      <w:r>
        <w:rPr>
          <w:sz w:val="20"/>
        </w:rPr>
        <w:t>was</w:t>
      </w:r>
      <w:r>
        <w:rPr>
          <w:spacing w:val="-2"/>
          <w:sz w:val="20"/>
        </w:rPr>
        <w:t> </w:t>
      </w:r>
      <w:r>
        <w:rPr>
          <w:sz w:val="20"/>
        </w:rPr>
        <w:t>associated</w:t>
      </w:r>
      <w:r>
        <w:rPr>
          <w:spacing w:val="-2"/>
          <w:sz w:val="20"/>
        </w:rPr>
        <w:t> </w:t>
      </w:r>
      <w:r>
        <w:rPr>
          <w:sz w:val="20"/>
        </w:rPr>
        <w:t>with</w:t>
      </w:r>
      <w:r>
        <w:rPr>
          <w:spacing w:val="-1"/>
          <w:sz w:val="20"/>
        </w:rPr>
        <w:t> </w:t>
      </w:r>
      <w:r>
        <w:rPr>
          <w:sz w:val="20"/>
        </w:rPr>
        <w:t>a</w:t>
      </w:r>
      <w:r>
        <w:rPr>
          <w:spacing w:val="-2"/>
          <w:sz w:val="20"/>
        </w:rPr>
        <w:t> </w:t>
      </w:r>
      <w:r>
        <w:rPr>
          <w:sz w:val="20"/>
        </w:rPr>
        <w:t>significantly</w:t>
      </w:r>
      <w:r>
        <w:rPr>
          <w:spacing w:val="-1"/>
          <w:sz w:val="20"/>
        </w:rPr>
        <w:t> </w:t>
      </w:r>
      <w:r>
        <w:rPr>
          <w:sz w:val="20"/>
        </w:rPr>
        <w:t>higher likelihood of a successful case outcome.</w:t>
      </w:r>
    </w:p>
    <w:p>
      <w:pPr>
        <w:pStyle w:val="ListParagraph"/>
        <w:numPr>
          <w:ilvl w:val="0"/>
          <w:numId w:val="23"/>
        </w:numPr>
        <w:tabs>
          <w:tab w:pos="2058" w:val="left" w:leader="none"/>
        </w:tabs>
        <w:spacing w:line="240" w:lineRule="auto" w:before="0" w:after="0"/>
        <w:ind w:left="2057" w:right="1475" w:hanging="361"/>
        <w:jc w:val="both"/>
        <w:rPr>
          <w:rFonts w:ascii="Symbol" w:hAnsi="Symbol"/>
          <w:sz w:val="20"/>
        </w:rPr>
      </w:pPr>
      <w:r>
        <w:rPr>
          <w:i/>
          <w:sz w:val="20"/>
        </w:rPr>
        <w:t>Presence</w:t>
      </w:r>
      <w:r>
        <w:rPr>
          <w:i/>
          <w:spacing w:val="-17"/>
          <w:sz w:val="20"/>
        </w:rPr>
        <w:t> </w:t>
      </w:r>
      <w:r>
        <w:rPr>
          <w:i/>
          <w:sz w:val="20"/>
        </w:rPr>
        <w:t>of</w:t>
      </w:r>
      <w:r>
        <w:rPr>
          <w:i/>
          <w:spacing w:val="-17"/>
          <w:sz w:val="20"/>
        </w:rPr>
        <w:t> </w:t>
      </w:r>
      <w:r>
        <w:rPr>
          <w:i/>
          <w:sz w:val="20"/>
        </w:rPr>
        <w:t>an</w:t>
      </w:r>
      <w:r>
        <w:rPr>
          <w:i/>
          <w:spacing w:val="-17"/>
          <w:sz w:val="20"/>
        </w:rPr>
        <w:t> </w:t>
      </w:r>
      <w:r>
        <w:rPr>
          <w:i/>
          <w:sz w:val="20"/>
        </w:rPr>
        <w:t>HR</w:t>
      </w:r>
      <w:r>
        <w:rPr>
          <w:i/>
          <w:spacing w:val="-16"/>
          <w:sz w:val="20"/>
        </w:rPr>
        <w:t> </w:t>
      </w:r>
      <w:r>
        <w:rPr>
          <w:i/>
          <w:sz w:val="20"/>
        </w:rPr>
        <w:t>or</w:t>
      </w:r>
      <w:r>
        <w:rPr>
          <w:i/>
          <w:spacing w:val="-17"/>
          <w:sz w:val="20"/>
        </w:rPr>
        <w:t> </w:t>
      </w:r>
      <w:r>
        <w:rPr>
          <w:i/>
          <w:sz w:val="20"/>
        </w:rPr>
        <w:t>personnel</w:t>
      </w:r>
      <w:r>
        <w:rPr>
          <w:i/>
          <w:spacing w:val="-16"/>
          <w:sz w:val="20"/>
        </w:rPr>
        <w:t> </w:t>
      </w:r>
      <w:r>
        <w:rPr>
          <w:i/>
          <w:sz w:val="20"/>
        </w:rPr>
        <w:t>department</w:t>
      </w:r>
      <w:r>
        <w:rPr>
          <w:sz w:val="20"/>
        </w:rPr>
        <w:t>:</w:t>
      </w:r>
      <w:r>
        <w:rPr>
          <w:spacing w:val="-16"/>
          <w:sz w:val="20"/>
        </w:rPr>
        <w:t> </w:t>
      </w:r>
      <w:r>
        <w:rPr>
          <w:sz w:val="20"/>
        </w:rPr>
        <w:t>If</w:t>
      </w:r>
      <w:r>
        <w:rPr>
          <w:spacing w:val="-18"/>
          <w:sz w:val="20"/>
        </w:rPr>
        <w:t> </w:t>
      </w:r>
      <w:r>
        <w:rPr>
          <w:sz w:val="20"/>
        </w:rPr>
        <w:t>employers</w:t>
      </w:r>
      <w:r>
        <w:rPr>
          <w:spacing w:val="-16"/>
          <w:sz w:val="20"/>
        </w:rPr>
        <w:t> </w:t>
      </w:r>
      <w:r>
        <w:rPr>
          <w:sz w:val="20"/>
        </w:rPr>
        <w:t>have</w:t>
      </w:r>
      <w:r>
        <w:rPr>
          <w:spacing w:val="-17"/>
          <w:sz w:val="20"/>
        </w:rPr>
        <w:t> </w:t>
      </w:r>
      <w:r>
        <w:rPr>
          <w:sz w:val="20"/>
        </w:rPr>
        <w:t>a</w:t>
      </w:r>
      <w:r>
        <w:rPr>
          <w:spacing w:val="-16"/>
          <w:sz w:val="20"/>
        </w:rPr>
        <w:t> </w:t>
      </w:r>
      <w:r>
        <w:rPr>
          <w:sz w:val="20"/>
        </w:rPr>
        <w:t>specialised HR or personnel function there is a small negative correlation: it is associated with a lower likelihood of the case being resolved successfully.</w:t>
      </w:r>
    </w:p>
    <w:p>
      <w:pPr>
        <w:pStyle w:val="BodyText"/>
        <w:rPr>
          <w:sz w:val="24"/>
        </w:rPr>
      </w:pPr>
    </w:p>
    <w:p>
      <w:pPr>
        <w:pStyle w:val="Heading3"/>
        <w:spacing w:before="191"/>
        <w:ind w:right="1472"/>
        <w:jc w:val="left"/>
      </w:pPr>
      <w:r>
        <w:rPr/>
        <w:t>Figure</w:t>
      </w:r>
      <w:r>
        <w:rPr>
          <w:spacing w:val="40"/>
        </w:rPr>
        <w:t> </w:t>
      </w:r>
      <w:r>
        <w:rPr/>
        <w:t>12.</w:t>
      </w:r>
      <w:r>
        <w:rPr>
          <w:spacing w:val="40"/>
        </w:rPr>
        <w:t> </w:t>
      </w:r>
      <w:r>
        <w:rPr/>
        <w:t>Logistic</w:t>
      </w:r>
      <w:r>
        <w:rPr>
          <w:spacing w:val="40"/>
        </w:rPr>
        <w:t> </w:t>
      </w:r>
      <w:r>
        <w:rPr/>
        <w:t>regression</w:t>
      </w:r>
      <w:r>
        <w:rPr>
          <w:spacing w:val="40"/>
        </w:rPr>
        <w:t> </w:t>
      </w:r>
      <w:r>
        <w:rPr/>
        <w:t>results</w:t>
      </w:r>
      <w:r>
        <w:rPr>
          <w:spacing w:val="40"/>
        </w:rPr>
        <w:t> </w:t>
      </w:r>
      <w:r>
        <w:rPr/>
        <w:t>of</w:t>
      </w:r>
      <w:r>
        <w:rPr>
          <w:spacing w:val="40"/>
        </w:rPr>
        <w:t> </w:t>
      </w:r>
      <w:r>
        <w:rPr/>
        <w:t>external</w:t>
      </w:r>
      <w:r>
        <w:rPr>
          <w:spacing w:val="40"/>
        </w:rPr>
        <w:t> </w:t>
      </w:r>
      <w:r>
        <w:rPr/>
        <w:t>factors</w:t>
      </w:r>
      <w:r>
        <w:rPr>
          <w:spacing w:val="40"/>
        </w:rPr>
        <w:t> </w:t>
      </w:r>
      <w:r>
        <w:rPr/>
        <w:t>determining employer settlement</w:t>
      </w:r>
    </w:p>
    <w:p>
      <w:pPr>
        <w:spacing w:line="223" w:lineRule="auto" w:before="58"/>
        <w:ind w:left="5550" w:right="1553" w:firstLine="0"/>
        <w:jc w:val="left"/>
        <w:rPr>
          <w:b/>
          <w:i/>
          <w:sz w:val="15"/>
        </w:rPr>
      </w:pPr>
      <w:r>
        <w:rPr>
          <w:b/>
          <w:i/>
          <w:color w:val="74AA50"/>
          <w:spacing w:val="-2"/>
          <w:sz w:val="15"/>
        </w:rPr>
        <w:t>Employer</w:t>
      </w:r>
      <w:r>
        <w:rPr>
          <w:b/>
          <w:i/>
          <w:color w:val="74AA50"/>
          <w:spacing w:val="-11"/>
          <w:sz w:val="15"/>
        </w:rPr>
        <w:t> </w:t>
      </w:r>
      <w:r>
        <w:rPr>
          <w:b/>
          <w:i/>
          <w:color w:val="74AA50"/>
          <w:spacing w:val="-2"/>
          <w:sz w:val="15"/>
          <w:u w:val="single" w:color="74AA50"/>
        </w:rPr>
        <w:t>more</w:t>
      </w:r>
      <w:r>
        <w:rPr>
          <w:b/>
          <w:i/>
          <w:color w:val="74AA50"/>
          <w:spacing w:val="-11"/>
          <w:sz w:val="15"/>
        </w:rPr>
        <w:t> </w:t>
      </w:r>
      <w:r>
        <w:rPr>
          <w:b/>
          <w:i/>
          <w:color w:val="74AA50"/>
          <w:spacing w:val="-2"/>
          <w:sz w:val="15"/>
        </w:rPr>
        <w:t>likely</w:t>
      </w:r>
      <w:r>
        <w:rPr>
          <w:b/>
          <w:i/>
          <w:color w:val="74AA50"/>
          <w:spacing w:val="6"/>
          <w:sz w:val="15"/>
        </w:rPr>
        <w:t> </w:t>
      </w:r>
      <w:r>
        <w:rPr>
          <w:b/>
          <w:i/>
          <w:color w:val="74AA50"/>
          <w:spacing w:val="-2"/>
          <w:sz w:val="15"/>
        </w:rPr>
        <w:t>to</w:t>
      </w:r>
      <w:r>
        <w:rPr>
          <w:b/>
          <w:i/>
          <w:color w:val="74AA50"/>
          <w:spacing w:val="-15"/>
          <w:sz w:val="15"/>
        </w:rPr>
        <w:t> </w:t>
      </w:r>
      <w:r>
        <w:rPr>
          <w:b/>
          <w:i/>
          <w:color w:val="74AA50"/>
          <w:spacing w:val="-2"/>
          <w:sz w:val="15"/>
        </w:rPr>
        <w:t>have</w:t>
      </w:r>
      <w:r>
        <w:rPr>
          <w:b/>
          <w:i/>
          <w:color w:val="74AA50"/>
          <w:spacing w:val="-8"/>
          <w:sz w:val="15"/>
        </w:rPr>
        <w:t> </w:t>
      </w:r>
      <w:r>
        <w:rPr>
          <w:b/>
          <w:i/>
          <w:color w:val="74AA50"/>
          <w:spacing w:val="-2"/>
          <w:sz w:val="15"/>
        </w:rPr>
        <w:t>reached</w:t>
      </w:r>
      <w:r>
        <w:rPr>
          <w:b/>
          <w:i/>
          <w:color w:val="74AA50"/>
          <w:spacing w:val="-11"/>
          <w:sz w:val="15"/>
        </w:rPr>
        <w:t> </w:t>
      </w:r>
      <w:r>
        <w:rPr>
          <w:b/>
          <w:i/>
          <w:color w:val="74AA50"/>
          <w:spacing w:val="-2"/>
          <w:sz w:val="15"/>
        </w:rPr>
        <w:t>a</w:t>
      </w:r>
      <w:r>
        <w:rPr>
          <w:b/>
          <w:i/>
          <w:color w:val="74AA50"/>
          <w:spacing w:val="-2"/>
          <w:sz w:val="15"/>
        </w:rPr>
        <w:t> settlement</w:t>
      </w:r>
    </w:p>
    <w:p>
      <w:pPr>
        <w:pStyle w:val="BodyText"/>
        <w:rPr>
          <w:b/>
          <w:i/>
        </w:rPr>
      </w:pPr>
    </w:p>
    <w:p>
      <w:pPr>
        <w:pStyle w:val="BodyText"/>
        <w:rPr>
          <w:b/>
          <w:i/>
          <w:sz w:val="19"/>
        </w:rPr>
      </w:pPr>
    </w:p>
    <w:p>
      <w:pPr>
        <w:spacing w:line="176" w:lineRule="exact" w:before="100"/>
        <w:ind w:left="0" w:right="5784" w:firstLine="0"/>
        <w:jc w:val="right"/>
        <w:rPr>
          <w:sz w:val="15"/>
        </w:rPr>
      </w:pPr>
      <w:r>
        <w:rPr/>
        <w:pict>
          <v:group style="position:absolute;margin-left:204.239288pt;margin-top:-20.934097pt;width:212.8pt;height:141.2pt;mso-position-horizontal-relative:page;mso-position-vertical-relative:paragraph;z-index:-18112000" id="docshapegroup34" coordorigin="4085,-419" coordsize="4256,2824">
            <v:rect style="position:absolute;left:4084;top:1352;width:1889;height:699" id="docshape35" filled="true" fillcolor="#ff575d" stroked="false">
              <v:fill type="solid"/>
            </v:rect>
            <v:rect style="position:absolute;left:5972;top:-65;width:2368;height:709" id="docshape36" filled="true" fillcolor="#74aa50" stroked="false">
              <v:fill type="solid"/>
            </v:rect>
            <v:line style="position:absolute" from="5978,2405" to="5978,-419" stroked="true" strokeweight=".500012pt" strokecolor="#ddddde">
              <v:stroke dashstyle="solid"/>
            </v:line>
            <w10:wrap type="none"/>
          </v:group>
        </w:pict>
      </w:r>
      <w:r>
        <w:rPr>
          <w:spacing w:val="-2"/>
          <w:sz w:val="15"/>
        </w:rPr>
        <w:t>I</w:t>
      </w:r>
      <w:r>
        <w:rPr>
          <w:spacing w:val="-12"/>
          <w:sz w:val="15"/>
        </w:rPr>
        <w:t> </w:t>
      </w:r>
      <w:r>
        <w:rPr>
          <w:spacing w:val="-2"/>
          <w:sz w:val="15"/>
        </w:rPr>
        <w:t>am</w:t>
      </w:r>
      <w:r>
        <w:rPr>
          <w:spacing w:val="-6"/>
          <w:sz w:val="15"/>
        </w:rPr>
        <w:t> </w:t>
      </w:r>
      <w:r>
        <w:rPr>
          <w:spacing w:val="-2"/>
          <w:sz w:val="15"/>
        </w:rPr>
        <w:t>responsible</w:t>
      </w:r>
      <w:r>
        <w:rPr>
          <w:spacing w:val="-8"/>
          <w:sz w:val="15"/>
        </w:rPr>
        <w:t> </w:t>
      </w:r>
      <w:r>
        <w:rPr>
          <w:spacing w:val="-2"/>
          <w:sz w:val="15"/>
        </w:rPr>
        <w:t>for</w:t>
      </w:r>
      <w:r>
        <w:rPr>
          <w:spacing w:val="-12"/>
          <w:sz w:val="15"/>
        </w:rPr>
        <w:t> </w:t>
      </w:r>
      <w:r>
        <w:rPr>
          <w:spacing w:val="-2"/>
          <w:sz w:val="15"/>
        </w:rPr>
        <w:t>dealing</w:t>
      </w:r>
      <w:r>
        <w:rPr>
          <w:spacing w:val="6"/>
          <w:sz w:val="15"/>
        </w:rPr>
        <w:t> </w:t>
      </w:r>
      <w:r>
        <w:rPr>
          <w:spacing w:val="-2"/>
          <w:sz w:val="15"/>
        </w:rPr>
        <w:t>with</w:t>
      </w:r>
      <w:r>
        <w:rPr>
          <w:spacing w:val="-11"/>
          <w:sz w:val="15"/>
        </w:rPr>
        <w:t> </w:t>
      </w:r>
      <w:r>
        <w:rPr>
          <w:spacing w:val="-2"/>
          <w:sz w:val="15"/>
        </w:rPr>
        <w:t>employment</w:t>
      </w:r>
    </w:p>
    <w:p>
      <w:pPr>
        <w:spacing w:line="176" w:lineRule="exact" w:before="0"/>
        <w:ind w:left="0" w:right="5778" w:firstLine="0"/>
        <w:jc w:val="right"/>
        <w:rPr>
          <w:sz w:val="15"/>
        </w:rPr>
      </w:pPr>
      <w:r>
        <w:rPr>
          <w:spacing w:val="-2"/>
          <w:sz w:val="15"/>
        </w:rPr>
        <w:t>disputes</w:t>
      </w:r>
      <w:r>
        <w:rPr>
          <w:spacing w:val="-4"/>
          <w:sz w:val="15"/>
        </w:rPr>
        <w:t> </w:t>
      </w:r>
      <w:r>
        <w:rPr>
          <w:spacing w:val="-2"/>
          <w:sz w:val="15"/>
        </w:rPr>
        <w:t>in</w:t>
      </w:r>
      <w:r>
        <w:rPr>
          <w:spacing w:val="-9"/>
          <w:sz w:val="15"/>
        </w:rPr>
        <w:t> </w:t>
      </w:r>
      <w:r>
        <w:rPr>
          <w:spacing w:val="-2"/>
          <w:sz w:val="15"/>
        </w:rPr>
        <w:t>this</w:t>
      </w:r>
      <w:r>
        <w:rPr>
          <w:spacing w:val="-4"/>
          <w:sz w:val="15"/>
        </w:rPr>
        <w:t> </w:t>
      </w:r>
      <w:r>
        <w:rPr>
          <w:spacing w:val="-2"/>
          <w:sz w:val="15"/>
        </w:rPr>
        <w:t>organisation</w:t>
      </w:r>
    </w:p>
    <w:p>
      <w:pPr>
        <w:pStyle w:val="BodyText"/>
      </w:pPr>
    </w:p>
    <w:p>
      <w:pPr>
        <w:pStyle w:val="BodyText"/>
      </w:pPr>
    </w:p>
    <w:p>
      <w:pPr>
        <w:pStyle w:val="BodyText"/>
      </w:pPr>
    </w:p>
    <w:p>
      <w:pPr>
        <w:pStyle w:val="BodyText"/>
        <w:spacing w:before="6"/>
        <w:rPr>
          <w:sz w:val="21"/>
        </w:rPr>
      </w:pPr>
    </w:p>
    <w:p>
      <w:pPr>
        <w:spacing w:line="230" w:lineRule="auto" w:before="0"/>
        <w:ind w:left="5646" w:right="1692" w:firstLine="0"/>
        <w:jc w:val="left"/>
        <w:rPr>
          <w:sz w:val="15"/>
        </w:rPr>
      </w:pPr>
      <w:r>
        <w:rPr>
          <w:sz w:val="15"/>
        </w:rPr>
        <w:t>The</w:t>
      </w:r>
      <w:r>
        <w:rPr>
          <w:spacing w:val="-14"/>
          <w:sz w:val="15"/>
        </w:rPr>
        <w:t> </w:t>
      </w:r>
      <w:r>
        <w:rPr>
          <w:sz w:val="15"/>
        </w:rPr>
        <w:t>organisation</w:t>
      </w:r>
      <w:r>
        <w:rPr>
          <w:spacing w:val="-13"/>
          <w:sz w:val="15"/>
        </w:rPr>
        <w:t> </w:t>
      </w:r>
      <w:r>
        <w:rPr>
          <w:sz w:val="15"/>
        </w:rPr>
        <w:t>has</w:t>
      </w:r>
      <w:r>
        <w:rPr>
          <w:spacing w:val="-13"/>
          <w:sz w:val="15"/>
        </w:rPr>
        <w:t> </w:t>
      </w:r>
      <w:r>
        <w:rPr>
          <w:sz w:val="15"/>
        </w:rPr>
        <w:t>an</w:t>
      </w:r>
      <w:r>
        <w:rPr>
          <w:spacing w:val="-13"/>
          <w:sz w:val="15"/>
        </w:rPr>
        <w:t> </w:t>
      </w:r>
      <w:r>
        <w:rPr>
          <w:sz w:val="15"/>
        </w:rPr>
        <w:t>internal</w:t>
      </w:r>
      <w:r>
        <w:rPr>
          <w:spacing w:val="-13"/>
          <w:sz w:val="15"/>
        </w:rPr>
        <w:t> </w:t>
      </w:r>
      <w:r>
        <w:rPr>
          <w:sz w:val="15"/>
        </w:rPr>
        <w:t>Human</w:t>
      </w:r>
      <w:r>
        <w:rPr>
          <w:spacing w:val="-14"/>
          <w:sz w:val="15"/>
        </w:rPr>
        <w:t> </w:t>
      </w:r>
      <w:r>
        <w:rPr>
          <w:sz w:val="15"/>
        </w:rPr>
        <w:t>Resources or</w:t>
      </w:r>
      <w:r>
        <w:rPr>
          <w:spacing w:val="-17"/>
          <w:sz w:val="15"/>
        </w:rPr>
        <w:t> </w:t>
      </w:r>
      <w:r>
        <w:rPr>
          <w:sz w:val="13"/>
        </w:rPr>
        <w:t>Personnel</w:t>
      </w:r>
      <w:r>
        <w:rPr>
          <w:spacing w:val="27"/>
          <w:sz w:val="13"/>
        </w:rPr>
        <w:t> </w:t>
      </w:r>
      <w:r>
        <w:rPr>
          <w:sz w:val="15"/>
        </w:rPr>
        <w:t>Department</w:t>
      </w:r>
      <w:r>
        <w:rPr>
          <w:spacing w:val="-12"/>
          <w:sz w:val="15"/>
        </w:rPr>
        <w:t> </w:t>
      </w:r>
      <w:r>
        <w:rPr>
          <w:sz w:val="15"/>
        </w:rPr>
        <w:t>that</w:t>
      </w:r>
      <w:r>
        <w:rPr>
          <w:spacing w:val="-2"/>
          <w:sz w:val="15"/>
        </w:rPr>
        <w:t> </w:t>
      </w:r>
      <w:r>
        <w:rPr>
          <w:sz w:val="15"/>
        </w:rPr>
        <w:t>deals with</w:t>
      </w:r>
      <w:r>
        <w:rPr>
          <w:spacing w:val="-8"/>
          <w:sz w:val="15"/>
        </w:rPr>
        <w:t> </w:t>
      </w:r>
      <w:r>
        <w:rPr>
          <w:sz w:val="15"/>
        </w:rPr>
        <w:t>personnel </w:t>
      </w:r>
      <w:r>
        <w:rPr>
          <w:spacing w:val="-2"/>
          <w:sz w:val="15"/>
        </w:rPr>
        <w:t>issues</w:t>
      </w:r>
    </w:p>
    <w:p>
      <w:pPr>
        <w:pStyle w:val="BodyText"/>
      </w:pPr>
    </w:p>
    <w:p>
      <w:pPr>
        <w:pStyle w:val="BodyText"/>
        <w:spacing w:before="6"/>
        <w:rPr>
          <w:sz w:val="19"/>
        </w:rPr>
      </w:pPr>
    </w:p>
    <w:p>
      <w:pPr>
        <w:spacing w:line="176" w:lineRule="exact" w:before="0"/>
        <w:ind w:left="0" w:right="5674" w:firstLine="0"/>
        <w:jc w:val="right"/>
        <w:rPr>
          <w:b/>
          <w:i/>
          <w:sz w:val="15"/>
        </w:rPr>
      </w:pPr>
      <w:r>
        <w:rPr>
          <w:b/>
          <w:i/>
          <w:color w:val="FF575D"/>
          <w:spacing w:val="-4"/>
          <w:sz w:val="15"/>
        </w:rPr>
        <w:t>Employer</w:t>
      </w:r>
      <w:r>
        <w:rPr>
          <w:b/>
          <w:i/>
          <w:color w:val="FF575D"/>
          <w:spacing w:val="-5"/>
          <w:sz w:val="15"/>
        </w:rPr>
        <w:t> </w:t>
      </w:r>
      <w:r>
        <w:rPr>
          <w:b/>
          <w:i/>
          <w:color w:val="FF575D"/>
          <w:spacing w:val="-4"/>
          <w:sz w:val="15"/>
          <w:u w:val="single" w:color="FF575D"/>
        </w:rPr>
        <w:t>less</w:t>
      </w:r>
      <w:r>
        <w:rPr>
          <w:b/>
          <w:i/>
          <w:color w:val="FF575D"/>
          <w:spacing w:val="1"/>
          <w:sz w:val="15"/>
        </w:rPr>
        <w:t> </w:t>
      </w:r>
      <w:r>
        <w:rPr>
          <w:b/>
          <w:i/>
          <w:color w:val="FF575D"/>
          <w:spacing w:val="-4"/>
          <w:sz w:val="15"/>
        </w:rPr>
        <w:t>likely</w:t>
      </w:r>
      <w:r>
        <w:rPr>
          <w:b/>
          <w:i/>
          <w:color w:val="FF575D"/>
          <w:spacing w:val="24"/>
          <w:sz w:val="15"/>
        </w:rPr>
        <w:t> </w:t>
      </w:r>
      <w:r>
        <w:rPr>
          <w:b/>
          <w:i/>
          <w:color w:val="FF575D"/>
          <w:spacing w:val="-4"/>
          <w:sz w:val="15"/>
        </w:rPr>
        <w:t>to have</w:t>
      </w:r>
      <w:r>
        <w:rPr>
          <w:b/>
          <w:i/>
          <w:color w:val="FF575D"/>
          <w:spacing w:val="-9"/>
          <w:sz w:val="15"/>
        </w:rPr>
        <w:t> </w:t>
      </w:r>
      <w:r>
        <w:rPr>
          <w:b/>
          <w:i/>
          <w:color w:val="FF575D"/>
          <w:spacing w:val="-4"/>
          <w:sz w:val="15"/>
        </w:rPr>
        <w:t>reached</w:t>
      </w:r>
      <w:r>
        <w:rPr>
          <w:b/>
          <w:i/>
          <w:color w:val="FF575D"/>
          <w:spacing w:val="-6"/>
          <w:sz w:val="15"/>
        </w:rPr>
        <w:t> </w:t>
      </w:r>
      <w:r>
        <w:rPr>
          <w:b/>
          <w:i/>
          <w:color w:val="FF575D"/>
          <w:spacing w:val="-10"/>
          <w:sz w:val="15"/>
        </w:rPr>
        <w:t>a</w:t>
      </w:r>
    </w:p>
    <w:p>
      <w:pPr>
        <w:spacing w:line="176" w:lineRule="exact" w:before="0"/>
        <w:ind w:left="0" w:right="5675" w:firstLine="0"/>
        <w:jc w:val="right"/>
        <w:rPr>
          <w:b/>
          <w:i/>
          <w:sz w:val="15"/>
        </w:rPr>
      </w:pPr>
      <w:r>
        <w:rPr>
          <w:b/>
          <w:i/>
          <w:color w:val="FF575D"/>
          <w:spacing w:val="-2"/>
          <w:sz w:val="15"/>
        </w:rPr>
        <w:t>settlement</w:t>
      </w:r>
    </w:p>
    <w:p>
      <w:pPr>
        <w:pStyle w:val="BodyText"/>
        <w:spacing w:before="3"/>
        <w:rPr>
          <w:b/>
          <w:i/>
          <w:sz w:val="19"/>
        </w:rPr>
      </w:pPr>
    </w:p>
    <w:p>
      <w:pPr>
        <w:pStyle w:val="BodyText"/>
        <w:spacing w:before="100"/>
        <w:ind w:left="1337" w:right="1474"/>
        <w:jc w:val="both"/>
      </w:pPr>
      <w:r>
        <w:rPr/>
        <w:t>The</w:t>
      </w:r>
      <w:r>
        <w:rPr>
          <w:spacing w:val="-18"/>
        </w:rPr>
        <w:t> </w:t>
      </w:r>
      <w:r>
        <w:rPr/>
        <w:t>four</w:t>
      </w:r>
      <w:r>
        <w:rPr>
          <w:spacing w:val="-18"/>
        </w:rPr>
        <w:t> </w:t>
      </w:r>
      <w:r>
        <w:rPr/>
        <w:t>models</w:t>
      </w:r>
      <w:r>
        <w:rPr>
          <w:spacing w:val="-17"/>
        </w:rPr>
        <w:t> </w:t>
      </w:r>
      <w:r>
        <w:rPr/>
        <w:t>here</w:t>
      </w:r>
      <w:r>
        <w:rPr>
          <w:spacing w:val="-18"/>
        </w:rPr>
        <w:t> </w:t>
      </w:r>
      <w:r>
        <w:rPr/>
        <w:t>identify</w:t>
      </w:r>
      <w:r>
        <w:rPr>
          <w:spacing w:val="-17"/>
        </w:rPr>
        <w:t> </w:t>
      </w:r>
      <w:r>
        <w:rPr/>
        <w:t>various</w:t>
      </w:r>
      <w:r>
        <w:rPr>
          <w:spacing w:val="-18"/>
        </w:rPr>
        <w:t> </w:t>
      </w:r>
      <w:r>
        <w:rPr/>
        <w:t>key</w:t>
      </w:r>
      <w:r>
        <w:rPr>
          <w:spacing w:val="-18"/>
        </w:rPr>
        <w:t> </w:t>
      </w:r>
      <w:r>
        <w:rPr/>
        <w:t>factors</w:t>
      </w:r>
      <w:r>
        <w:rPr>
          <w:spacing w:val="-17"/>
        </w:rPr>
        <w:t> </w:t>
      </w:r>
      <w:r>
        <w:rPr/>
        <w:t>associated</w:t>
      </w:r>
      <w:r>
        <w:rPr>
          <w:spacing w:val="-17"/>
        </w:rPr>
        <w:t> </w:t>
      </w:r>
      <w:r>
        <w:rPr/>
        <w:t>with</w:t>
      </w:r>
      <w:r>
        <w:rPr>
          <w:spacing w:val="-16"/>
        </w:rPr>
        <w:t> </w:t>
      </w:r>
      <w:r>
        <w:rPr/>
        <w:t>a</w:t>
      </w:r>
      <w:r>
        <w:rPr>
          <w:spacing w:val="-18"/>
        </w:rPr>
        <w:t> </w:t>
      </w:r>
      <w:r>
        <w:rPr/>
        <w:t>higher</w:t>
      </w:r>
      <w:r>
        <w:rPr>
          <w:spacing w:val="-18"/>
        </w:rPr>
        <w:t> </w:t>
      </w:r>
      <w:r>
        <w:rPr/>
        <w:t>likelihood of a successful resolution.</w:t>
      </w:r>
    </w:p>
    <w:p>
      <w:pPr>
        <w:pStyle w:val="BodyText"/>
        <w:spacing w:before="1"/>
      </w:pPr>
    </w:p>
    <w:p>
      <w:pPr>
        <w:pStyle w:val="BodyText"/>
        <w:ind w:left="1337" w:right="1473"/>
        <w:jc w:val="both"/>
      </w:pPr>
      <w:r>
        <w:rPr/>
        <w:t>For</w:t>
      </w:r>
      <w:r>
        <w:rPr>
          <w:spacing w:val="-2"/>
        </w:rPr>
        <w:t> </w:t>
      </w:r>
      <w:r>
        <w:rPr/>
        <w:t>claimants</w:t>
      </w:r>
      <w:r>
        <w:rPr>
          <w:spacing w:val="-2"/>
        </w:rPr>
        <w:t> </w:t>
      </w:r>
      <w:r>
        <w:rPr/>
        <w:t>the</w:t>
      </w:r>
      <w:r>
        <w:rPr>
          <w:spacing w:val="-3"/>
        </w:rPr>
        <w:t> </w:t>
      </w:r>
      <w:r>
        <w:rPr/>
        <w:t>key</w:t>
      </w:r>
      <w:r>
        <w:rPr>
          <w:spacing w:val="-2"/>
        </w:rPr>
        <w:t> </w:t>
      </w:r>
      <w:r>
        <w:rPr/>
        <w:t>internal</w:t>
      </w:r>
      <w:r>
        <w:rPr>
          <w:spacing w:val="-2"/>
        </w:rPr>
        <w:t> </w:t>
      </w:r>
      <w:r>
        <w:rPr/>
        <w:t>factors</w:t>
      </w:r>
      <w:r>
        <w:rPr>
          <w:spacing w:val="-2"/>
        </w:rPr>
        <w:t> </w:t>
      </w:r>
      <w:r>
        <w:rPr/>
        <w:t>are</w:t>
      </w:r>
      <w:r>
        <w:rPr>
          <w:spacing w:val="-2"/>
        </w:rPr>
        <w:t> </w:t>
      </w:r>
      <w:r>
        <w:rPr/>
        <w:t>the</w:t>
      </w:r>
      <w:r>
        <w:rPr>
          <w:spacing w:val="-4"/>
        </w:rPr>
        <w:t> </w:t>
      </w:r>
      <w:r>
        <w:rPr/>
        <w:t>overall</w:t>
      </w:r>
      <w:r>
        <w:rPr>
          <w:spacing w:val="-2"/>
        </w:rPr>
        <w:t> </w:t>
      </w:r>
      <w:r>
        <w:rPr/>
        <w:t>impact</w:t>
      </w:r>
      <w:r>
        <w:rPr>
          <w:spacing w:val="-2"/>
        </w:rPr>
        <w:t> </w:t>
      </w:r>
      <w:r>
        <w:rPr/>
        <w:t>Acas</w:t>
      </w:r>
      <w:r>
        <w:rPr>
          <w:spacing w:val="-2"/>
        </w:rPr>
        <w:t> </w:t>
      </w:r>
      <w:r>
        <w:rPr/>
        <w:t>had</w:t>
      </w:r>
      <w:r>
        <w:rPr>
          <w:spacing w:val="-2"/>
        </w:rPr>
        <w:t> </w:t>
      </w:r>
      <w:r>
        <w:rPr/>
        <w:t>in</w:t>
      </w:r>
      <w:r>
        <w:rPr>
          <w:spacing w:val="-2"/>
        </w:rPr>
        <w:t> </w:t>
      </w:r>
      <w:r>
        <w:rPr/>
        <w:t>brokering a</w:t>
      </w:r>
      <w:r>
        <w:rPr>
          <w:spacing w:val="-1"/>
        </w:rPr>
        <w:t> </w:t>
      </w:r>
      <w:r>
        <w:rPr/>
        <w:t>resolution and</w:t>
      </w:r>
      <w:r>
        <w:rPr>
          <w:spacing w:val="-1"/>
        </w:rPr>
        <w:t> </w:t>
      </w:r>
      <w:r>
        <w:rPr/>
        <w:t>the</w:t>
      </w:r>
      <w:r>
        <w:rPr>
          <w:spacing w:val="-1"/>
        </w:rPr>
        <w:t> </w:t>
      </w:r>
      <w:r>
        <w:rPr/>
        <w:t>information provided</w:t>
      </w:r>
      <w:r>
        <w:rPr>
          <w:spacing w:val="-1"/>
        </w:rPr>
        <w:t> </w:t>
      </w:r>
      <w:r>
        <w:rPr/>
        <w:t>in the</w:t>
      </w:r>
      <w:r>
        <w:rPr>
          <w:spacing w:val="-1"/>
        </w:rPr>
        <w:t> </w:t>
      </w:r>
      <w:r>
        <w:rPr/>
        <w:t>notification form</w:t>
      </w:r>
      <w:r>
        <w:rPr>
          <w:spacing w:val="-1"/>
        </w:rPr>
        <w:t> </w:t>
      </w:r>
      <w:r>
        <w:rPr/>
        <w:t>at the</w:t>
      </w:r>
      <w:r>
        <w:rPr>
          <w:spacing w:val="-1"/>
        </w:rPr>
        <w:t> </w:t>
      </w:r>
      <w:r>
        <w:rPr/>
        <w:t>very start of the EC process, while external factors are demographic, including gender, disability</w:t>
      </w:r>
      <w:r>
        <w:rPr>
          <w:spacing w:val="6"/>
        </w:rPr>
        <w:t> </w:t>
      </w:r>
      <w:r>
        <w:rPr/>
        <w:t>status</w:t>
      </w:r>
      <w:r>
        <w:rPr>
          <w:spacing w:val="8"/>
        </w:rPr>
        <w:t> </w:t>
      </w:r>
      <w:r>
        <w:rPr/>
        <w:t>and</w:t>
      </w:r>
      <w:r>
        <w:rPr>
          <w:spacing w:val="8"/>
        </w:rPr>
        <w:t> </w:t>
      </w:r>
      <w:r>
        <w:rPr/>
        <w:t>employment.</w:t>
      </w:r>
      <w:r>
        <w:rPr>
          <w:spacing w:val="8"/>
        </w:rPr>
        <w:t> </w:t>
      </w:r>
      <w:r>
        <w:rPr/>
        <w:t>This</w:t>
      </w:r>
      <w:r>
        <w:rPr>
          <w:spacing w:val="9"/>
        </w:rPr>
        <w:t> </w:t>
      </w:r>
      <w:r>
        <w:rPr/>
        <w:t>differs</w:t>
      </w:r>
      <w:r>
        <w:rPr>
          <w:spacing w:val="8"/>
        </w:rPr>
        <w:t> </w:t>
      </w:r>
      <w:r>
        <w:rPr/>
        <w:t>from</w:t>
      </w:r>
      <w:r>
        <w:rPr>
          <w:spacing w:val="6"/>
        </w:rPr>
        <w:t> </w:t>
      </w:r>
      <w:r>
        <w:rPr/>
        <w:t>2015,</w:t>
      </w:r>
      <w:r>
        <w:rPr>
          <w:spacing w:val="8"/>
        </w:rPr>
        <w:t> </w:t>
      </w:r>
      <w:r>
        <w:rPr/>
        <w:t>where</w:t>
      </w:r>
      <w:r>
        <w:rPr>
          <w:spacing w:val="8"/>
        </w:rPr>
        <w:t> </w:t>
      </w:r>
      <w:r>
        <w:rPr/>
        <w:t>standard</w:t>
      </w:r>
      <w:r>
        <w:rPr>
          <w:spacing w:val="9"/>
        </w:rPr>
        <w:t> </w:t>
      </w:r>
      <w:r>
        <w:rPr>
          <w:spacing w:val="-2"/>
        </w:rPr>
        <w:t>service</w:t>
      </w:r>
    </w:p>
    <w:p>
      <w:pPr>
        <w:spacing w:after="0"/>
        <w:jc w:val="both"/>
        <w:sectPr>
          <w:pgSz w:w="11910" w:h="16840"/>
          <w:pgMar w:header="0" w:footer="996" w:top="1340" w:bottom="1180" w:left="460" w:right="320"/>
        </w:sectPr>
      </w:pPr>
    </w:p>
    <w:p>
      <w:pPr>
        <w:pStyle w:val="BodyText"/>
        <w:spacing w:before="82"/>
        <w:ind w:left="1337" w:right="1473" w:hanging="1"/>
        <w:jc w:val="both"/>
      </w:pPr>
      <w:r>
        <w:rPr/>
        <w:t>metrics such as the number of contacts by the conciliator and the conciliator’s ability to relay proposals was more important.</w:t>
      </w:r>
    </w:p>
    <w:p>
      <w:pPr>
        <w:pStyle w:val="BodyText"/>
        <w:spacing w:before="11"/>
        <w:rPr>
          <w:sz w:val="19"/>
        </w:rPr>
      </w:pPr>
    </w:p>
    <w:p>
      <w:pPr>
        <w:pStyle w:val="BodyText"/>
        <w:ind w:left="1337" w:right="1472"/>
        <w:jc w:val="both"/>
      </w:pPr>
      <w:r>
        <w:rPr/>
        <w:t>For employers these service metrics were more important, with conciliator availability, the amount of contact and the method of contact all being important internal factors, in addition to Acas’ overall ability to broker a resolution. External factors appear to relate to having the ‘right’ person deal with the dispute; if the employer who handled the case was the person within the organisation with responsibility for dealing with employment disputes more generally, this was associated</w:t>
      </w:r>
      <w:r>
        <w:rPr>
          <w:spacing w:val="-8"/>
        </w:rPr>
        <w:t> </w:t>
      </w:r>
      <w:r>
        <w:rPr/>
        <w:t>with</w:t>
      </w:r>
      <w:r>
        <w:rPr>
          <w:spacing w:val="-7"/>
        </w:rPr>
        <w:t> </w:t>
      </w:r>
      <w:r>
        <w:rPr/>
        <w:t>a</w:t>
      </w:r>
      <w:r>
        <w:rPr>
          <w:spacing w:val="-8"/>
        </w:rPr>
        <w:t> </w:t>
      </w:r>
      <w:r>
        <w:rPr/>
        <w:t>higher</w:t>
      </w:r>
      <w:r>
        <w:rPr>
          <w:spacing w:val="-7"/>
        </w:rPr>
        <w:t> </w:t>
      </w:r>
      <w:r>
        <w:rPr/>
        <w:t>likelihood</w:t>
      </w:r>
      <w:r>
        <w:rPr>
          <w:spacing w:val="-7"/>
        </w:rPr>
        <w:t> </w:t>
      </w:r>
      <w:r>
        <w:rPr/>
        <w:t>of</w:t>
      </w:r>
      <w:r>
        <w:rPr>
          <w:spacing w:val="-6"/>
        </w:rPr>
        <w:t> </w:t>
      </w:r>
      <w:r>
        <w:rPr/>
        <w:t>a</w:t>
      </w:r>
      <w:r>
        <w:rPr>
          <w:spacing w:val="-8"/>
        </w:rPr>
        <w:t> </w:t>
      </w:r>
      <w:r>
        <w:rPr/>
        <w:t>successful</w:t>
      </w:r>
      <w:r>
        <w:rPr>
          <w:spacing w:val="-8"/>
        </w:rPr>
        <w:t> </w:t>
      </w:r>
      <w:r>
        <w:rPr/>
        <w:t>outcome.</w:t>
      </w:r>
      <w:r>
        <w:rPr>
          <w:spacing w:val="-8"/>
        </w:rPr>
        <w:t> </w:t>
      </w:r>
      <w:r>
        <w:rPr/>
        <w:t>The</w:t>
      </w:r>
      <w:r>
        <w:rPr>
          <w:spacing w:val="-8"/>
        </w:rPr>
        <w:t> </w:t>
      </w:r>
      <w:r>
        <w:rPr/>
        <w:t>presence</w:t>
      </w:r>
      <w:r>
        <w:rPr>
          <w:spacing w:val="-7"/>
        </w:rPr>
        <w:t> </w:t>
      </w:r>
      <w:r>
        <w:rPr/>
        <w:t>of</w:t>
      </w:r>
      <w:r>
        <w:rPr>
          <w:spacing w:val="-6"/>
        </w:rPr>
        <w:t> </w:t>
      </w:r>
      <w:r>
        <w:rPr/>
        <w:t>an</w:t>
      </w:r>
      <w:r>
        <w:rPr>
          <w:spacing w:val="-7"/>
        </w:rPr>
        <w:t> </w:t>
      </w:r>
      <w:r>
        <w:rPr/>
        <w:t>HR or Personnel department was found to have a small negative association with the likelihood</w:t>
      </w:r>
      <w:r>
        <w:rPr>
          <w:spacing w:val="-7"/>
        </w:rPr>
        <w:t> </w:t>
      </w:r>
      <w:r>
        <w:rPr/>
        <w:t>of</w:t>
      </w:r>
      <w:r>
        <w:rPr>
          <w:spacing w:val="-7"/>
        </w:rPr>
        <w:t> </w:t>
      </w:r>
      <w:r>
        <w:rPr/>
        <w:t>settling</w:t>
      </w:r>
      <w:r>
        <w:rPr>
          <w:spacing w:val="-7"/>
        </w:rPr>
        <w:t> </w:t>
      </w:r>
      <w:r>
        <w:rPr/>
        <w:t>a</w:t>
      </w:r>
      <w:r>
        <w:rPr>
          <w:spacing w:val="-7"/>
        </w:rPr>
        <w:t> </w:t>
      </w:r>
      <w:r>
        <w:rPr/>
        <w:t>case</w:t>
      </w:r>
      <w:r>
        <w:rPr>
          <w:spacing w:val="-7"/>
        </w:rPr>
        <w:t> </w:t>
      </w:r>
      <w:r>
        <w:rPr/>
        <w:t>–</w:t>
      </w:r>
      <w:r>
        <w:rPr>
          <w:spacing w:val="-7"/>
        </w:rPr>
        <w:t> </w:t>
      </w:r>
      <w:r>
        <w:rPr/>
        <w:t>possibly</w:t>
      </w:r>
      <w:r>
        <w:rPr>
          <w:spacing w:val="-7"/>
        </w:rPr>
        <w:t> </w:t>
      </w:r>
      <w:r>
        <w:rPr/>
        <w:t>related</w:t>
      </w:r>
      <w:r>
        <w:rPr>
          <w:spacing w:val="-7"/>
        </w:rPr>
        <w:t> </w:t>
      </w:r>
      <w:r>
        <w:rPr/>
        <w:t>to</w:t>
      </w:r>
      <w:r>
        <w:rPr>
          <w:spacing w:val="-7"/>
        </w:rPr>
        <w:t> </w:t>
      </w:r>
      <w:r>
        <w:rPr/>
        <w:t>the</w:t>
      </w:r>
      <w:r>
        <w:rPr>
          <w:spacing w:val="-9"/>
        </w:rPr>
        <w:t> </w:t>
      </w:r>
      <w:r>
        <w:rPr/>
        <w:t>fact</w:t>
      </w:r>
      <w:r>
        <w:rPr>
          <w:spacing w:val="-9"/>
        </w:rPr>
        <w:t> </w:t>
      </w:r>
      <w:r>
        <w:rPr/>
        <w:t>HR</w:t>
      </w:r>
      <w:r>
        <w:rPr>
          <w:spacing w:val="-7"/>
        </w:rPr>
        <w:t> </w:t>
      </w:r>
      <w:r>
        <w:rPr/>
        <w:t>departments</w:t>
      </w:r>
      <w:r>
        <w:rPr>
          <w:spacing w:val="-8"/>
        </w:rPr>
        <w:t> </w:t>
      </w:r>
      <w:r>
        <w:rPr/>
        <w:t>are</w:t>
      </w:r>
      <w:r>
        <w:rPr>
          <w:spacing w:val="-7"/>
        </w:rPr>
        <w:t> </w:t>
      </w:r>
      <w:r>
        <w:rPr/>
        <w:t>more common in the largest businesses.</w:t>
      </w:r>
    </w:p>
    <w:p>
      <w:pPr>
        <w:pStyle w:val="BodyText"/>
        <w:spacing w:before="2"/>
      </w:pPr>
    </w:p>
    <w:p>
      <w:pPr>
        <w:pStyle w:val="Heading3"/>
        <w:numPr>
          <w:ilvl w:val="1"/>
          <w:numId w:val="2"/>
        </w:numPr>
        <w:tabs>
          <w:tab w:pos="1974" w:val="left" w:leader="none"/>
        </w:tabs>
        <w:spacing w:line="240" w:lineRule="auto" w:before="0" w:after="0"/>
        <w:ind w:left="1973" w:right="0" w:hanging="637"/>
        <w:jc w:val="both"/>
      </w:pPr>
      <w:bookmarkStart w:name="10.3  Settlement details" w:id="98"/>
      <w:bookmarkEnd w:id="98"/>
      <w:r>
        <w:rPr>
          <w:b w:val="0"/>
        </w:rPr>
      </w:r>
      <w:bookmarkStart w:name="_bookmark24" w:id="99"/>
      <w:bookmarkEnd w:id="99"/>
      <w:r>
        <w:rPr/>
        <w:t>Se</w:t>
      </w:r>
      <w:r>
        <w:rPr/>
        <w:t>ttlement</w:t>
      </w:r>
      <w:r>
        <w:rPr>
          <w:spacing w:val="-10"/>
        </w:rPr>
        <w:t> </w:t>
      </w:r>
      <w:r>
        <w:rPr>
          <w:spacing w:val="-2"/>
        </w:rPr>
        <w:t>details</w:t>
      </w:r>
    </w:p>
    <w:p>
      <w:pPr>
        <w:pStyle w:val="BodyText"/>
        <w:spacing w:before="60"/>
        <w:ind w:left="1337" w:right="1472"/>
        <w:jc w:val="both"/>
      </w:pPr>
      <w:r>
        <w:rPr/>
        <w:t>Most participants who reached a settlement via EC reported that financial compensation for the claimant was a part of the agreement (reported by 87 per cent of claimant-side participants and 82 per cent of employer-side participants respectively). A quarter (27 per cent and 22 per cent) received a reference, while a</w:t>
      </w:r>
      <w:r>
        <w:rPr>
          <w:spacing w:val="-1"/>
        </w:rPr>
        <w:t> </w:t>
      </w:r>
      <w:r>
        <w:rPr/>
        <w:t>minority (five</w:t>
      </w:r>
      <w:r>
        <w:rPr>
          <w:spacing w:val="-1"/>
        </w:rPr>
        <w:t> </w:t>
      </w:r>
      <w:r>
        <w:rPr/>
        <w:t>per</w:t>
      </w:r>
      <w:r>
        <w:rPr>
          <w:spacing w:val="-1"/>
        </w:rPr>
        <w:t> </w:t>
      </w:r>
      <w:r>
        <w:rPr/>
        <w:t>cent and</w:t>
      </w:r>
      <w:r>
        <w:rPr>
          <w:spacing w:val="-2"/>
        </w:rPr>
        <w:t> </w:t>
      </w:r>
      <w:r>
        <w:rPr/>
        <w:t>three</w:t>
      </w:r>
      <w:r>
        <w:rPr>
          <w:spacing w:val="-2"/>
        </w:rPr>
        <w:t> </w:t>
      </w:r>
      <w:r>
        <w:rPr/>
        <w:t>per</w:t>
      </w:r>
      <w:r>
        <w:rPr>
          <w:spacing w:val="-1"/>
        </w:rPr>
        <w:t> </w:t>
      </w:r>
      <w:r>
        <w:rPr/>
        <w:t>cent) received</w:t>
      </w:r>
      <w:r>
        <w:rPr>
          <w:spacing w:val="-1"/>
        </w:rPr>
        <w:t> </w:t>
      </w:r>
      <w:r>
        <w:rPr/>
        <w:t>a</w:t>
      </w:r>
      <w:r>
        <w:rPr>
          <w:spacing w:val="-1"/>
        </w:rPr>
        <w:t> </w:t>
      </w:r>
      <w:r>
        <w:rPr/>
        <w:t>letter</w:t>
      </w:r>
      <w:r>
        <w:rPr>
          <w:spacing w:val="-1"/>
        </w:rPr>
        <w:t> </w:t>
      </w:r>
      <w:r>
        <w:rPr/>
        <w:t>of</w:t>
      </w:r>
      <w:r>
        <w:rPr>
          <w:spacing w:val="-2"/>
        </w:rPr>
        <w:t> </w:t>
      </w:r>
      <w:r>
        <w:rPr/>
        <w:t>explanation or</w:t>
      </w:r>
      <w:r>
        <w:rPr>
          <w:spacing w:val="-2"/>
        </w:rPr>
        <w:t> </w:t>
      </w:r>
      <w:r>
        <w:rPr/>
        <w:t>an apology (three per cent and two per cent).</w:t>
      </w:r>
    </w:p>
    <w:p>
      <w:pPr>
        <w:pStyle w:val="BodyText"/>
      </w:pPr>
    </w:p>
    <w:p>
      <w:pPr>
        <w:pStyle w:val="BodyText"/>
        <w:spacing w:before="1"/>
        <w:ind w:left="1336" w:right="1474"/>
        <w:jc w:val="both"/>
      </w:pPr>
      <w:r>
        <w:rPr/>
        <w:t>The average value of the financial settlements reported was £4,246 among claimant-side</w:t>
      </w:r>
      <w:r>
        <w:rPr>
          <w:spacing w:val="-17"/>
        </w:rPr>
        <w:t> </w:t>
      </w:r>
      <w:r>
        <w:rPr/>
        <w:t>participants</w:t>
      </w:r>
      <w:r>
        <w:rPr>
          <w:spacing w:val="-16"/>
        </w:rPr>
        <w:t> </w:t>
      </w:r>
      <w:r>
        <w:rPr/>
        <w:t>and</w:t>
      </w:r>
      <w:r>
        <w:rPr>
          <w:spacing w:val="-17"/>
        </w:rPr>
        <w:t> </w:t>
      </w:r>
      <w:r>
        <w:rPr/>
        <w:t>£4,019</w:t>
      </w:r>
      <w:r>
        <w:rPr>
          <w:spacing w:val="-16"/>
        </w:rPr>
        <w:t> </w:t>
      </w:r>
      <w:r>
        <w:rPr/>
        <w:t>among</w:t>
      </w:r>
      <w:r>
        <w:rPr>
          <w:spacing w:val="-17"/>
        </w:rPr>
        <w:t> </w:t>
      </w:r>
      <w:r>
        <w:rPr/>
        <w:t>employer-side</w:t>
      </w:r>
      <w:r>
        <w:rPr>
          <w:spacing w:val="-17"/>
        </w:rPr>
        <w:t> </w:t>
      </w:r>
      <w:r>
        <w:rPr/>
        <w:t>participants.</w:t>
      </w:r>
      <w:r>
        <w:rPr>
          <w:spacing w:val="-17"/>
        </w:rPr>
        <w:t> </w:t>
      </w:r>
      <w:r>
        <w:rPr/>
        <w:t>This</w:t>
      </w:r>
      <w:r>
        <w:rPr>
          <w:spacing w:val="-16"/>
        </w:rPr>
        <w:t> </w:t>
      </w:r>
      <w:r>
        <w:rPr/>
        <w:t>is</w:t>
      </w:r>
      <w:r>
        <w:rPr>
          <w:spacing w:val="-16"/>
        </w:rPr>
        <w:t> </w:t>
      </w:r>
      <w:r>
        <w:rPr/>
        <w:t>an increase</w:t>
      </w:r>
      <w:r>
        <w:rPr>
          <w:spacing w:val="-12"/>
        </w:rPr>
        <w:t> </w:t>
      </w:r>
      <w:r>
        <w:rPr/>
        <w:t>of</w:t>
      </w:r>
      <w:r>
        <w:rPr>
          <w:spacing w:val="-11"/>
        </w:rPr>
        <w:t> </w:t>
      </w:r>
      <w:r>
        <w:rPr/>
        <w:t>£562</w:t>
      </w:r>
      <w:r>
        <w:rPr>
          <w:spacing w:val="-11"/>
        </w:rPr>
        <w:t> </w:t>
      </w:r>
      <w:r>
        <w:rPr/>
        <w:t>among</w:t>
      </w:r>
      <w:r>
        <w:rPr>
          <w:spacing w:val="-11"/>
        </w:rPr>
        <w:t> </w:t>
      </w:r>
      <w:r>
        <w:rPr/>
        <w:t>claimant-side</w:t>
      </w:r>
      <w:r>
        <w:rPr>
          <w:spacing w:val="-12"/>
        </w:rPr>
        <w:t> </w:t>
      </w:r>
      <w:r>
        <w:rPr/>
        <w:t>participants</w:t>
      </w:r>
      <w:r>
        <w:rPr>
          <w:spacing w:val="-11"/>
        </w:rPr>
        <w:t> </w:t>
      </w:r>
      <w:r>
        <w:rPr/>
        <w:t>and</w:t>
      </w:r>
      <w:r>
        <w:rPr>
          <w:spacing w:val="-11"/>
        </w:rPr>
        <w:t> </w:t>
      </w:r>
      <w:r>
        <w:rPr/>
        <w:t>£575</w:t>
      </w:r>
      <w:r>
        <w:rPr>
          <w:spacing w:val="-11"/>
        </w:rPr>
        <w:t> </w:t>
      </w:r>
      <w:r>
        <w:rPr/>
        <w:t>among</w:t>
      </w:r>
      <w:r>
        <w:rPr>
          <w:spacing w:val="-11"/>
        </w:rPr>
        <w:t> </w:t>
      </w:r>
      <w:r>
        <w:rPr/>
        <w:t>employer-side participants since 2015, although there is wide variation beneath this mean: the median</w:t>
      </w:r>
      <w:r>
        <w:rPr>
          <w:spacing w:val="-6"/>
        </w:rPr>
        <w:t> </w:t>
      </w:r>
      <w:r>
        <w:rPr/>
        <w:t>values</w:t>
      </w:r>
      <w:r>
        <w:rPr>
          <w:spacing w:val="-4"/>
        </w:rPr>
        <w:t> </w:t>
      </w:r>
      <w:r>
        <w:rPr/>
        <w:t>reported</w:t>
      </w:r>
      <w:r>
        <w:rPr>
          <w:spacing w:val="-4"/>
        </w:rPr>
        <w:t> </w:t>
      </w:r>
      <w:r>
        <w:rPr/>
        <w:t>by</w:t>
      </w:r>
      <w:r>
        <w:rPr>
          <w:spacing w:val="-4"/>
        </w:rPr>
        <w:t> </w:t>
      </w:r>
      <w:r>
        <w:rPr/>
        <w:t>claimants</w:t>
      </w:r>
      <w:r>
        <w:rPr>
          <w:spacing w:val="-5"/>
        </w:rPr>
        <w:t> </w:t>
      </w:r>
      <w:r>
        <w:rPr/>
        <w:t>was</w:t>
      </w:r>
      <w:r>
        <w:rPr>
          <w:spacing w:val="-4"/>
        </w:rPr>
        <w:t> </w:t>
      </w:r>
      <w:r>
        <w:rPr/>
        <w:t>£1,600</w:t>
      </w:r>
      <w:r>
        <w:rPr>
          <w:spacing w:val="-4"/>
        </w:rPr>
        <w:t> </w:t>
      </w:r>
      <w:r>
        <w:rPr/>
        <w:t>while</w:t>
      </w:r>
      <w:r>
        <w:rPr>
          <w:spacing w:val="-4"/>
        </w:rPr>
        <w:t> </w:t>
      </w:r>
      <w:r>
        <w:rPr/>
        <w:t>it</w:t>
      </w:r>
      <w:r>
        <w:rPr>
          <w:spacing w:val="-4"/>
        </w:rPr>
        <w:t> </w:t>
      </w:r>
      <w:r>
        <w:rPr/>
        <w:t>was</w:t>
      </w:r>
      <w:r>
        <w:rPr>
          <w:spacing w:val="-4"/>
        </w:rPr>
        <w:t> </w:t>
      </w:r>
      <w:r>
        <w:rPr/>
        <w:t>£849</w:t>
      </w:r>
      <w:r>
        <w:rPr>
          <w:spacing w:val="-6"/>
        </w:rPr>
        <w:t> </w:t>
      </w:r>
      <w:r>
        <w:rPr/>
        <w:t>for</w:t>
      </w:r>
      <w:r>
        <w:rPr>
          <w:spacing w:val="-4"/>
        </w:rPr>
        <w:t> </w:t>
      </w:r>
      <w:r>
        <w:rPr>
          <w:spacing w:val="-2"/>
        </w:rPr>
        <w:t>employers.</w:t>
      </w:r>
    </w:p>
    <w:p>
      <w:pPr>
        <w:pStyle w:val="BodyText"/>
        <w:spacing w:before="12"/>
        <w:rPr>
          <w:sz w:val="19"/>
        </w:rPr>
      </w:pPr>
    </w:p>
    <w:p>
      <w:pPr>
        <w:pStyle w:val="BodyText"/>
        <w:ind w:left="1336" w:right="1473"/>
        <w:jc w:val="both"/>
      </w:pPr>
      <w:r>
        <w:rPr/>
        <w:t>The</w:t>
      </w:r>
      <w:r>
        <w:rPr>
          <w:spacing w:val="-13"/>
        </w:rPr>
        <w:t> </w:t>
      </w:r>
      <w:r>
        <w:rPr/>
        <w:t>value</w:t>
      </w:r>
      <w:r>
        <w:rPr>
          <w:spacing w:val="-13"/>
        </w:rPr>
        <w:t> </w:t>
      </w:r>
      <w:r>
        <w:rPr/>
        <w:t>of</w:t>
      </w:r>
      <w:r>
        <w:rPr>
          <w:spacing w:val="-13"/>
        </w:rPr>
        <w:t> </w:t>
      </w:r>
      <w:r>
        <w:rPr/>
        <w:t>financial</w:t>
      </w:r>
      <w:r>
        <w:rPr>
          <w:spacing w:val="-14"/>
        </w:rPr>
        <w:t> </w:t>
      </w:r>
      <w:r>
        <w:rPr/>
        <w:t>settlements</w:t>
      </w:r>
      <w:r>
        <w:rPr>
          <w:spacing w:val="-13"/>
        </w:rPr>
        <w:t> </w:t>
      </w:r>
      <w:r>
        <w:rPr/>
        <w:t>differed</w:t>
      </w:r>
      <w:r>
        <w:rPr>
          <w:spacing w:val="-13"/>
        </w:rPr>
        <w:t> </w:t>
      </w:r>
      <w:r>
        <w:rPr/>
        <w:t>significantly</w:t>
      </w:r>
      <w:r>
        <w:rPr>
          <w:spacing w:val="-12"/>
        </w:rPr>
        <w:t> </w:t>
      </w:r>
      <w:r>
        <w:rPr/>
        <w:t>across</w:t>
      </w:r>
      <w:r>
        <w:rPr>
          <w:spacing w:val="-13"/>
        </w:rPr>
        <w:t> </w:t>
      </w:r>
      <w:r>
        <w:rPr/>
        <w:t>case</w:t>
      </w:r>
      <w:r>
        <w:rPr>
          <w:spacing w:val="-13"/>
        </w:rPr>
        <w:t> </w:t>
      </w:r>
      <w:r>
        <w:rPr/>
        <w:t>track</w:t>
      </w:r>
      <w:r>
        <w:rPr>
          <w:spacing w:val="-12"/>
        </w:rPr>
        <w:t> </w:t>
      </w:r>
      <w:r>
        <w:rPr/>
        <w:t>(see</w:t>
      </w:r>
      <w:r>
        <w:rPr>
          <w:spacing w:val="-13"/>
        </w:rPr>
        <w:t> </w:t>
      </w:r>
      <w:r>
        <w:rPr/>
        <w:t>Table 12). Those in open track disputes reported the highest settlement value, while those in fast track disputes reported the lowest.</w:t>
      </w:r>
    </w:p>
    <w:p>
      <w:pPr>
        <w:pStyle w:val="BodyText"/>
      </w:pPr>
    </w:p>
    <w:p>
      <w:pPr>
        <w:pStyle w:val="Heading3"/>
        <w:ind w:left="1336"/>
      </w:pPr>
      <w:r>
        <w:rPr/>
        <w:t>Table</w:t>
      </w:r>
      <w:r>
        <w:rPr>
          <w:spacing w:val="-4"/>
        </w:rPr>
        <w:t> </w:t>
      </w:r>
      <w:r>
        <w:rPr/>
        <w:t>12.</w:t>
      </w:r>
      <w:r>
        <w:rPr>
          <w:spacing w:val="-5"/>
        </w:rPr>
        <w:t> </w:t>
      </w:r>
      <w:r>
        <w:rPr/>
        <w:t>Value</w:t>
      </w:r>
      <w:r>
        <w:rPr>
          <w:spacing w:val="-5"/>
        </w:rPr>
        <w:t> </w:t>
      </w:r>
      <w:r>
        <w:rPr/>
        <w:t>of</w:t>
      </w:r>
      <w:r>
        <w:rPr>
          <w:spacing w:val="-4"/>
        </w:rPr>
        <w:t> </w:t>
      </w:r>
      <w:r>
        <w:rPr/>
        <w:t>financial</w:t>
      </w:r>
      <w:r>
        <w:rPr>
          <w:spacing w:val="-4"/>
        </w:rPr>
        <w:t> </w:t>
      </w:r>
      <w:r>
        <w:rPr/>
        <w:t>settlements</w:t>
      </w:r>
      <w:r>
        <w:rPr>
          <w:spacing w:val="-4"/>
        </w:rPr>
        <w:t> </w:t>
      </w:r>
      <w:r>
        <w:rPr>
          <w:spacing w:val="-2"/>
        </w:rPr>
        <w:t>received</w:t>
      </w:r>
    </w:p>
    <w:p>
      <w:pPr>
        <w:pStyle w:val="BodyText"/>
        <w:spacing w:before="7"/>
        <w:rPr>
          <w:b/>
        </w:rPr>
      </w:pPr>
      <w:r>
        <w:rPr/>
        <w:drawing>
          <wp:anchor distT="0" distB="0" distL="0" distR="0" allowOverlap="1" layoutInCell="1" locked="0" behindDoc="0" simplePos="0" relativeHeight="31">
            <wp:simplePos x="0" y="0"/>
            <wp:positionH relativeFrom="page">
              <wp:posOffset>1274488</wp:posOffset>
            </wp:positionH>
            <wp:positionV relativeFrom="paragraph">
              <wp:posOffset>174032</wp:posOffset>
            </wp:positionV>
            <wp:extent cx="5061787" cy="2907030"/>
            <wp:effectExtent l="0" t="0" r="0" b="0"/>
            <wp:wrapTopAndBottom/>
            <wp:docPr id="35" name="image18.png" descr="Table showing value of financial settlements received "/>
            <wp:cNvGraphicFramePr>
              <a:graphicFrameLocks noChangeAspect="1"/>
            </wp:cNvGraphicFramePr>
            <a:graphic>
              <a:graphicData uri="http://schemas.openxmlformats.org/drawingml/2006/picture">
                <pic:pic>
                  <pic:nvPicPr>
                    <pic:cNvPr id="36" name="image18.png"/>
                    <pic:cNvPicPr/>
                  </pic:nvPicPr>
                  <pic:blipFill>
                    <a:blip r:embed="rId30" cstate="print"/>
                    <a:stretch>
                      <a:fillRect/>
                    </a:stretch>
                  </pic:blipFill>
                  <pic:spPr>
                    <a:xfrm>
                      <a:off x="0" y="0"/>
                      <a:ext cx="5061787" cy="2907030"/>
                    </a:xfrm>
                    <a:prstGeom prst="rect">
                      <a:avLst/>
                    </a:prstGeom>
                  </pic:spPr>
                </pic:pic>
              </a:graphicData>
            </a:graphic>
          </wp:anchor>
        </w:drawing>
      </w:r>
    </w:p>
    <w:p>
      <w:pPr>
        <w:spacing w:after="0"/>
        <w:sectPr>
          <w:pgSz w:w="11910" w:h="16840"/>
          <w:pgMar w:header="0" w:footer="996" w:top="1340" w:bottom="1180" w:left="460" w:right="320"/>
        </w:sectPr>
      </w:pPr>
    </w:p>
    <w:p>
      <w:pPr>
        <w:pStyle w:val="BodyText"/>
        <w:spacing w:before="82"/>
        <w:ind w:left="1337" w:right="1473"/>
        <w:jc w:val="both"/>
      </w:pPr>
      <w:r>
        <w:rPr/>
        <w:t>As</w:t>
      </w:r>
      <w:r>
        <w:rPr>
          <w:spacing w:val="-3"/>
        </w:rPr>
        <w:t> </w:t>
      </w:r>
      <w:r>
        <w:rPr/>
        <w:t>in</w:t>
      </w:r>
      <w:r>
        <w:rPr>
          <w:spacing w:val="-3"/>
        </w:rPr>
        <w:t> </w:t>
      </w:r>
      <w:r>
        <w:rPr/>
        <w:t>2015,</w:t>
      </w:r>
      <w:r>
        <w:rPr>
          <w:spacing w:val="-4"/>
        </w:rPr>
        <w:t> </w:t>
      </w:r>
      <w:r>
        <w:rPr/>
        <w:t>almost</w:t>
      </w:r>
      <w:r>
        <w:rPr>
          <w:spacing w:val="-3"/>
        </w:rPr>
        <w:t> </w:t>
      </w:r>
      <w:r>
        <w:rPr/>
        <w:t>all</w:t>
      </w:r>
      <w:r>
        <w:rPr>
          <w:spacing w:val="-4"/>
        </w:rPr>
        <w:t> </w:t>
      </w:r>
      <w:r>
        <w:rPr/>
        <w:t>who</w:t>
      </w:r>
      <w:r>
        <w:rPr>
          <w:spacing w:val="-3"/>
        </w:rPr>
        <w:t> </w:t>
      </w:r>
      <w:r>
        <w:rPr/>
        <w:t>reported</w:t>
      </w:r>
      <w:r>
        <w:rPr>
          <w:spacing w:val="-5"/>
        </w:rPr>
        <w:t> </w:t>
      </w:r>
      <w:r>
        <w:rPr/>
        <w:t>reaching</w:t>
      </w:r>
      <w:r>
        <w:rPr>
          <w:spacing w:val="-3"/>
        </w:rPr>
        <w:t> </w:t>
      </w:r>
      <w:r>
        <w:rPr/>
        <w:t>a</w:t>
      </w:r>
      <w:r>
        <w:rPr>
          <w:spacing w:val="-6"/>
        </w:rPr>
        <w:t> </w:t>
      </w:r>
      <w:r>
        <w:rPr/>
        <w:t>financial</w:t>
      </w:r>
      <w:r>
        <w:rPr>
          <w:spacing w:val="-4"/>
        </w:rPr>
        <w:t> </w:t>
      </w:r>
      <w:r>
        <w:rPr/>
        <w:t>settlement</w:t>
      </w:r>
      <w:r>
        <w:rPr>
          <w:spacing w:val="-3"/>
        </w:rPr>
        <w:t> </w:t>
      </w:r>
      <w:r>
        <w:rPr/>
        <w:t>confirmed</w:t>
      </w:r>
      <w:r>
        <w:rPr>
          <w:spacing w:val="-3"/>
        </w:rPr>
        <w:t> </w:t>
      </w:r>
      <w:r>
        <w:rPr/>
        <w:t>that the settlement had been paid to them by the time of the survey (94 per cent and 95 per cent for claimant-side and employer-side participants respectively).</w:t>
      </w:r>
    </w:p>
    <w:p>
      <w:pPr>
        <w:pStyle w:val="BodyText"/>
      </w:pPr>
    </w:p>
    <w:p>
      <w:pPr>
        <w:pStyle w:val="Heading3"/>
        <w:numPr>
          <w:ilvl w:val="1"/>
          <w:numId w:val="2"/>
        </w:numPr>
        <w:tabs>
          <w:tab w:pos="1906" w:val="left" w:leader="none"/>
        </w:tabs>
        <w:spacing w:line="240" w:lineRule="auto" w:before="0" w:after="0"/>
        <w:ind w:left="1905" w:right="0" w:hanging="569"/>
        <w:jc w:val="both"/>
      </w:pPr>
      <w:bookmarkStart w:name="10.4 Reasons for not reaching a settleme" w:id="100"/>
      <w:bookmarkEnd w:id="100"/>
      <w:r>
        <w:rPr>
          <w:b w:val="0"/>
        </w:rPr>
      </w:r>
      <w:bookmarkStart w:name="_bookmark25" w:id="101"/>
      <w:bookmarkEnd w:id="101"/>
      <w:r>
        <w:rPr/>
        <w:t>R</w:t>
      </w:r>
      <w:r>
        <w:rPr/>
        <w:t>easons</w:t>
      </w:r>
      <w:r>
        <w:rPr>
          <w:spacing w:val="-4"/>
        </w:rPr>
        <w:t> </w:t>
      </w:r>
      <w:r>
        <w:rPr/>
        <w:t>for</w:t>
      </w:r>
      <w:r>
        <w:rPr>
          <w:spacing w:val="-3"/>
        </w:rPr>
        <w:t> </w:t>
      </w:r>
      <w:r>
        <w:rPr/>
        <w:t>not</w:t>
      </w:r>
      <w:r>
        <w:rPr>
          <w:spacing w:val="-3"/>
        </w:rPr>
        <w:t> </w:t>
      </w:r>
      <w:r>
        <w:rPr/>
        <w:t>reaching</w:t>
      </w:r>
      <w:r>
        <w:rPr>
          <w:spacing w:val="-4"/>
        </w:rPr>
        <w:t> </w:t>
      </w:r>
      <w:r>
        <w:rPr/>
        <w:t>a</w:t>
      </w:r>
      <w:r>
        <w:rPr>
          <w:spacing w:val="-2"/>
        </w:rPr>
        <w:t> settlement</w:t>
      </w:r>
    </w:p>
    <w:p>
      <w:pPr>
        <w:pStyle w:val="Heading4"/>
        <w:numPr>
          <w:ilvl w:val="2"/>
          <w:numId w:val="24"/>
        </w:numPr>
        <w:tabs>
          <w:tab w:pos="2189" w:val="left" w:leader="none"/>
        </w:tabs>
        <w:spacing w:line="240" w:lineRule="auto" w:before="60" w:after="0"/>
        <w:ind w:left="2188" w:right="0" w:hanging="852"/>
        <w:jc w:val="both"/>
        <w:rPr>
          <w:i/>
        </w:rPr>
      </w:pPr>
      <w:bookmarkStart w:name="10.4.1 Among claimant-side participants" w:id="102"/>
      <w:bookmarkEnd w:id="102"/>
      <w:r>
        <w:rPr>
          <w:i/>
        </w:rPr>
        <w:t>Am</w:t>
      </w:r>
      <w:r>
        <w:rPr>
          <w:i/>
        </w:rPr>
        <w:t>ong</w:t>
      </w:r>
      <w:r>
        <w:rPr>
          <w:i/>
          <w:spacing w:val="-7"/>
        </w:rPr>
        <w:t> </w:t>
      </w:r>
      <w:r>
        <w:rPr>
          <w:i/>
        </w:rPr>
        <w:t>claimant-side</w:t>
      </w:r>
      <w:r>
        <w:rPr>
          <w:i/>
          <w:spacing w:val="-8"/>
        </w:rPr>
        <w:t> </w:t>
      </w:r>
      <w:r>
        <w:rPr>
          <w:i/>
          <w:spacing w:val="-2"/>
        </w:rPr>
        <w:t>participants</w:t>
      </w:r>
    </w:p>
    <w:p>
      <w:pPr>
        <w:pStyle w:val="BodyText"/>
        <w:spacing w:before="60"/>
        <w:ind w:left="1337" w:right="1473"/>
        <w:jc w:val="both"/>
      </w:pPr>
      <w:r>
        <w:rPr/>
        <w:t>Among</w:t>
      </w:r>
      <w:r>
        <w:rPr>
          <w:spacing w:val="-7"/>
        </w:rPr>
        <w:t> </w:t>
      </w:r>
      <w:r>
        <w:rPr/>
        <w:t>claimant-side</w:t>
      </w:r>
      <w:r>
        <w:rPr>
          <w:spacing w:val="-7"/>
        </w:rPr>
        <w:t> </w:t>
      </w:r>
      <w:r>
        <w:rPr/>
        <w:t>participants</w:t>
      </w:r>
      <w:r>
        <w:rPr>
          <w:spacing w:val="-7"/>
        </w:rPr>
        <w:t> </w:t>
      </w:r>
      <w:r>
        <w:rPr/>
        <w:t>who</w:t>
      </w:r>
      <w:r>
        <w:rPr>
          <w:spacing w:val="-8"/>
        </w:rPr>
        <w:t> </w:t>
      </w:r>
      <w:r>
        <w:rPr/>
        <w:t>failed</w:t>
      </w:r>
      <w:r>
        <w:rPr>
          <w:spacing w:val="-7"/>
        </w:rPr>
        <w:t> </w:t>
      </w:r>
      <w:r>
        <w:rPr/>
        <w:t>to</w:t>
      </w:r>
      <w:r>
        <w:rPr>
          <w:spacing w:val="-7"/>
        </w:rPr>
        <w:t> </w:t>
      </w:r>
      <w:r>
        <w:rPr/>
        <w:t>reach</w:t>
      </w:r>
      <w:r>
        <w:rPr>
          <w:spacing w:val="-6"/>
        </w:rPr>
        <w:t> </w:t>
      </w:r>
      <w:r>
        <w:rPr/>
        <w:t>a</w:t>
      </w:r>
      <w:r>
        <w:rPr>
          <w:spacing w:val="-7"/>
        </w:rPr>
        <w:t> </w:t>
      </w:r>
      <w:r>
        <w:rPr/>
        <w:t>resolution</w:t>
      </w:r>
      <w:r>
        <w:rPr>
          <w:spacing w:val="-6"/>
        </w:rPr>
        <w:t> </w:t>
      </w:r>
      <w:r>
        <w:rPr/>
        <w:t>via</w:t>
      </w:r>
      <w:r>
        <w:rPr>
          <w:spacing w:val="-7"/>
        </w:rPr>
        <w:t> </w:t>
      </w:r>
      <w:r>
        <w:rPr/>
        <w:t>EC,</w:t>
      </w:r>
      <w:r>
        <w:rPr>
          <w:spacing w:val="-6"/>
        </w:rPr>
        <w:t> </w:t>
      </w:r>
      <w:r>
        <w:rPr/>
        <w:t>the</w:t>
      </w:r>
      <w:r>
        <w:rPr>
          <w:spacing w:val="-7"/>
        </w:rPr>
        <w:t> </w:t>
      </w:r>
      <w:r>
        <w:rPr/>
        <w:t>most common reason reported for the impasse was that ‘the employer did not want to take part in the conciliation / was not interested in talking’ (30 per cent). A sixth (18</w:t>
      </w:r>
      <w:r>
        <w:rPr>
          <w:spacing w:val="-2"/>
        </w:rPr>
        <w:t> </w:t>
      </w:r>
      <w:r>
        <w:rPr/>
        <w:t>per</w:t>
      </w:r>
      <w:r>
        <w:rPr>
          <w:spacing w:val="-4"/>
        </w:rPr>
        <w:t> </w:t>
      </w:r>
      <w:r>
        <w:rPr/>
        <w:t>cent)</w:t>
      </w:r>
      <w:r>
        <w:rPr>
          <w:spacing w:val="-2"/>
        </w:rPr>
        <w:t> </w:t>
      </w:r>
      <w:r>
        <w:rPr/>
        <w:t>reported</w:t>
      </w:r>
      <w:r>
        <w:rPr>
          <w:spacing w:val="-4"/>
        </w:rPr>
        <w:t> </w:t>
      </w:r>
      <w:r>
        <w:rPr/>
        <w:t>that</w:t>
      </w:r>
      <w:r>
        <w:rPr>
          <w:spacing w:val="-3"/>
        </w:rPr>
        <w:t> </w:t>
      </w:r>
      <w:r>
        <w:rPr/>
        <w:t>the</w:t>
      </w:r>
      <w:r>
        <w:rPr>
          <w:spacing w:val="-2"/>
        </w:rPr>
        <w:t> </w:t>
      </w:r>
      <w:r>
        <w:rPr/>
        <w:t>employer</w:t>
      </w:r>
      <w:r>
        <w:rPr>
          <w:spacing w:val="-2"/>
        </w:rPr>
        <w:t> </w:t>
      </w:r>
      <w:r>
        <w:rPr/>
        <w:t>felt</w:t>
      </w:r>
      <w:r>
        <w:rPr>
          <w:spacing w:val="-2"/>
        </w:rPr>
        <w:t> </w:t>
      </w:r>
      <w:r>
        <w:rPr/>
        <w:t>they</w:t>
      </w:r>
      <w:r>
        <w:rPr>
          <w:spacing w:val="-3"/>
        </w:rPr>
        <w:t> </w:t>
      </w:r>
      <w:r>
        <w:rPr/>
        <w:t>had</w:t>
      </w:r>
      <w:r>
        <w:rPr>
          <w:spacing w:val="-3"/>
        </w:rPr>
        <w:t> </w:t>
      </w:r>
      <w:r>
        <w:rPr/>
        <w:t>no</w:t>
      </w:r>
      <w:r>
        <w:rPr>
          <w:spacing w:val="-5"/>
        </w:rPr>
        <w:t> </w:t>
      </w:r>
      <w:r>
        <w:rPr/>
        <w:t>case</w:t>
      </w:r>
      <w:r>
        <w:rPr>
          <w:spacing w:val="-3"/>
        </w:rPr>
        <w:t> </w:t>
      </w:r>
      <w:r>
        <w:rPr/>
        <w:t>to</w:t>
      </w:r>
      <w:r>
        <w:rPr>
          <w:spacing w:val="-4"/>
        </w:rPr>
        <w:t> </w:t>
      </w:r>
      <w:r>
        <w:rPr/>
        <w:t>answer</w:t>
      </w:r>
      <w:r>
        <w:rPr>
          <w:spacing w:val="-2"/>
        </w:rPr>
        <w:t> </w:t>
      </w:r>
      <w:r>
        <w:rPr/>
        <w:t>to,</w:t>
      </w:r>
      <w:r>
        <w:rPr>
          <w:spacing w:val="-4"/>
        </w:rPr>
        <w:t> </w:t>
      </w:r>
      <w:r>
        <w:rPr/>
        <w:t>while one in ten (12 per cent) said the employer had not been willing to talk further.</w:t>
      </w:r>
    </w:p>
    <w:p>
      <w:pPr>
        <w:pStyle w:val="BodyText"/>
      </w:pPr>
    </w:p>
    <w:p>
      <w:pPr>
        <w:pStyle w:val="BodyText"/>
        <w:ind w:left="1337" w:right="1474" w:hanging="1"/>
        <w:jc w:val="both"/>
      </w:pPr>
      <w:r>
        <w:rPr/>
        <w:t>As in 2015, claimant-side participants in fast track disputes were more likely to report that EC had failed because ‘I / claimant wanted money and the employer was</w:t>
      </w:r>
      <w:r>
        <w:rPr>
          <w:spacing w:val="-3"/>
        </w:rPr>
        <w:t> </w:t>
      </w:r>
      <w:r>
        <w:rPr/>
        <w:t>not</w:t>
      </w:r>
      <w:r>
        <w:rPr>
          <w:spacing w:val="-3"/>
        </w:rPr>
        <w:t> </w:t>
      </w:r>
      <w:r>
        <w:rPr/>
        <w:t>willing</w:t>
      </w:r>
      <w:r>
        <w:rPr>
          <w:spacing w:val="-3"/>
        </w:rPr>
        <w:t> </w:t>
      </w:r>
      <w:r>
        <w:rPr/>
        <w:t>to</w:t>
      </w:r>
      <w:r>
        <w:rPr>
          <w:spacing w:val="-4"/>
        </w:rPr>
        <w:t> </w:t>
      </w:r>
      <w:r>
        <w:rPr/>
        <w:t>pay’</w:t>
      </w:r>
      <w:r>
        <w:rPr>
          <w:spacing w:val="-4"/>
        </w:rPr>
        <w:t> </w:t>
      </w:r>
      <w:r>
        <w:rPr/>
        <w:t>(13</w:t>
      </w:r>
      <w:r>
        <w:rPr>
          <w:spacing w:val="-3"/>
        </w:rPr>
        <w:t> </w:t>
      </w:r>
      <w:r>
        <w:rPr/>
        <w:t>per</w:t>
      </w:r>
      <w:r>
        <w:rPr>
          <w:spacing w:val="-4"/>
        </w:rPr>
        <w:t> </w:t>
      </w:r>
      <w:r>
        <w:rPr/>
        <w:t>cent)</w:t>
      </w:r>
      <w:r>
        <w:rPr>
          <w:spacing w:val="-3"/>
        </w:rPr>
        <w:t> </w:t>
      </w:r>
      <w:r>
        <w:rPr/>
        <w:t>than</w:t>
      </w:r>
      <w:r>
        <w:rPr>
          <w:spacing w:val="-3"/>
        </w:rPr>
        <w:t> </w:t>
      </w:r>
      <w:r>
        <w:rPr/>
        <w:t>those</w:t>
      </w:r>
      <w:r>
        <w:rPr>
          <w:spacing w:val="-4"/>
        </w:rPr>
        <w:t> </w:t>
      </w:r>
      <w:r>
        <w:rPr/>
        <w:t>in</w:t>
      </w:r>
      <w:r>
        <w:rPr>
          <w:spacing w:val="-3"/>
        </w:rPr>
        <w:t> </w:t>
      </w:r>
      <w:r>
        <w:rPr/>
        <w:t>open</w:t>
      </w:r>
      <w:r>
        <w:rPr>
          <w:spacing w:val="-3"/>
        </w:rPr>
        <w:t> </w:t>
      </w:r>
      <w:r>
        <w:rPr/>
        <w:t>or</w:t>
      </w:r>
      <w:r>
        <w:rPr>
          <w:spacing w:val="-4"/>
        </w:rPr>
        <w:t> </w:t>
      </w:r>
      <w:r>
        <w:rPr/>
        <w:t>standard</w:t>
      </w:r>
      <w:r>
        <w:rPr>
          <w:spacing w:val="-4"/>
        </w:rPr>
        <w:t> </w:t>
      </w:r>
      <w:r>
        <w:rPr/>
        <w:t>track</w:t>
      </w:r>
      <w:r>
        <w:rPr>
          <w:spacing w:val="-3"/>
        </w:rPr>
        <w:t> </w:t>
      </w:r>
      <w:r>
        <w:rPr/>
        <w:t>disputes (five per cent and nine per cent respectively).</w:t>
      </w:r>
    </w:p>
    <w:p>
      <w:pPr>
        <w:pStyle w:val="BodyText"/>
      </w:pPr>
    </w:p>
    <w:p>
      <w:pPr>
        <w:pStyle w:val="Heading4"/>
        <w:numPr>
          <w:ilvl w:val="2"/>
          <w:numId w:val="24"/>
        </w:numPr>
        <w:tabs>
          <w:tab w:pos="2189" w:val="left" w:leader="none"/>
        </w:tabs>
        <w:spacing w:line="240" w:lineRule="auto" w:before="1" w:after="0"/>
        <w:ind w:left="2188" w:right="0" w:hanging="852"/>
        <w:jc w:val="both"/>
        <w:rPr>
          <w:i/>
        </w:rPr>
      </w:pPr>
      <w:bookmarkStart w:name="10.4.2 Among employer-side participants" w:id="103"/>
      <w:bookmarkEnd w:id="103"/>
      <w:r>
        <w:rPr>
          <w:i/>
        </w:rPr>
        <w:t>Am</w:t>
      </w:r>
      <w:r>
        <w:rPr>
          <w:i/>
        </w:rPr>
        <w:t>ong</w:t>
      </w:r>
      <w:r>
        <w:rPr>
          <w:i/>
          <w:spacing w:val="-7"/>
        </w:rPr>
        <w:t> </w:t>
      </w:r>
      <w:r>
        <w:rPr>
          <w:i/>
        </w:rPr>
        <w:t>employer-side</w:t>
      </w:r>
      <w:r>
        <w:rPr>
          <w:i/>
          <w:spacing w:val="-7"/>
        </w:rPr>
        <w:t> </w:t>
      </w:r>
      <w:r>
        <w:rPr>
          <w:i/>
          <w:spacing w:val="-2"/>
        </w:rPr>
        <w:t>participants</w:t>
      </w:r>
    </w:p>
    <w:p>
      <w:pPr>
        <w:pStyle w:val="BodyText"/>
        <w:spacing w:before="60"/>
        <w:ind w:left="1338" w:right="1473" w:hanging="1"/>
        <w:jc w:val="both"/>
      </w:pPr>
      <w:r>
        <w:rPr/>
        <w:t>Among employer-side participants who engaged in EC, but failed to reach a settlement, the most common reason for the impasse was that the employer felt they ‘had no case to answer to’ (37 per cent). A sixth (18 per cent) reported that the</w:t>
      </w:r>
      <w:r>
        <w:rPr>
          <w:spacing w:val="-5"/>
        </w:rPr>
        <w:t> </w:t>
      </w:r>
      <w:r>
        <w:rPr/>
        <w:t>claimant</w:t>
      </w:r>
      <w:r>
        <w:rPr>
          <w:spacing w:val="-5"/>
        </w:rPr>
        <w:t> </w:t>
      </w:r>
      <w:r>
        <w:rPr/>
        <w:t>had</w:t>
      </w:r>
      <w:r>
        <w:rPr>
          <w:spacing w:val="-5"/>
        </w:rPr>
        <w:t> </w:t>
      </w:r>
      <w:r>
        <w:rPr/>
        <w:t>wanted</w:t>
      </w:r>
      <w:r>
        <w:rPr>
          <w:spacing w:val="-4"/>
        </w:rPr>
        <w:t> </w:t>
      </w:r>
      <w:r>
        <w:rPr/>
        <w:t>more</w:t>
      </w:r>
      <w:r>
        <w:rPr>
          <w:spacing w:val="-5"/>
        </w:rPr>
        <w:t> </w:t>
      </w:r>
      <w:r>
        <w:rPr/>
        <w:t>money</w:t>
      </w:r>
      <w:r>
        <w:rPr>
          <w:spacing w:val="-4"/>
        </w:rPr>
        <w:t> </w:t>
      </w:r>
      <w:r>
        <w:rPr/>
        <w:t>than</w:t>
      </w:r>
      <w:r>
        <w:rPr>
          <w:spacing w:val="-5"/>
        </w:rPr>
        <w:t> </w:t>
      </w:r>
      <w:r>
        <w:rPr/>
        <w:t>they</w:t>
      </w:r>
      <w:r>
        <w:rPr>
          <w:spacing w:val="-5"/>
        </w:rPr>
        <w:t> </w:t>
      </w:r>
      <w:r>
        <w:rPr/>
        <w:t>were</w:t>
      </w:r>
      <w:r>
        <w:rPr>
          <w:spacing w:val="-5"/>
        </w:rPr>
        <w:t> </w:t>
      </w:r>
      <w:r>
        <w:rPr/>
        <w:t>willing</w:t>
      </w:r>
      <w:r>
        <w:rPr>
          <w:spacing w:val="-5"/>
        </w:rPr>
        <w:t> </w:t>
      </w:r>
      <w:r>
        <w:rPr/>
        <w:t>to</w:t>
      </w:r>
      <w:r>
        <w:rPr>
          <w:spacing w:val="-5"/>
        </w:rPr>
        <w:t> </w:t>
      </w:r>
      <w:r>
        <w:rPr/>
        <w:t>give,</w:t>
      </w:r>
      <w:r>
        <w:rPr>
          <w:spacing w:val="-5"/>
        </w:rPr>
        <w:t> </w:t>
      </w:r>
      <w:r>
        <w:rPr/>
        <w:t>and</w:t>
      </w:r>
      <w:r>
        <w:rPr>
          <w:spacing w:val="-4"/>
        </w:rPr>
        <w:t> </w:t>
      </w:r>
      <w:r>
        <w:rPr/>
        <w:t>a</w:t>
      </w:r>
      <w:r>
        <w:rPr>
          <w:spacing w:val="-5"/>
        </w:rPr>
        <w:t> </w:t>
      </w:r>
      <w:r>
        <w:rPr/>
        <w:t>similar proportion</w:t>
      </w:r>
      <w:r>
        <w:rPr>
          <w:spacing w:val="-1"/>
        </w:rPr>
        <w:t> </w:t>
      </w:r>
      <w:r>
        <w:rPr/>
        <w:t>(16</w:t>
      </w:r>
      <w:r>
        <w:rPr>
          <w:spacing w:val="-2"/>
        </w:rPr>
        <w:t> </w:t>
      </w:r>
      <w:r>
        <w:rPr/>
        <w:t>per</w:t>
      </w:r>
      <w:r>
        <w:rPr>
          <w:spacing w:val="-2"/>
        </w:rPr>
        <w:t> </w:t>
      </w:r>
      <w:r>
        <w:rPr/>
        <w:t>cent)</w:t>
      </w:r>
      <w:r>
        <w:rPr>
          <w:spacing w:val="-2"/>
        </w:rPr>
        <w:t> </w:t>
      </w:r>
      <w:r>
        <w:rPr/>
        <w:t>said</w:t>
      </w:r>
      <w:r>
        <w:rPr>
          <w:spacing w:val="-2"/>
        </w:rPr>
        <w:t> </w:t>
      </w:r>
      <w:r>
        <w:rPr/>
        <w:t>that</w:t>
      </w:r>
      <w:r>
        <w:rPr>
          <w:spacing w:val="-2"/>
        </w:rPr>
        <w:t> </w:t>
      </w:r>
      <w:r>
        <w:rPr/>
        <w:t>they</w:t>
      </w:r>
      <w:r>
        <w:rPr>
          <w:spacing w:val="-2"/>
        </w:rPr>
        <w:t> </w:t>
      </w:r>
      <w:r>
        <w:rPr/>
        <w:t>offered</w:t>
      </w:r>
      <w:r>
        <w:rPr>
          <w:spacing w:val="-2"/>
        </w:rPr>
        <w:t> </w:t>
      </w:r>
      <w:r>
        <w:rPr/>
        <w:t>a</w:t>
      </w:r>
      <w:r>
        <w:rPr>
          <w:spacing w:val="-2"/>
        </w:rPr>
        <w:t> </w:t>
      </w:r>
      <w:r>
        <w:rPr/>
        <w:t>settlement,</w:t>
      </w:r>
      <w:r>
        <w:rPr>
          <w:spacing w:val="-1"/>
        </w:rPr>
        <w:t> </w:t>
      </w:r>
      <w:r>
        <w:rPr/>
        <w:t>but</w:t>
      </w:r>
      <w:r>
        <w:rPr>
          <w:spacing w:val="-2"/>
        </w:rPr>
        <w:t> </w:t>
      </w:r>
      <w:r>
        <w:rPr/>
        <w:t>that</w:t>
      </w:r>
      <w:r>
        <w:rPr>
          <w:spacing w:val="-2"/>
        </w:rPr>
        <w:t> </w:t>
      </w:r>
      <w:r>
        <w:rPr/>
        <w:t>the</w:t>
      </w:r>
      <w:r>
        <w:rPr>
          <w:spacing w:val="-2"/>
        </w:rPr>
        <w:t> </w:t>
      </w:r>
      <w:r>
        <w:rPr/>
        <w:t>claimant was not willing to accept it.</w:t>
      </w:r>
    </w:p>
    <w:p>
      <w:pPr>
        <w:pStyle w:val="BodyText"/>
        <w:spacing w:before="12"/>
        <w:rPr>
          <w:sz w:val="19"/>
        </w:rPr>
      </w:pPr>
    </w:p>
    <w:p>
      <w:pPr>
        <w:pStyle w:val="BodyText"/>
        <w:ind w:left="1338"/>
        <w:jc w:val="both"/>
      </w:pPr>
      <w:r>
        <w:rPr/>
        <w:t>In</w:t>
      </w:r>
      <w:r>
        <w:rPr>
          <w:spacing w:val="-5"/>
        </w:rPr>
        <w:t> </w:t>
      </w:r>
      <w:r>
        <w:rPr/>
        <w:t>contrast</w:t>
      </w:r>
      <w:r>
        <w:rPr>
          <w:spacing w:val="-4"/>
        </w:rPr>
        <w:t> </w:t>
      </w:r>
      <w:r>
        <w:rPr/>
        <w:t>to</w:t>
      </w:r>
      <w:r>
        <w:rPr>
          <w:spacing w:val="-2"/>
        </w:rPr>
        <w:t> </w:t>
      </w:r>
      <w:r>
        <w:rPr/>
        <w:t>2015,</w:t>
      </w:r>
      <w:r>
        <w:rPr>
          <w:spacing w:val="-4"/>
        </w:rPr>
        <w:t> </w:t>
      </w:r>
      <w:r>
        <w:rPr/>
        <w:t>there</w:t>
      </w:r>
      <w:r>
        <w:rPr>
          <w:spacing w:val="-3"/>
        </w:rPr>
        <w:t> </w:t>
      </w:r>
      <w:r>
        <w:rPr/>
        <w:t>was</w:t>
      </w:r>
      <w:r>
        <w:rPr>
          <w:spacing w:val="-3"/>
        </w:rPr>
        <w:t> </w:t>
      </w:r>
      <w:r>
        <w:rPr/>
        <w:t>no</w:t>
      </w:r>
      <w:r>
        <w:rPr>
          <w:spacing w:val="-5"/>
        </w:rPr>
        <w:t> </w:t>
      </w:r>
      <w:r>
        <w:rPr/>
        <w:t>significant</w:t>
      </w:r>
      <w:r>
        <w:rPr>
          <w:spacing w:val="-3"/>
        </w:rPr>
        <w:t> </w:t>
      </w:r>
      <w:r>
        <w:rPr/>
        <w:t>difference</w:t>
      </w:r>
      <w:r>
        <w:rPr>
          <w:spacing w:val="-3"/>
        </w:rPr>
        <w:t> </w:t>
      </w:r>
      <w:r>
        <w:rPr/>
        <w:t>in</w:t>
      </w:r>
      <w:r>
        <w:rPr>
          <w:spacing w:val="-3"/>
        </w:rPr>
        <w:t> </w:t>
      </w:r>
      <w:r>
        <w:rPr/>
        <w:t>outcome</w:t>
      </w:r>
      <w:r>
        <w:rPr>
          <w:spacing w:val="-3"/>
        </w:rPr>
        <w:t> </w:t>
      </w:r>
      <w:r>
        <w:rPr/>
        <w:t>by</w:t>
      </w:r>
      <w:r>
        <w:rPr>
          <w:spacing w:val="-4"/>
        </w:rPr>
        <w:t> </w:t>
      </w:r>
      <w:r>
        <w:rPr/>
        <w:t>case</w:t>
      </w:r>
      <w:r>
        <w:rPr>
          <w:spacing w:val="-3"/>
        </w:rPr>
        <w:t> </w:t>
      </w:r>
      <w:r>
        <w:rPr>
          <w:spacing w:val="-2"/>
        </w:rPr>
        <w:t>track.</w:t>
      </w:r>
    </w:p>
    <w:p>
      <w:pPr>
        <w:pStyle w:val="BodyText"/>
        <w:spacing w:before="1"/>
      </w:pPr>
    </w:p>
    <w:p>
      <w:pPr>
        <w:pStyle w:val="Heading3"/>
        <w:numPr>
          <w:ilvl w:val="1"/>
          <w:numId w:val="2"/>
        </w:numPr>
        <w:tabs>
          <w:tab w:pos="1974" w:val="left" w:leader="none"/>
        </w:tabs>
        <w:spacing w:line="240" w:lineRule="auto" w:before="0" w:after="0"/>
        <w:ind w:left="1973" w:right="0" w:hanging="636"/>
        <w:jc w:val="left"/>
      </w:pPr>
      <w:bookmarkStart w:name="10.5  Importance of Acas in resolving th" w:id="104"/>
      <w:bookmarkEnd w:id="104"/>
      <w:r>
        <w:rPr>
          <w:b w:val="0"/>
        </w:rPr>
      </w:r>
      <w:bookmarkStart w:name="_bookmark26" w:id="105"/>
      <w:bookmarkEnd w:id="105"/>
      <w:r>
        <w:rPr/>
        <w:t>I</w:t>
      </w:r>
      <w:r>
        <w:rPr/>
        <w:t>mportance</w:t>
      </w:r>
      <w:r>
        <w:rPr>
          <w:spacing w:val="-4"/>
        </w:rPr>
        <w:t> </w:t>
      </w:r>
      <w:r>
        <w:rPr/>
        <w:t>of</w:t>
      </w:r>
      <w:r>
        <w:rPr>
          <w:spacing w:val="-4"/>
        </w:rPr>
        <w:t> </w:t>
      </w:r>
      <w:r>
        <w:rPr/>
        <w:t>Acas</w:t>
      </w:r>
      <w:r>
        <w:rPr>
          <w:spacing w:val="-5"/>
        </w:rPr>
        <w:t> </w:t>
      </w:r>
      <w:r>
        <w:rPr/>
        <w:t>in</w:t>
      </w:r>
      <w:r>
        <w:rPr>
          <w:spacing w:val="-4"/>
        </w:rPr>
        <w:t> </w:t>
      </w:r>
      <w:r>
        <w:rPr/>
        <w:t>resolving</w:t>
      </w:r>
      <w:r>
        <w:rPr>
          <w:spacing w:val="-3"/>
        </w:rPr>
        <w:t> </w:t>
      </w:r>
      <w:r>
        <w:rPr/>
        <w:t>the</w:t>
      </w:r>
      <w:r>
        <w:rPr>
          <w:spacing w:val="-5"/>
        </w:rPr>
        <w:t> </w:t>
      </w:r>
      <w:r>
        <w:rPr>
          <w:spacing w:val="-2"/>
        </w:rPr>
        <w:t>dispute</w:t>
      </w:r>
    </w:p>
    <w:p>
      <w:pPr>
        <w:pStyle w:val="BodyText"/>
        <w:spacing w:before="119"/>
        <w:ind w:left="1337" w:right="1473"/>
        <w:jc w:val="both"/>
      </w:pPr>
      <w:r>
        <w:rPr/>
        <w:t>Survey participants were asked to judge the importance of Acas’ involvement in their dispute in three ways:</w:t>
      </w:r>
    </w:p>
    <w:p>
      <w:pPr>
        <w:pStyle w:val="BodyText"/>
        <w:spacing w:before="1"/>
      </w:pPr>
    </w:p>
    <w:p>
      <w:pPr>
        <w:pStyle w:val="ListParagraph"/>
        <w:numPr>
          <w:ilvl w:val="0"/>
          <w:numId w:val="25"/>
        </w:numPr>
        <w:tabs>
          <w:tab w:pos="2057" w:val="left" w:leader="none"/>
          <w:tab w:pos="2058" w:val="left" w:leader="none"/>
        </w:tabs>
        <w:spacing w:line="244" w:lineRule="exact" w:before="0" w:after="0"/>
        <w:ind w:left="2057" w:right="0" w:hanging="361"/>
        <w:jc w:val="left"/>
        <w:rPr>
          <w:sz w:val="20"/>
        </w:rPr>
      </w:pPr>
      <w:r>
        <w:rPr>
          <w:sz w:val="20"/>
        </w:rPr>
        <w:t>Helping</w:t>
      </w:r>
      <w:r>
        <w:rPr>
          <w:spacing w:val="-4"/>
          <w:sz w:val="20"/>
        </w:rPr>
        <w:t> </w:t>
      </w:r>
      <w:r>
        <w:rPr>
          <w:sz w:val="20"/>
        </w:rPr>
        <w:t>them</w:t>
      </w:r>
      <w:r>
        <w:rPr>
          <w:spacing w:val="-3"/>
          <w:sz w:val="20"/>
        </w:rPr>
        <w:t> </w:t>
      </w:r>
      <w:r>
        <w:rPr>
          <w:sz w:val="20"/>
        </w:rPr>
        <w:t>decide</w:t>
      </w:r>
      <w:r>
        <w:rPr>
          <w:spacing w:val="-2"/>
          <w:sz w:val="20"/>
        </w:rPr>
        <w:t> </w:t>
      </w:r>
      <w:r>
        <w:rPr>
          <w:sz w:val="20"/>
        </w:rPr>
        <w:t>how</w:t>
      </w:r>
      <w:r>
        <w:rPr>
          <w:spacing w:val="-2"/>
          <w:sz w:val="20"/>
        </w:rPr>
        <w:t> </w:t>
      </w:r>
      <w:r>
        <w:rPr>
          <w:sz w:val="20"/>
        </w:rPr>
        <w:t>to</w:t>
      </w:r>
      <w:r>
        <w:rPr>
          <w:spacing w:val="-4"/>
          <w:sz w:val="20"/>
        </w:rPr>
        <w:t> </w:t>
      </w:r>
      <w:r>
        <w:rPr>
          <w:sz w:val="20"/>
        </w:rPr>
        <w:t>proceed</w:t>
      </w:r>
      <w:r>
        <w:rPr>
          <w:spacing w:val="-1"/>
          <w:sz w:val="20"/>
        </w:rPr>
        <w:t> </w:t>
      </w:r>
      <w:r>
        <w:rPr>
          <w:sz w:val="20"/>
        </w:rPr>
        <w:t>with</w:t>
      </w:r>
      <w:r>
        <w:rPr>
          <w:spacing w:val="-3"/>
          <w:sz w:val="20"/>
        </w:rPr>
        <w:t> </w:t>
      </w:r>
      <w:r>
        <w:rPr>
          <w:sz w:val="20"/>
        </w:rPr>
        <w:t>the</w:t>
      </w:r>
      <w:r>
        <w:rPr>
          <w:spacing w:val="-3"/>
          <w:sz w:val="20"/>
        </w:rPr>
        <w:t> </w:t>
      </w:r>
      <w:r>
        <w:rPr>
          <w:spacing w:val="-2"/>
          <w:sz w:val="20"/>
        </w:rPr>
        <w:t>dispute;</w:t>
      </w:r>
    </w:p>
    <w:p>
      <w:pPr>
        <w:pStyle w:val="ListParagraph"/>
        <w:numPr>
          <w:ilvl w:val="0"/>
          <w:numId w:val="25"/>
        </w:numPr>
        <w:tabs>
          <w:tab w:pos="2057" w:val="left" w:leader="none"/>
          <w:tab w:pos="2058" w:val="left" w:leader="none"/>
        </w:tabs>
        <w:spacing w:line="243" w:lineRule="exact" w:before="0" w:after="0"/>
        <w:ind w:left="2057" w:right="0" w:hanging="361"/>
        <w:jc w:val="left"/>
        <w:rPr>
          <w:sz w:val="20"/>
        </w:rPr>
      </w:pPr>
      <w:r>
        <w:rPr>
          <w:sz w:val="20"/>
        </w:rPr>
        <w:t>Moving</w:t>
      </w:r>
      <w:r>
        <w:rPr>
          <w:spacing w:val="-3"/>
          <w:sz w:val="20"/>
        </w:rPr>
        <w:t> </w:t>
      </w:r>
      <w:r>
        <w:rPr>
          <w:sz w:val="20"/>
        </w:rPr>
        <w:t>the</w:t>
      </w:r>
      <w:r>
        <w:rPr>
          <w:spacing w:val="-5"/>
          <w:sz w:val="20"/>
        </w:rPr>
        <w:t> </w:t>
      </w:r>
      <w:r>
        <w:rPr>
          <w:sz w:val="20"/>
        </w:rPr>
        <w:t>parties</w:t>
      </w:r>
      <w:r>
        <w:rPr>
          <w:spacing w:val="-3"/>
          <w:sz w:val="20"/>
        </w:rPr>
        <w:t> </w:t>
      </w:r>
      <w:r>
        <w:rPr>
          <w:sz w:val="20"/>
        </w:rPr>
        <w:t>closer</w:t>
      </w:r>
      <w:r>
        <w:rPr>
          <w:spacing w:val="-2"/>
          <w:sz w:val="20"/>
        </w:rPr>
        <w:t> </w:t>
      </w:r>
      <w:r>
        <w:rPr>
          <w:sz w:val="20"/>
        </w:rPr>
        <w:t>to</w:t>
      </w:r>
      <w:r>
        <w:rPr>
          <w:spacing w:val="-3"/>
          <w:sz w:val="20"/>
        </w:rPr>
        <w:t> </w:t>
      </w:r>
      <w:r>
        <w:rPr>
          <w:sz w:val="20"/>
        </w:rPr>
        <w:t>resolving</w:t>
      </w:r>
      <w:r>
        <w:rPr>
          <w:spacing w:val="-3"/>
          <w:sz w:val="20"/>
        </w:rPr>
        <w:t> </w:t>
      </w:r>
      <w:r>
        <w:rPr>
          <w:sz w:val="20"/>
        </w:rPr>
        <w:t>the</w:t>
      </w:r>
      <w:r>
        <w:rPr>
          <w:spacing w:val="-4"/>
          <w:sz w:val="20"/>
        </w:rPr>
        <w:t> </w:t>
      </w:r>
      <w:r>
        <w:rPr>
          <w:sz w:val="20"/>
        </w:rPr>
        <w:t>dispute;</w:t>
      </w:r>
      <w:r>
        <w:rPr>
          <w:spacing w:val="-2"/>
          <w:sz w:val="20"/>
        </w:rPr>
        <w:t> </w:t>
      </w:r>
      <w:r>
        <w:rPr>
          <w:spacing w:val="-5"/>
          <w:sz w:val="20"/>
        </w:rPr>
        <w:t>and</w:t>
      </w:r>
    </w:p>
    <w:p>
      <w:pPr>
        <w:pStyle w:val="ListParagraph"/>
        <w:numPr>
          <w:ilvl w:val="0"/>
          <w:numId w:val="25"/>
        </w:numPr>
        <w:tabs>
          <w:tab w:pos="2057" w:val="left" w:leader="none"/>
          <w:tab w:pos="2058" w:val="left" w:leader="none"/>
        </w:tabs>
        <w:spacing w:line="244" w:lineRule="exact" w:before="0" w:after="0"/>
        <w:ind w:left="2057" w:right="0" w:hanging="361"/>
        <w:jc w:val="left"/>
        <w:rPr>
          <w:sz w:val="20"/>
        </w:rPr>
      </w:pPr>
      <w:r>
        <w:rPr>
          <w:sz w:val="20"/>
        </w:rPr>
        <w:t>Helping</w:t>
      </w:r>
      <w:r>
        <w:rPr>
          <w:spacing w:val="-5"/>
          <w:sz w:val="20"/>
        </w:rPr>
        <w:t> </w:t>
      </w:r>
      <w:r>
        <w:rPr>
          <w:sz w:val="20"/>
        </w:rPr>
        <w:t>them</w:t>
      </w:r>
      <w:r>
        <w:rPr>
          <w:spacing w:val="-2"/>
          <w:sz w:val="20"/>
        </w:rPr>
        <w:t> </w:t>
      </w:r>
      <w:r>
        <w:rPr>
          <w:sz w:val="20"/>
        </w:rPr>
        <w:t>decide</w:t>
      </w:r>
      <w:r>
        <w:rPr>
          <w:spacing w:val="-2"/>
          <w:sz w:val="20"/>
        </w:rPr>
        <w:t> </w:t>
      </w:r>
      <w:r>
        <w:rPr>
          <w:sz w:val="20"/>
        </w:rPr>
        <w:t>whether</w:t>
      </w:r>
      <w:r>
        <w:rPr>
          <w:spacing w:val="-2"/>
          <w:sz w:val="20"/>
        </w:rPr>
        <w:t> </w:t>
      </w:r>
      <w:r>
        <w:rPr>
          <w:sz w:val="20"/>
        </w:rPr>
        <w:t>or</w:t>
      </w:r>
      <w:r>
        <w:rPr>
          <w:spacing w:val="-4"/>
          <w:sz w:val="20"/>
        </w:rPr>
        <w:t> </w:t>
      </w:r>
      <w:r>
        <w:rPr>
          <w:sz w:val="20"/>
        </w:rPr>
        <w:t>not</w:t>
      </w:r>
      <w:r>
        <w:rPr>
          <w:spacing w:val="-2"/>
          <w:sz w:val="20"/>
        </w:rPr>
        <w:t> </w:t>
      </w:r>
      <w:r>
        <w:rPr>
          <w:sz w:val="20"/>
        </w:rPr>
        <w:t>to</w:t>
      </w:r>
      <w:r>
        <w:rPr>
          <w:spacing w:val="-2"/>
          <w:sz w:val="20"/>
        </w:rPr>
        <w:t> </w:t>
      </w:r>
      <w:r>
        <w:rPr>
          <w:sz w:val="20"/>
        </w:rPr>
        <w:t>settle</w:t>
      </w:r>
      <w:r>
        <w:rPr>
          <w:spacing w:val="-2"/>
          <w:sz w:val="20"/>
        </w:rPr>
        <w:t> </w:t>
      </w:r>
      <w:r>
        <w:rPr>
          <w:sz w:val="20"/>
        </w:rPr>
        <w:t>the</w:t>
      </w:r>
      <w:r>
        <w:rPr>
          <w:spacing w:val="-2"/>
          <w:sz w:val="20"/>
        </w:rPr>
        <w:t> dispute.</w:t>
      </w:r>
    </w:p>
    <w:p>
      <w:pPr>
        <w:pStyle w:val="BodyText"/>
        <w:spacing w:before="10"/>
        <w:rPr>
          <w:sz w:val="19"/>
        </w:rPr>
      </w:pPr>
    </w:p>
    <w:p>
      <w:pPr>
        <w:pStyle w:val="BodyText"/>
        <w:ind w:left="1337" w:right="1473"/>
        <w:jc w:val="both"/>
      </w:pPr>
      <w:r>
        <w:rPr/>
        <w:t>Claimant-side participants were generally more likely than employer-side participants to view Acas’ involvement as important across these measures. However, aggregate measures hide significant differences in opinion between claimants, employers and their respective representatives.</w:t>
      </w:r>
    </w:p>
    <w:p>
      <w:pPr>
        <w:pStyle w:val="BodyText"/>
        <w:spacing w:before="1"/>
      </w:pPr>
    </w:p>
    <w:p>
      <w:pPr>
        <w:pStyle w:val="BodyText"/>
        <w:ind w:left="1337" w:right="1473"/>
        <w:jc w:val="both"/>
      </w:pPr>
      <w:r>
        <w:rPr/>
        <w:t>Claimants</w:t>
      </w:r>
      <w:r>
        <w:rPr>
          <w:spacing w:val="-5"/>
        </w:rPr>
        <w:t> </w:t>
      </w:r>
      <w:r>
        <w:rPr/>
        <w:t>were</w:t>
      </w:r>
      <w:r>
        <w:rPr>
          <w:spacing w:val="-6"/>
        </w:rPr>
        <w:t> </w:t>
      </w:r>
      <w:r>
        <w:rPr/>
        <w:t>most</w:t>
      </w:r>
      <w:r>
        <w:rPr>
          <w:spacing w:val="-5"/>
        </w:rPr>
        <w:t> </w:t>
      </w:r>
      <w:r>
        <w:rPr/>
        <w:t>likely</w:t>
      </w:r>
      <w:r>
        <w:rPr>
          <w:spacing w:val="-5"/>
        </w:rPr>
        <w:t> </w:t>
      </w:r>
      <w:r>
        <w:rPr/>
        <w:t>to</w:t>
      </w:r>
      <w:r>
        <w:rPr>
          <w:spacing w:val="-6"/>
        </w:rPr>
        <w:t> </w:t>
      </w:r>
      <w:r>
        <w:rPr/>
        <w:t>view</w:t>
      </w:r>
      <w:r>
        <w:rPr>
          <w:spacing w:val="-6"/>
        </w:rPr>
        <w:t> </w:t>
      </w:r>
      <w:r>
        <w:rPr/>
        <w:t>Acas’</w:t>
      </w:r>
      <w:r>
        <w:rPr>
          <w:spacing w:val="-5"/>
        </w:rPr>
        <w:t> </w:t>
      </w:r>
      <w:r>
        <w:rPr/>
        <w:t>involvement</w:t>
      </w:r>
      <w:r>
        <w:rPr>
          <w:spacing w:val="-5"/>
        </w:rPr>
        <w:t> </w:t>
      </w:r>
      <w:r>
        <w:rPr/>
        <w:t>in</w:t>
      </w:r>
      <w:r>
        <w:rPr>
          <w:spacing w:val="-5"/>
        </w:rPr>
        <w:t> </w:t>
      </w:r>
      <w:r>
        <w:rPr/>
        <w:t>their</w:t>
      </w:r>
      <w:r>
        <w:rPr>
          <w:spacing w:val="-6"/>
        </w:rPr>
        <w:t> </w:t>
      </w:r>
      <w:r>
        <w:rPr/>
        <w:t>dispute</w:t>
      </w:r>
      <w:r>
        <w:rPr>
          <w:spacing w:val="-6"/>
        </w:rPr>
        <w:t> </w:t>
      </w:r>
      <w:r>
        <w:rPr/>
        <w:t>as</w:t>
      </w:r>
      <w:r>
        <w:rPr>
          <w:spacing w:val="-5"/>
        </w:rPr>
        <w:t> </w:t>
      </w:r>
      <w:r>
        <w:rPr/>
        <w:t>important across measures. A majority said Acas’ involvement had been very or quite important (see Figures 13, 14 and 15).</w:t>
      </w:r>
    </w:p>
    <w:p>
      <w:pPr>
        <w:spacing w:after="0"/>
        <w:jc w:val="both"/>
        <w:sectPr>
          <w:pgSz w:w="11910" w:h="16840"/>
          <w:pgMar w:header="0" w:footer="996" w:top="1340" w:bottom="1180" w:left="460" w:right="320"/>
        </w:sectPr>
      </w:pPr>
    </w:p>
    <w:p>
      <w:pPr>
        <w:spacing w:before="82"/>
        <w:ind w:left="1337" w:right="1472" w:firstLine="0"/>
        <w:jc w:val="left"/>
        <w:rPr>
          <w:b/>
          <w:sz w:val="20"/>
        </w:rPr>
      </w:pPr>
      <w:r>
        <w:rPr>
          <w:b/>
          <w:sz w:val="20"/>
        </w:rPr>
        <w:t>Figure 13. Importance of Acas in helping decide how to proceed with the </w:t>
      </w:r>
      <w:r>
        <w:rPr>
          <w:b/>
          <w:spacing w:val="-2"/>
          <w:sz w:val="20"/>
        </w:rPr>
        <w:t>dispute</w:t>
      </w:r>
    </w:p>
    <w:p>
      <w:pPr>
        <w:pStyle w:val="BodyText"/>
        <w:ind w:left="1439"/>
      </w:pPr>
      <w:r>
        <w:rPr/>
        <w:drawing>
          <wp:inline distT="0" distB="0" distL="0" distR="0">
            <wp:extent cx="5180217" cy="3235928"/>
            <wp:effectExtent l="0" t="0" r="0" b="0"/>
            <wp:docPr id="37" name="image19.png" descr="Graph showing importance of Acas in helping decide how to preceed with the dispute "/>
            <wp:cNvGraphicFramePr>
              <a:graphicFrameLocks noChangeAspect="1"/>
            </wp:cNvGraphicFramePr>
            <a:graphic>
              <a:graphicData uri="http://schemas.openxmlformats.org/drawingml/2006/picture">
                <pic:pic>
                  <pic:nvPicPr>
                    <pic:cNvPr id="38" name="image19.png"/>
                    <pic:cNvPicPr/>
                  </pic:nvPicPr>
                  <pic:blipFill>
                    <a:blip r:embed="rId31" cstate="print"/>
                    <a:stretch>
                      <a:fillRect/>
                    </a:stretch>
                  </pic:blipFill>
                  <pic:spPr>
                    <a:xfrm>
                      <a:off x="0" y="0"/>
                      <a:ext cx="5180217" cy="3235928"/>
                    </a:xfrm>
                    <a:prstGeom prst="rect">
                      <a:avLst/>
                    </a:prstGeom>
                  </pic:spPr>
                </pic:pic>
              </a:graphicData>
            </a:graphic>
          </wp:inline>
        </w:drawing>
      </w:r>
      <w:r>
        <w:rPr/>
      </w:r>
    </w:p>
    <w:p>
      <w:pPr>
        <w:pStyle w:val="BodyText"/>
        <w:rPr>
          <w:b/>
          <w:sz w:val="24"/>
        </w:rPr>
      </w:pPr>
    </w:p>
    <w:p>
      <w:pPr>
        <w:pStyle w:val="BodyText"/>
        <w:rPr>
          <w:b/>
          <w:sz w:val="24"/>
        </w:rPr>
      </w:pPr>
    </w:p>
    <w:p>
      <w:pPr>
        <w:pStyle w:val="BodyText"/>
        <w:rPr>
          <w:b/>
          <w:sz w:val="24"/>
        </w:rPr>
      </w:pPr>
    </w:p>
    <w:p>
      <w:pPr>
        <w:pStyle w:val="BodyText"/>
        <w:spacing w:before="2"/>
        <w:rPr>
          <w:b/>
          <w:sz w:val="18"/>
        </w:rPr>
      </w:pPr>
    </w:p>
    <w:p>
      <w:pPr>
        <w:spacing w:before="0"/>
        <w:ind w:left="1337" w:right="0" w:firstLine="0"/>
        <w:jc w:val="left"/>
        <w:rPr>
          <w:b/>
          <w:sz w:val="20"/>
        </w:rPr>
      </w:pPr>
      <w:r>
        <w:rPr>
          <w:b/>
          <w:sz w:val="20"/>
        </w:rPr>
        <w:t>Figure</w:t>
      </w:r>
      <w:r>
        <w:rPr>
          <w:b/>
          <w:spacing w:val="-8"/>
          <w:sz w:val="20"/>
        </w:rPr>
        <w:t> </w:t>
      </w:r>
      <w:r>
        <w:rPr>
          <w:b/>
          <w:sz w:val="20"/>
        </w:rPr>
        <w:t>14.</w:t>
      </w:r>
      <w:r>
        <w:rPr>
          <w:b/>
          <w:spacing w:val="-5"/>
          <w:sz w:val="20"/>
        </w:rPr>
        <w:t> </w:t>
      </w:r>
      <w:r>
        <w:rPr>
          <w:b/>
          <w:sz w:val="20"/>
        </w:rPr>
        <w:t>Importance</w:t>
      </w:r>
      <w:r>
        <w:rPr>
          <w:b/>
          <w:spacing w:val="-3"/>
          <w:sz w:val="20"/>
        </w:rPr>
        <w:t> </w:t>
      </w:r>
      <w:r>
        <w:rPr>
          <w:b/>
          <w:sz w:val="20"/>
        </w:rPr>
        <w:t>of</w:t>
      </w:r>
      <w:r>
        <w:rPr>
          <w:b/>
          <w:spacing w:val="-4"/>
          <w:sz w:val="20"/>
        </w:rPr>
        <w:t> </w:t>
      </w:r>
      <w:r>
        <w:rPr>
          <w:b/>
          <w:sz w:val="20"/>
        </w:rPr>
        <w:t>Acas</w:t>
      </w:r>
      <w:r>
        <w:rPr>
          <w:b/>
          <w:spacing w:val="-4"/>
          <w:sz w:val="20"/>
        </w:rPr>
        <w:t> </w:t>
      </w:r>
      <w:r>
        <w:rPr>
          <w:b/>
          <w:sz w:val="20"/>
        </w:rPr>
        <w:t>in</w:t>
      </w:r>
      <w:r>
        <w:rPr>
          <w:b/>
          <w:spacing w:val="-5"/>
          <w:sz w:val="20"/>
        </w:rPr>
        <w:t> </w:t>
      </w:r>
      <w:r>
        <w:rPr>
          <w:b/>
          <w:sz w:val="20"/>
        </w:rPr>
        <w:t>moving</w:t>
      </w:r>
      <w:r>
        <w:rPr>
          <w:b/>
          <w:spacing w:val="-4"/>
          <w:sz w:val="20"/>
        </w:rPr>
        <w:t> </w:t>
      </w:r>
      <w:r>
        <w:rPr>
          <w:b/>
          <w:sz w:val="20"/>
        </w:rPr>
        <w:t>parties</w:t>
      </w:r>
      <w:r>
        <w:rPr>
          <w:b/>
          <w:spacing w:val="-4"/>
          <w:sz w:val="20"/>
        </w:rPr>
        <w:t> </w:t>
      </w:r>
      <w:r>
        <w:rPr>
          <w:b/>
          <w:sz w:val="20"/>
        </w:rPr>
        <w:t>closer</w:t>
      </w:r>
      <w:r>
        <w:rPr>
          <w:b/>
          <w:spacing w:val="-3"/>
          <w:sz w:val="20"/>
        </w:rPr>
        <w:t> </w:t>
      </w:r>
      <w:r>
        <w:rPr>
          <w:b/>
          <w:spacing w:val="-2"/>
          <w:sz w:val="20"/>
        </w:rPr>
        <w:t>together</w:t>
      </w:r>
    </w:p>
    <w:p>
      <w:pPr>
        <w:pStyle w:val="BodyText"/>
        <w:spacing w:before="9"/>
        <w:rPr>
          <w:b/>
          <w:sz w:val="12"/>
        </w:rPr>
      </w:pPr>
      <w:r>
        <w:rPr/>
        <w:drawing>
          <wp:anchor distT="0" distB="0" distL="0" distR="0" allowOverlap="1" layoutInCell="1" locked="0" behindDoc="0" simplePos="0" relativeHeight="32">
            <wp:simplePos x="0" y="0"/>
            <wp:positionH relativeFrom="page">
              <wp:posOffset>1181224</wp:posOffset>
            </wp:positionH>
            <wp:positionV relativeFrom="paragraph">
              <wp:posOffset>113862</wp:posOffset>
            </wp:positionV>
            <wp:extent cx="5047350" cy="3259074"/>
            <wp:effectExtent l="0" t="0" r="0" b="0"/>
            <wp:wrapTopAndBottom/>
            <wp:docPr id="39" name="image20.png" descr="Graph showing importance of Acas in moving parties together "/>
            <wp:cNvGraphicFramePr>
              <a:graphicFrameLocks noChangeAspect="1"/>
            </wp:cNvGraphicFramePr>
            <a:graphic>
              <a:graphicData uri="http://schemas.openxmlformats.org/drawingml/2006/picture">
                <pic:pic>
                  <pic:nvPicPr>
                    <pic:cNvPr id="40" name="image20.png"/>
                    <pic:cNvPicPr/>
                  </pic:nvPicPr>
                  <pic:blipFill>
                    <a:blip r:embed="rId32" cstate="print"/>
                    <a:stretch>
                      <a:fillRect/>
                    </a:stretch>
                  </pic:blipFill>
                  <pic:spPr>
                    <a:xfrm>
                      <a:off x="0" y="0"/>
                      <a:ext cx="5047350" cy="3259074"/>
                    </a:xfrm>
                    <a:prstGeom prst="rect">
                      <a:avLst/>
                    </a:prstGeom>
                  </pic:spPr>
                </pic:pic>
              </a:graphicData>
            </a:graphic>
          </wp:anchor>
        </w:drawing>
      </w:r>
    </w:p>
    <w:p>
      <w:pPr>
        <w:spacing w:after="0"/>
        <w:rPr>
          <w:sz w:val="12"/>
        </w:rPr>
        <w:sectPr>
          <w:pgSz w:w="11910" w:h="16840"/>
          <w:pgMar w:header="0" w:footer="996" w:top="1340" w:bottom="1180" w:left="460" w:right="320"/>
        </w:sectPr>
      </w:pPr>
    </w:p>
    <w:p>
      <w:pPr>
        <w:spacing w:before="82"/>
        <w:ind w:left="1337" w:right="0" w:firstLine="0"/>
        <w:jc w:val="both"/>
        <w:rPr>
          <w:b/>
          <w:sz w:val="20"/>
        </w:rPr>
      </w:pPr>
      <w:r>
        <w:rPr>
          <w:b/>
          <w:sz w:val="20"/>
        </w:rPr>
        <w:t>Figure</w:t>
      </w:r>
      <w:r>
        <w:rPr>
          <w:b/>
          <w:spacing w:val="-7"/>
          <w:sz w:val="20"/>
        </w:rPr>
        <w:t> </w:t>
      </w:r>
      <w:r>
        <w:rPr>
          <w:b/>
          <w:sz w:val="20"/>
        </w:rPr>
        <w:t>15.</w:t>
      </w:r>
      <w:r>
        <w:rPr>
          <w:b/>
          <w:spacing w:val="-5"/>
          <w:sz w:val="20"/>
        </w:rPr>
        <w:t> </w:t>
      </w:r>
      <w:r>
        <w:rPr>
          <w:b/>
          <w:sz w:val="20"/>
        </w:rPr>
        <w:t>Importance</w:t>
      </w:r>
      <w:r>
        <w:rPr>
          <w:b/>
          <w:spacing w:val="-2"/>
          <w:sz w:val="20"/>
        </w:rPr>
        <w:t> </w:t>
      </w:r>
      <w:r>
        <w:rPr>
          <w:b/>
          <w:sz w:val="20"/>
        </w:rPr>
        <w:t>of</w:t>
      </w:r>
      <w:r>
        <w:rPr>
          <w:b/>
          <w:spacing w:val="-3"/>
          <w:sz w:val="20"/>
        </w:rPr>
        <w:t> </w:t>
      </w:r>
      <w:r>
        <w:rPr>
          <w:b/>
          <w:sz w:val="20"/>
        </w:rPr>
        <w:t>Acas</w:t>
      </w:r>
      <w:r>
        <w:rPr>
          <w:b/>
          <w:spacing w:val="-4"/>
          <w:sz w:val="20"/>
        </w:rPr>
        <w:t> </w:t>
      </w:r>
      <w:r>
        <w:rPr>
          <w:b/>
          <w:sz w:val="20"/>
        </w:rPr>
        <w:t>in</w:t>
      </w:r>
      <w:r>
        <w:rPr>
          <w:b/>
          <w:spacing w:val="-2"/>
          <w:sz w:val="20"/>
        </w:rPr>
        <w:t> </w:t>
      </w:r>
      <w:r>
        <w:rPr>
          <w:b/>
          <w:sz w:val="20"/>
        </w:rPr>
        <w:t>the</w:t>
      </w:r>
      <w:r>
        <w:rPr>
          <w:b/>
          <w:spacing w:val="-3"/>
          <w:sz w:val="20"/>
        </w:rPr>
        <w:t> </w:t>
      </w:r>
      <w:r>
        <w:rPr>
          <w:b/>
          <w:sz w:val="20"/>
        </w:rPr>
        <w:t>decision</w:t>
      </w:r>
      <w:r>
        <w:rPr>
          <w:b/>
          <w:spacing w:val="-3"/>
          <w:sz w:val="20"/>
        </w:rPr>
        <w:t> </w:t>
      </w:r>
      <w:r>
        <w:rPr>
          <w:b/>
          <w:sz w:val="20"/>
        </w:rPr>
        <w:t>to</w:t>
      </w:r>
      <w:r>
        <w:rPr>
          <w:b/>
          <w:spacing w:val="-2"/>
          <w:sz w:val="20"/>
        </w:rPr>
        <w:t> settle</w:t>
      </w:r>
    </w:p>
    <w:p>
      <w:pPr>
        <w:pStyle w:val="BodyText"/>
        <w:ind w:left="1439"/>
      </w:pPr>
      <w:r>
        <w:rPr/>
        <w:drawing>
          <wp:inline distT="0" distB="0" distL="0" distR="0">
            <wp:extent cx="5047631" cy="3254121"/>
            <wp:effectExtent l="0" t="0" r="0" b="0"/>
            <wp:docPr id="41" name="image21.png" descr="Graph showing importance of Acas in the decision to settle "/>
            <wp:cNvGraphicFramePr>
              <a:graphicFrameLocks noChangeAspect="1"/>
            </wp:cNvGraphicFramePr>
            <a:graphic>
              <a:graphicData uri="http://schemas.openxmlformats.org/drawingml/2006/picture">
                <pic:pic>
                  <pic:nvPicPr>
                    <pic:cNvPr id="42" name="image21.png"/>
                    <pic:cNvPicPr/>
                  </pic:nvPicPr>
                  <pic:blipFill>
                    <a:blip r:embed="rId33" cstate="print"/>
                    <a:stretch>
                      <a:fillRect/>
                    </a:stretch>
                  </pic:blipFill>
                  <pic:spPr>
                    <a:xfrm>
                      <a:off x="0" y="0"/>
                      <a:ext cx="5047631" cy="3254121"/>
                    </a:xfrm>
                    <a:prstGeom prst="rect">
                      <a:avLst/>
                    </a:prstGeom>
                  </pic:spPr>
                </pic:pic>
              </a:graphicData>
            </a:graphic>
          </wp:inline>
        </w:drawing>
      </w:r>
      <w:r>
        <w:rPr/>
      </w:r>
    </w:p>
    <w:p>
      <w:pPr>
        <w:pStyle w:val="BodyText"/>
        <w:spacing w:before="124"/>
        <w:ind w:left="1337" w:right="1474"/>
        <w:jc w:val="both"/>
      </w:pPr>
      <w:r>
        <w:rPr/>
        <w:t>In contrast, employer representatives were the group least likely to rate Acas’ involvement in their dispute as important. However, a majority still agreed that Acas’</w:t>
      </w:r>
      <w:r>
        <w:rPr>
          <w:spacing w:val="-11"/>
        </w:rPr>
        <w:t> </w:t>
      </w:r>
      <w:r>
        <w:rPr/>
        <w:t>involvement</w:t>
      </w:r>
      <w:r>
        <w:rPr>
          <w:spacing w:val="-11"/>
        </w:rPr>
        <w:t> </w:t>
      </w:r>
      <w:r>
        <w:rPr/>
        <w:t>had</w:t>
      </w:r>
      <w:r>
        <w:rPr>
          <w:spacing w:val="-14"/>
        </w:rPr>
        <w:t> </w:t>
      </w:r>
      <w:r>
        <w:rPr/>
        <w:t>been</w:t>
      </w:r>
      <w:r>
        <w:rPr>
          <w:spacing w:val="-10"/>
        </w:rPr>
        <w:t> </w:t>
      </w:r>
      <w:r>
        <w:rPr/>
        <w:t>an</w:t>
      </w:r>
      <w:r>
        <w:rPr>
          <w:spacing w:val="-11"/>
        </w:rPr>
        <w:t> </w:t>
      </w:r>
      <w:r>
        <w:rPr/>
        <w:t>important</w:t>
      </w:r>
      <w:r>
        <w:rPr>
          <w:spacing w:val="-12"/>
        </w:rPr>
        <w:t> </w:t>
      </w:r>
      <w:r>
        <w:rPr/>
        <w:t>factor</w:t>
      </w:r>
      <w:r>
        <w:rPr>
          <w:spacing w:val="-11"/>
        </w:rPr>
        <w:t> </w:t>
      </w:r>
      <w:r>
        <w:rPr/>
        <w:t>in</w:t>
      </w:r>
      <w:r>
        <w:rPr>
          <w:spacing w:val="-11"/>
        </w:rPr>
        <w:t> </w:t>
      </w:r>
      <w:r>
        <w:rPr/>
        <w:t>the</w:t>
      </w:r>
      <w:r>
        <w:rPr>
          <w:spacing w:val="-13"/>
        </w:rPr>
        <w:t> </w:t>
      </w:r>
      <w:r>
        <w:rPr/>
        <w:t>decision</w:t>
      </w:r>
      <w:r>
        <w:rPr>
          <w:spacing w:val="-10"/>
        </w:rPr>
        <w:t> </w:t>
      </w:r>
      <w:r>
        <w:rPr/>
        <w:t>to</w:t>
      </w:r>
      <w:r>
        <w:rPr>
          <w:spacing w:val="-12"/>
        </w:rPr>
        <w:t> </w:t>
      </w:r>
      <w:r>
        <w:rPr/>
        <w:t>resolve</w:t>
      </w:r>
      <w:r>
        <w:rPr>
          <w:spacing w:val="-12"/>
        </w:rPr>
        <w:t> </w:t>
      </w:r>
      <w:r>
        <w:rPr/>
        <w:t>the</w:t>
      </w:r>
      <w:r>
        <w:rPr>
          <w:spacing w:val="-11"/>
        </w:rPr>
        <w:t> </w:t>
      </w:r>
      <w:r>
        <w:rPr>
          <w:spacing w:val="-2"/>
        </w:rPr>
        <w:t>case.</w:t>
      </w:r>
    </w:p>
    <w:p>
      <w:pPr>
        <w:pStyle w:val="BodyText"/>
      </w:pPr>
    </w:p>
    <w:p>
      <w:pPr>
        <w:pStyle w:val="BodyText"/>
        <w:ind w:left="1337" w:right="1474"/>
        <w:jc w:val="both"/>
      </w:pPr>
      <w:r>
        <w:rPr/>
        <w:t>Among</w:t>
      </w:r>
      <w:r>
        <w:rPr>
          <w:spacing w:val="-2"/>
        </w:rPr>
        <w:t> </w:t>
      </w:r>
      <w:r>
        <w:rPr/>
        <w:t>claimant-side</w:t>
      </w:r>
      <w:r>
        <w:rPr>
          <w:spacing w:val="-2"/>
        </w:rPr>
        <w:t> </w:t>
      </w:r>
      <w:r>
        <w:rPr/>
        <w:t>participants,</w:t>
      </w:r>
      <w:r>
        <w:rPr>
          <w:spacing w:val="-3"/>
        </w:rPr>
        <w:t> </w:t>
      </w:r>
      <w:r>
        <w:rPr/>
        <w:t>those</w:t>
      </w:r>
      <w:r>
        <w:rPr>
          <w:spacing w:val="-2"/>
        </w:rPr>
        <w:t> </w:t>
      </w:r>
      <w:r>
        <w:rPr/>
        <w:t>involved</w:t>
      </w:r>
      <w:r>
        <w:rPr>
          <w:spacing w:val="-2"/>
        </w:rPr>
        <w:t> </w:t>
      </w:r>
      <w:r>
        <w:rPr/>
        <w:t>in</w:t>
      </w:r>
      <w:r>
        <w:rPr>
          <w:spacing w:val="-1"/>
        </w:rPr>
        <w:t> </w:t>
      </w:r>
      <w:r>
        <w:rPr/>
        <w:t>fast</w:t>
      </w:r>
      <w:r>
        <w:rPr>
          <w:spacing w:val="-3"/>
        </w:rPr>
        <w:t> </w:t>
      </w:r>
      <w:r>
        <w:rPr/>
        <w:t>track</w:t>
      </w:r>
      <w:r>
        <w:rPr>
          <w:spacing w:val="-2"/>
        </w:rPr>
        <w:t> </w:t>
      </w:r>
      <w:r>
        <w:rPr/>
        <w:t>disputes</w:t>
      </w:r>
      <w:r>
        <w:rPr>
          <w:spacing w:val="-2"/>
        </w:rPr>
        <w:t> </w:t>
      </w:r>
      <w:r>
        <w:rPr/>
        <w:t>were</w:t>
      </w:r>
      <w:r>
        <w:rPr>
          <w:spacing w:val="-2"/>
        </w:rPr>
        <w:t> </w:t>
      </w:r>
      <w:r>
        <w:rPr/>
        <w:t>more likely to attribute importance to Acas across all aspects than those involved in standard</w:t>
      </w:r>
      <w:r>
        <w:rPr>
          <w:spacing w:val="-2"/>
        </w:rPr>
        <w:t> </w:t>
      </w:r>
      <w:r>
        <w:rPr/>
        <w:t>or</w:t>
      </w:r>
      <w:r>
        <w:rPr>
          <w:spacing w:val="-4"/>
        </w:rPr>
        <w:t> </w:t>
      </w:r>
      <w:r>
        <w:rPr/>
        <w:t>open</w:t>
      </w:r>
      <w:r>
        <w:rPr>
          <w:spacing w:val="-2"/>
        </w:rPr>
        <w:t> </w:t>
      </w:r>
      <w:r>
        <w:rPr/>
        <w:t>track</w:t>
      </w:r>
      <w:r>
        <w:rPr>
          <w:spacing w:val="-3"/>
        </w:rPr>
        <w:t> </w:t>
      </w:r>
      <w:r>
        <w:rPr/>
        <w:t>disputes.</w:t>
      </w:r>
      <w:r>
        <w:rPr>
          <w:spacing w:val="-2"/>
        </w:rPr>
        <w:t> </w:t>
      </w:r>
      <w:r>
        <w:rPr/>
        <w:t>Similarly,</w:t>
      </w:r>
      <w:r>
        <w:rPr>
          <w:spacing w:val="-2"/>
        </w:rPr>
        <w:t> </w:t>
      </w:r>
      <w:r>
        <w:rPr/>
        <w:t>those</w:t>
      </w:r>
      <w:r>
        <w:rPr>
          <w:spacing w:val="-3"/>
        </w:rPr>
        <w:t> </w:t>
      </w:r>
      <w:r>
        <w:rPr/>
        <w:t>who</w:t>
      </w:r>
      <w:r>
        <w:rPr>
          <w:spacing w:val="-2"/>
        </w:rPr>
        <w:t> </w:t>
      </w:r>
      <w:r>
        <w:rPr/>
        <w:t>reached</w:t>
      </w:r>
      <w:r>
        <w:rPr>
          <w:spacing w:val="-2"/>
        </w:rPr>
        <w:t> </w:t>
      </w:r>
      <w:r>
        <w:rPr/>
        <w:t>a</w:t>
      </w:r>
      <w:r>
        <w:rPr>
          <w:spacing w:val="-2"/>
        </w:rPr>
        <w:t> </w:t>
      </w:r>
      <w:r>
        <w:rPr/>
        <w:t>settlement</w:t>
      </w:r>
      <w:r>
        <w:rPr>
          <w:spacing w:val="-2"/>
        </w:rPr>
        <w:t> </w:t>
      </w:r>
      <w:r>
        <w:rPr/>
        <w:t>via</w:t>
      </w:r>
      <w:r>
        <w:rPr>
          <w:spacing w:val="-2"/>
        </w:rPr>
        <w:t> </w:t>
      </w:r>
      <w:r>
        <w:rPr/>
        <w:t>EC were</w:t>
      </w:r>
      <w:r>
        <w:rPr>
          <w:spacing w:val="-12"/>
        </w:rPr>
        <w:t> </w:t>
      </w:r>
      <w:r>
        <w:rPr/>
        <w:t>more</w:t>
      </w:r>
      <w:r>
        <w:rPr>
          <w:spacing w:val="-12"/>
        </w:rPr>
        <w:t> </w:t>
      </w:r>
      <w:r>
        <w:rPr/>
        <w:t>likely</w:t>
      </w:r>
      <w:r>
        <w:rPr>
          <w:spacing w:val="-11"/>
        </w:rPr>
        <w:t> </w:t>
      </w:r>
      <w:r>
        <w:rPr/>
        <w:t>than</w:t>
      </w:r>
      <w:r>
        <w:rPr>
          <w:spacing w:val="-12"/>
        </w:rPr>
        <w:t> </w:t>
      </w:r>
      <w:r>
        <w:rPr/>
        <w:t>those</w:t>
      </w:r>
      <w:r>
        <w:rPr>
          <w:spacing w:val="-13"/>
        </w:rPr>
        <w:t> </w:t>
      </w:r>
      <w:r>
        <w:rPr/>
        <w:t>who</w:t>
      </w:r>
      <w:r>
        <w:rPr>
          <w:spacing w:val="-13"/>
        </w:rPr>
        <w:t> </w:t>
      </w:r>
      <w:r>
        <w:rPr/>
        <w:t>did</w:t>
      </w:r>
      <w:r>
        <w:rPr>
          <w:spacing w:val="-12"/>
        </w:rPr>
        <w:t> </w:t>
      </w:r>
      <w:r>
        <w:rPr/>
        <w:t>not</w:t>
      </w:r>
      <w:r>
        <w:rPr>
          <w:spacing w:val="-11"/>
        </w:rPr>
        <w:t> </w:t>
      </w:r>
      <w:r>
        <w:rPr/>
        <w:t>settle</w:t>
      </w:r>
      <w:r>
        <w:rPr>
          <w:spacing w:val="-13"/>
        </w:rPr>
        <w:t> </w:t>
      </w:r>
      <w:r>
        <w:rPr/>
        <w:t>to</w:t>
      </w:r>
      <w:r>
        <w:rPr>
          <w:spacing w:val="-12"/>
        </w:rPr>
        <w:t> </w:t>
      </w:r>
      <w:r>
        <w:rPr/>
        <w:t>feel</w:t>
      </w:r>
      <w:r>
        <w:rPr>
          <w:spacing w:val="-13"/>
        </w:rPr>
        <w:t> </w:t>
      </w:r>
      <w:r>
        <w:rPr/>
        <w:t>that</w:t>
      </w:r>
      <w:r>
        <w:rPr>
          <w:spacing w:val="-14"/>
        </w:rPr>
        <w:t> </w:t>
      </w:r>
      <w:r>
        <w:rPr/>
        <w:t>Acas</w:t>
      </w:r>
      <w:r>
        <w:rPr>
          <w:spacing w:val="-13"/>
        </w:rPr>
        <w:t> </w:t>
      </w:r>
      <w:r>
        <w:rPr/>
        <w:t>had</w:t>
      </w:r>
      <w:r>
        <w:rPr>
          <w:spacing w:val="-13"/>
        </w:rPr>
        <w:t> </w:t>
      </w:r>
      <w:r>
        <w:rPr/>
        <w:t>been</w:t>
      </w:r>
      <w:r>
        <w:rPr>
          <w:spacing w:val="-11"/>
        </w:rPr>
        <w:t> </w:t>
      </w:r>
      <w:r>
        <w:rPr/>
        <w:t>important in moving the parties closer together and resolving the dispute. This trend was mirrored among employer-side participants.</w:t>
      </w:r>
    </w:p>
    <w:p>
      <w:pPr>
        <w:pStyle w:val="BodyText"/>
        <w:spacing w:before="2"/>
      </w:pPr>
    </w:p>
    <w:p>
      <w:pPr>
        <w:pStyle w:val="Heading3"/>
        <w:numPr>
          <w:ilvl w:val="1"/>
          <w:numId w:val="2"/>
        </w:numPr>
        <w:tabs>
          <w:tab w:pos="1974" w:val="left" w:leader="none"/>
        </w:tabs>
        <w:spacing w:line="240" w:lineRule="auto" w:before="0" w:after="0"/>
        <w:ind w:left="1973" w:right="0" w:hanging="637"/>
        <w:jc w:val="both"/>
      </w:pPr>
      <w:bookmarkStart w:name="10.6  Satisfaction with the outcome of E" w:id="106"/>
      <w:bookmarkEnd w:id="106"/>
      <w:r>
        <w:rPr>
          <w:b w:val="0"/>
        </w:rPr>
      </w:r>
      <w:bookmarkStart w:name="_bookmark27" w:id="107"/>
      <w:bookmarkEnd w:id="107"/>
      <w:r>
        <w:rPr/>
        <w:t>Sa</w:t>
      </w:r>
      <w:r>
        <w:rPr/>
        <w:t>tisfaction</w:t>
      </w:r>
      <w:r>
        <w:rPr>
          <w:spacing w:val="-6"/>
        </w:rPr>
        <w:t> </w:t>
      </w:r>
      <w:r>
        <w:rPr/>
        <w:t>with</w:t>
      </w:r>
      <w:r>
        <w:rPr>
          <w:spacing w:val="-4"/>
        </w:rPr>
        <w:t> </w:t>
      </w:r>
      <w:r>
        <w:rPr/>
        <w:t>the</w:t>
      </w:r>
      <w:r>
        <w:rPr>
          <w:spacing w:val="-3"/>
        </w:rPr>
        <w:t> </w:t>
      </w:r>
      <w:r>
        <w:rPr/>
        <w:t>outcome</w:t>
      </w:r>
      <w:r>
        <w:rPr>
          <w:spacing w:val="-6"/>
        </w:rPr>
        <w:t> </w:t>
      </w:r>
      <w:r>
        <w:rPr/>
        <w:t>of</w:t>
      </w:r>
      <w:r>
        <w:rPr>
          <w:spacing w:val="-3"/>
        </w:rPr>
        <w:t> </w:t>
      </w:r>
      <w:r>
        <w:rPr>
          <w:spacing w:val="-5"/>
        </w:rPr>
        <w:t>EC</w:t>
      </w:r>
    </w:p>
    <w:p>
      <w:pPr>
        <w:pStyle w:val="BodyText"/>
        <w:spacing w:before="119"/>
        <w:ind w:left="1336" w:right="1473"/>
        <w:jc w:val="both"/>
      </w:pPr>
      <w:r>
        <w:rPr/>
        <w:t>Survey</w:t>
      </w:r>
      <w:r>
        <w:rPr>
          <w:spacing w:val="-18"/>
        </w:rPr>
        <w:t> </w:t>
      </w:r>
      <w:r>
        <w:rPr/>
        <w:t>participants</w:t>
      </w:r>
      <w:r>
        <w:rPr>
          <w:spacing w:val="-18"/>
        </w:rPr>
        <w:t> </w:t>
      </w:r>
      <w:r>
        <w:rPr/>
        <w:t>who</w:t>
      </w:r>
      <w:r>
        <w:rPr>
          <w:spacing w:val="-17"/>
        </w:rPr>
        <w:t> </w:t>
      </w:r>
      <w:r>
        <w:rPr/>
        <w:t>took</w:t>
      </w:r>
      <w:r>
        <w:rPr>
          <w:spacing w:val="-18"/>
        </w:rPr>
        <w:t> </w:t>
      </w:r>
      <w:r>
        <w:rPr/>
        <w:t>part</w:t>
      </w:r>
      <w:r>
        <w:rPr>
          <w:spacing w:val="-17"/>
        </w:rPr>
        <w:t> </w:t>
      </w:r>
      <w:r>
        <w:rPr/>
        <w:t>in</w:t>
      </w:r>
      <w:r>
        <w:rPr>
          <w:spacing w:val="-18"/>
        </w:rPr>
        <w:t> </w:t>
      </w:r>
      <w:r>
        <w:rPr/>
        <w:t>EC</w:t>
      </w:r>
      <w:r>
        <w:rPr>
          <w:spacing w:val="-18"/>
        </w:rPr>
        <w:t> </w:t>
      </w:r>
      <w:r>
        <w:rPr/>
        <w:t>remained</w:t>
      </w:r>
      <w:r>
        <w:rPr>
          <w:spacing w:val="-17"/>
        </w:rPr>
        <w:t> </w:t>
      </w:r>
      <w:r>
        <w:rPr/>
        <w:t>largely</w:t>
      </w:r>
      <w:r>
        <w:rPr>
          <w:spacing w:val="-18"/>
        </w:rPr>
        <w:t> </w:t>
      </w:r>
      <w:r>
        <w:rPr/>
        <w:t>satisfied</w:t>
      </w:r>
      <w:r>
        <w:rPr>
          <w:spacing w:val="-17"/>
        </w:rPr>
        <w:t> </w:t>
      </w:r>
      <w:r>
        <w:rPr/>
        <w:t>with</w:t>
      </w:r>
      <w:r>
        <w:rPr>
          <w:spacing w:val="-18"/>
        </w:rPr>
        <w:t> </w:t>
      </w:r>
      <w:r>
        <w:rPr/>
        <w:t>the</w:t>
      </w:r>
      <w:r>
        <w:rPr>
          <w:spacing w:val="-17"/>
        </w:rPr>
        <w:t> </w:t>
      </w:r>
      <w:r>
        <w:rPr/>
        <w:t>outcome of their case. Half (49 per cent) of claimant-side participants reported that they were</w:t>
      </w:r>
      <w:r>
        <w:rPr>
          <w:spacing w:val="-6"/>
        </w:rPr>
        <w:t> </w:t>
      </w:r>
      <w:r>
        <w:rPr/>
        <w:t>satisfied,</w:t>
      </w:r>
      <w:r>
        <w:rPr>
          <w:spacing w:val="-6"/>
        </w:rPr>
        <w:t> </w:t>
      </w:r>
      <w:r>
        <w:rPr/>
        <w:t>while</w:t>
      </w:r>
      <w:r>
        <w:rPr>
          <w:spacing w:val="-6"/>
        </w:rPr>
        <w:t> </w:t>
      </w:r>
      <w:r>
        <w:rPr/>
        <w:t>just</w:t>
      </w:r>
      <w:r>
        <w:rPr>
          <w:spacing w:val="-5"/>
        </w:rPr>
        <w:t> </w:t>
      </w:r>
      <w:r>
        <w:rPr/>
        <w:t>over</w:t>
      </w:r>
      <w:r>
        <w:rPr>
          <w:spacing w:val="-7"/>
        </w:rPr>
        <w:t> </w:t>
      </w:r>
      <w:r>
        <w:rPr/>
        <w:t>half</w:t>
      </w:r>
      <w:r>
        <w:rPr>
          <w:spacing w:val="-7"/>
        </w:rPr>
        <w:t> </w:t>
      </w:r>
      <w:r>
        <w:rPr/>
        <w:t>(54</w:t>
      </w:r>
      <w:r>
        <w:rPr>
          <w:spacing w:val="-6"/>
        </w:rPr>
        <w:t> </w:t>
      </w:r>
      <w:r>
        <w:rPr/>
        <w:t>per</w:t>
      </w:r>
      <w:r>
        <w:rPr>
          <w:spacing w:val="-7"/>
        </w:rPr>
        <w:t> </w:t>
      </w:r>
      <w:r>
        <w:rPr/>
        <w:t>cent)</w:t>
      </w:r>
      <w:r>
        <w:rPr>
          <w:spacing w:val="-5"/>
        </w:rPr>
        <w:t> </w:t>
      </w:r>
      <w:r>
        <w:rPr/>
        <w:t>of</w:t>
      </w:r>
      <w:r>
        <w:rPr>
          <w:spacing w:val="-5"/>
        </w:rPr>
        <w:t> </w:t>
      </w:r>
      <w:r>
        <w:rPr/>
        <w:t>employer-side</w:t>
      </w:r>
      <w:r>
        <w:rPr>
          <w:spacing w:val="-6"/>
        </w:rPr>
        <w:t> </w:t>
      </w:r>
      <w:r>
        <w:rPr/>
        <w:t>participants</w:t>
      </w:r>
      <w:r>
        <w:rPr>
          <w:spacing w:val="-5"/>
        </w:rPr>
        <w:t> </w:t>
      </w:r>
      <w:r>
        <w:rPr/>
        <w:t>said the same.</w:t>
      </w:r>
    </w:p>
    <w:p>
      <w:pPr>
        <w:pStyle w:val="BodyText"/>
        <w:spacing w:before="1"/>
      </w:pPr>
    </w:p>
    <w:p>
      <w:pPr>
        <w:pStyle w:val="Heading3"/>
        <w:ind w:left="1336"/>
      </w:pPr>
      <w:r>
        <w:rPr/>
        <w:t>Figure</w:t>
      </w:r>
      <w:r>
        <w:rPr>
          <w:spacing w:val="-5"/>
        </w:rPr>
        <w:t> </w:t>
      </w:r>
      <w:r>
        <w:rPr/>
        <w:t>16.</w:t>
      </w:r>
      <w:r>
        <w:rPr>
          <w:spacing w:val="-5"/>
        </w:rPr>
        <w:t> </w:t>
      </w:r>
      <w:r>
        <w:rPr/>
        <w:t>Satisfaction</w:t>
      </w:r>
      <w:r>
        <w:rPr>
          <w:spacing w:val="-5"/>
        </w:rPr>
        <w:t> </w:t>
      </w:r>
      <w:r>
        <w:rPr/>
        <w:t>with</w:t>
      </w:r>
      <w:r>
        <w:rPr>
          <w:spacing w:val="-3"/>
        </w:rPr>
        <w:t> </w:t>
      </w:r>
      <w:r>
        <w:rPr/>
        <w:t>the</w:t>
      </w:r>
      <w:r>
        <w:rPr>
          <w:spacing w:val="-5"/>
        </w:rPr>
        <w:t> </w:t>
      </w:r>
      <w:r>
        <w:rPr/>
        <w:t>outcome</w:t>
      </w:r>
      <w:r>
        <w:rPr>
          <w:spacing w:val="-3"/>
        </w:rPr>
        <w:t> </w:t>
      </w:r>
      <w:r>
        <w:rPr/>
        <w:t>of</w:t>
      </w:r>
      <w:r>
        <w:rPr>
          <w:spacing w:val="-3"/>
        </w:rPr>
        <w:t> </w:t>
      </w:r>
      <w:r>
        <w:rPr>
          <w:spacing w:val="-5"/>
        </w:rPr>
        <w:t>EC</w:t>
      </w:r>
    </w:p>
    <w:p>
      <w:pPr>
        <w:pStyle w:val="BodyText"/>
        <w:ind w:left="1392"/>
      </w:pPr>
      <w:r>
        <w:rPr/>
        <w:drawing>
          <wp:inline distT="0" distB="0" distL="0" distR="0">
            <wp:extent cx="5083994" cy="2347722"/>
            <wp:effectExtent l="0" t="0" r="0" b="0"/>
            <wp:docPr id="43" name="image22.png" descr="Graph showing satisfaction with the outcome of EC "/>
            <wp:cNvGraphicFramePr>
              <a:graphicFrameLocks noChangeAspect="1"/>
            </wp:cNvGraphicFramePr>
            <a:graphic>
              <a:graphicData uri="http://schemas.openxmlformats.org/drawingml/2006/picture">
                <pic:pic>
                  <pic:nvPicPr>
                    <pic:cNvPr id="44" name="image22.png"/>
                    <pic:cNvPicPr/>
                  </pic:nvPicPr>
                  <pic:blipFill>
                    <a:blip r:embed="rId34" cstate="print"/>
                    <a:stretch>
                      <a:fillRect/>
                    </a:stretch>
                  </pic:blipFill>
                  <pic:spPr>
                    <a:xfrm>
                      <a:off x="0" y="0"/>
                      <a:ext cx="5083994" cy="2347722"/>
                    </a:xfrm>
                    <a:prstGeom prst="rect">
                      <a:avLst/>
                    </a:prstGeom>
                  </pic:spPr>
                </pic:pic>
              </a:graphicData>
            </a:graphic>
          </wp:inline>
        </w:drawing>
      </w:r>
      <w:r>
        <w:rPr/>
      </w:r>
    </w:p>
    <w:p>
      <w:pPr>
        <w:spacing w:after="0"/>
        <w:sectPr>
          <w:pgSz w:w="11910" w:h="16840"/>
          <w:pgMar w:header="0" w:footer="996" w:top="1340" w:bottom="1180" w:left="460" w:right="320"/>
        </w:sectPr>
      </w:pPr>
    </w:p>
    <w:p>
      <w:pPr>
        <w:pStyle w:val="BodyText"/>
        <w:spacing w:before="82"/>
        <w:ind w:left="1337" w:right="1474"/>
        <w:jc w:val="both"/>
      </w:pPr>
      <w:r>
        <w:rPr/>
        <w:t>As in 2015, claimants were more likely to report dissatisfaction with the outcome of EC than employer-side participants (49 per cent said they were satisfied while 34 per cent said they were dissatisfied, compared to 48 per cent satisfied and 36 per</w:t>
      </w:r>
      <w:r>
        <w:rPr>
          <w:spacing w:val="-18"/>
        </w:rPr>
        <w:t> </w:t>
      </w:r>
      <w:r>
        <w:rPr/>
        <w:t>cent</w:t>
      </w:r>
      <w:r>
        <w:rPr>
          <w:spacing w:val="-18"/>
        </w:rPr>
        <w:t> </w:t>
      </w:r>
      <w:r>
        <w:rPr/>
        <w:t>dissatisfied</w:t>
      </w:r>
      <w:r>
        <w:rPr>
          <w:spacing w:val="-17"/>
        </w:rPr>
        <w:t> </w:t>
      </w:r>
      <w:r>
        <w:rPr/>
        <w:t>in</w:t>
      </w:r>
      <w:r>
        <w:rPr>
          <w:spacing w:val="-18"/>
        </w:rPr>
        <w:t> </w:t>
      </w:r>
      <w:r>
        <w:rPr/>
        <w:t>2015).</w:t>
      </w:r>
      <w:r>
        <w:rPr>
          <w:spacing w:val="-17"/>
        </w:rPr>
        <w:t> </w:t>
      </w:r>
      <w:r>
        <w:rPr/>
        <w:t>There</w:t>
      </w:r>
      <w:r>
        <w:rPr>
          <w:spacing w:val="-18"/>
        </w:rPr>
        <w:t> </w:t>
      </w:r>
      <w:r>
        <w:rPr/>
        <w:t>was</w:t>
      </w:r>
      <w:r>
        <w:rPr>
          <w:spacing w:val="-18"/>
        </w:rPr>
        <w:t> </w:t>
      </w:r>
      <w:r>
        <w:rPr/>
        <w:t>no</w:t>
      </w:r>
      <w:r>
        <w:rPr>
          <w:spacing w:val="-17"/>
        </w:rPr>
        <w:t> </w:t>
      </w:r>
      <w:r>
        <w:rPr/>
        <w:t>difference</w:t>
      </w:r>
      <w:r>
        <w:rPr>
          <w:spacing w:val="-18"/>
        </w:rPr>
        <w:t> </w:t>
      </w:r>
      <w:r>
        <w:rPr/>
        <w:t>in</w:t>
      </w:r>
      <w:r>
        <w:rPr>
          <w:spacing w:val="-17"/>
        </w:rPr>
        <w:t> </w:t>
      </w:r>
      <w:r>
        <w:rPr/>
        <w:t>satisfaction</w:t>
      </w:r>
      <w:r>
        <w:rPr>
          <w:spacing w:val="-18"/>
        </w:rPr>
        <w:t> </w:t>
      </w:r>
      <w:r>
        <w:rPr/>
        <w:t>levels</w:t>
      </w:r>
      <w:r>
        <w:rPr>
          <w:spacing w:val="-17"/>
        </w:rPr>
        <w:t> </w:t>
      </w:r>
      <w:r>
        <w:rPr/>
        <w:t>between those in contact with one or multiple conciliators.</w:t>
      </w:r>
    </w:p>
    <w:p>
      <w:pPr>
        <w:pStyle w:val="BodyText"/>
      </w:pPr>
    </w:p>
    <w:p>
      <w:pPr>
        <w:pStyle w:val="BodyText"/>
        <w:ind w:left="1337" w:right="1472"/>
        <w:jc w:val="both"/>
      </w:pPr>
      <w:r>
        <w:rPr/>
        <w:t>Satisfaction</w:t>
      </w:r>
      <w:r>
        <w:rPr>
          <w:spacing w:val="-13"/>
        </w:rPr>
        <w:t> </w:t>
      </w:r>
      <w:r>
        <w:rPr/>
        <w:t>with</w:t>
      </w:r>
      <w:r>
        <w:rPr>
          <w:spacing w:val="-13"/>
        </w:rPr>
        <w:t> </w:t>
      </w:r>
      <w:r>
        <w:rPr/>
        <w:t>the</w:t>
      </w:r>
      <w:r>
        <w:rPr>
          <w:spacing w:val="-15"/>
        </w:rPr>
        <w:t> </w:t>
      </w:r>
      <w:r>
        <w:rPr>
          <w:i/>
        </w:rPr>
        <w:t>outcome</w:t>
      </w:r>
      <w:r>
        <w:rPr>
          <w:i/>
          <w:spacing w:val="-14"/>
        </w:rPr>
        <w:t> </w:t>
      </w:r>
      <w:r>
        <w:rPr/>
        <w:t>of</w:t>
      </w:r>
      <w:r>
        <w:rPr>
          <w:spacing w:val="-15"/>
        </w:rPr>
        <w:t> </w:t>
      </w:r>
      <w:r>
        <w:rPr/>
        <w:t>EC</w:t>
      </w:r>
      <w:r>
        <w:rPr>
          <w:spacing w:val="-15"/>
        </w:rPr>
        <w:t> </w:t>
      </w:r>
      <w:r>
        <w:rPr/>
        <w:t>among</w:t>
      </w:r>
      <w:r>
        <w:rPr>
          <w:spacing w:val="-14"/>
        </w:rPr>
        <w:t> </w:t>
      </w:r>
      <w:r>
        <w:rPr/>
        <w:t>employer-side</w:t>
      </w:r>
      <w:r>
        <w:rPr>
          <w:spacing w:val="-13"/>
        </w:rPr>
        <w:t> </w:t>
      </w:r>
      <w:r>
        <w:rPr/>
        <w:t>participants</w:t>
      </w:r>
      <w:r>
        <w:rPr>
          <w:spacing w:val="-14"/>
        </w:rPr>
        <w:t> </w:t>
      </w:r>
      <w:r>
        <w:rPr/>
        <w:t>has</w:t>
      </w:r>
      <w:r>
        <w:rPr>
          <w:spacing w:val="-14"/>
        </w:rPr>
        <w:t> </w:t>
      </w:r>
      <w:r>
        <w:rPr/>
        <w:t>dropped significantly since 2015, although this is in a context where the proportion of employers surveyed who reported reaching a settlement through EC has also decreased,</w:t>
      </w:r>
      <w:hyperlink w:history="true" w:anchor="_bookmark88">
        <w:r>
          <w:rPr>
            <w:position w:val="7"/>
            <w:sz w:val="13"/>
          </w:rPr>
          <w:t>21</w:t>
        </w:r>
      </w:hyperlink>
      <w:r>
        <w:rPr>
          <w:spacing w:val="28"/>
          <w:position w:val="7"/>
          <w:sz w:val="13"/>
        </w:rPr>
        <w:t> </w:t>
      </w:r>
      <w:r>
        <w:rPr/>
        <w:t>reflecting a fall in the overall COT3 settlement rate since 2015. Both factors</w:t>
      </w:r>
      <w:r>
        <w:rPr>
          <w:spacing w:val="-7"/>
        </w:rPr>
        <w:t> </w:t>
      </w:r>
      <w:r>
        <w:rPr/>
        <w:t>will</w:t>
      </w:r>
      <w:r>
        <w:rPr>
          <w:spacing w:val="-7"/>
        </w:rPr>
        <w:t> </w:t>
      </w:r>
      <w:r>
        <w:rPr/>
        <w:t>have</w:t>
      </w:r>
      <w:r>
        <w:rPr>
          <w:spacing w:val="-6"/>
        </w:rPr>
        <w:t> </w:t>
      </w:r>
      <w:r>
        <w:rPr/>
        <w:t>been</w:t>
      </w:r>
      <w:r>
        <w:rPr>
          <w:spacing w:val="-5"/>
        </w:rPr>
        <w:t> </w:t>
      </w:r>
      <w:r>
        <w:rPr/>
        <w:t>affected</w:t>
      </w:r>
      <w:r>
        <w:rPr>
          <w:spacing w:val="-6"/>
        </w:rPr>
        <w:t> </w:t>
      </w:r>
      <w:r>
        <w:rPr/>
        <w:t>by</w:t>
      </w:r>
      <w:r>
        <w:rPr>
          <w:spacing w:val="-7"/>
        </w:rPr>
        <w:t> </w:t>
      </w:r>
      <w:r>
        <w:rPr/>
        <w:t>the</w:t>
      </w:r>
      <w:r>
        <w:rPr>
          <w:spacing w:val="-6"/>
        </w:rPr>
        <w:t> </w:t>
      </w:r>
      <w:r>
        <w:rPr/>
        <w:t>substantial</w:t>
      </w:r>
      <w:r>
        <w:rPr>
          <w:spacing w:val="-7"/>
        </w:rPr>
        <w:t> </w:t>
      </w:r>
      <w:r>
        <w:rPr/>
        <w:t>change</w:t>
      </w:r>
      <w:r>
        <w:rPr>
          <w:spacing w:val="-6"/>
        </w:rPr>
        <w:t> </w:t>
      </w:r>
      <w:r>
        <w:rPr/>
        <w:t>in</w:t>
      </w:r>
      <w:r>
        <w:rPr>
          <w:spacing w:val="-5"/>
        </w:rPr>
        <w:t> </w:t>
      </w:r>
      <w:r>
        <w:rPr/>
        <w:t>the</w:t>
      </w:r>
      <w:r>
        <w:rPr>
          <w:spacing w:val="-6"/>
        </w:rPr>
        <w:t> </w:t>
      </w:r>
      <w:r>
        <w:rPr/>
        <w:t>nature</w:t>
      </w:r>
      <w:r>
        <w:rPr>
          <w:spacing w:val="-6"/>
        </w:rPr>
        <w:t> </w:t>
      </w:r>
      <w:r>
        <w:rPr/>
        <w:t>and</w:t>
      </w:r>
      <w:r>
        <w:rPr>
          <w:spacing w:val="-6"/>
        </w:rPr>
        <w:t> </w:t>
      </w:r>
      <w:r>
        <w:rPr/>
        <w:t>volume of cases since 2015 as a result of the abolition of Tribunal fees.</w:t>
      </w:r>
    </w:p>
    <w:p>
      <w:pPr>
        <w:pStyle w:val="BodyText"/>
      </w:pPr>
    </w:p>
    <w:p>
      <w:pPr>
        <w:pStyle w:val="BodyText"/>
        <w:ind w:left="1337" w:right="1473"/>
        <w:jc w:val="both"/>
      </w:pPr>
      <w:r>
        <w:rPr/>
        <w:t>When data is analysed by case outcome, employer-side participants who reached a settlement through EC continue to report high satisfaction: 82 per cent of employer-side participants who reached a settlement reported that they were satisfied with the outcome of EC compared to 44 per cent of those who did not. This trend is also found among claimants-side participants: 83 per cent of those who reached a settlement reported satisfaction with conciliation compared to 34 per cent of those who did not settle.</w:t>
      </w:r>
    </w:p>
    <w:p>
      <w:pPr>
        <w:pStyle w:val="BodyText"/>
      </w:pPr>
    </w:p>
    <w:p>
      <w:pPr>
        <w:pStyle w:val="BodyText"/>
        <w:ind w:left="1337" w:right="1472"/>
        <w:jc w:val="both"/>
      </w:pPr>
      <w:r>
        <w:rPr/>
        <w:t>Elsewhere,</w:t>
      </w:r>
      <w:r>
        <w:rPr>
          <w:spacing w:val="-18"/>
        </w:rPr>
        <w:t> </w:t>
      </w:r>
      <w:r>
        <w:rPr/>
        <w:t>those</w:t>
      </w:r>
      <w:r>
        <w:rPr>
          <w:spacing w:val="-17"/>
        </w:rPr>
        <w:t> </w:t>
      </w:r>
      <w:r>
        <w:rPr/>
        <w:t>involved</w:t>
      </w:r>
      <w:r>
        <w:rPr>
          <w:spacing w:val="-16"/>
        </w:rPr>
        <w:t> </w:t>
      </w:r>
      <w:r>
        <w:rPr/>
        <w:t>in</w:t>
      </w:r>
      <w:r>
        <w:rPr>
          <w:spacing w:val="-16"/>
        </w:rPr>
        <w:t> </w:t>
      </w:r>
      <w:r>
        <w:rPr/>
        <w:t>open</w:t>
      </w:r>
      <w:r>
        <w:rPr>
          <w:spacing w:val="-17"/>
        </w:rPr>
        <w:t> </w:t>
      </w:r>
      <w:r>
        <w:rPr/>
        <w:t>track</w:t>
      </w:r>
      <w:r>
        <w:rPr>
          <w:spacing w:val="-16"/>
        </w:rPr>
        <w:t> </w:t>
      </w:r>
      <w:r>
        <w:rPr/>
        <w:t>disputes</w:t>
      </w:r>
      <w:r>
        <w:rPr>
          <w:spacing w:val="-16"/>
        </w:rPr>
        <w:t> </w:t>
      </w:r>
      <w:r>
        <w:rPr/>
        <w:t>tended</w:t>
      </w:r>
      <w:r>
        <w:rPr>
          <w:spacing w:val="-16"/>
        </w:rPr>
        <w:t> </w:t>
      </w:r>
      <w:r>
        <w:rPr/>
        <w:t>to</w:t>
      </w:r>
      <w:r>
        <w:rPr>
          <w:spacing w:val="-18"/>
        </w:rPr>
        <w:t> </w:t>
      </w:r>
      <w:r>
        <w:rPr/>
        <w:t>report</w:t>
      </w:r>
      <w:r>
        <w:rPr>
          <w:spacing w:val="-16"/>
        </w:rPr>
        <w:t> </w:t>
      </w:r>
      <w:r>
        <w:rPr/>
        <w:t>lower</w:t>
      </w:r>
      <w:r>
        <w:rPr>
          <w:spacing w:val="-17"/>
        </w:rPr>
        <w:t> </w:t>
      </w:r>
      <w:r>
        <w:rPr/>
        <w:t>satisfaction with the outcome of EC than those involved in standard or fast track disputes. Among claimant-side participants, a third (38 per cent) of those involved in open track</w:t>
      </w:r>
      <w:r>
        <w:rPr>
          <w:spacing w:val="-11"/>
        </w:rPr>
        <w:t> </w:t>
      </w:r>
      <w:r>
        <w:rPr/>
        <w:t>disputes</w:t>
      </w:r>
      <w:r>
        <w:rPr>
          <w:spacing w:val="-11"/>
        </w:rPr>
        <w:t> </w:t>
      </w:r>
      <w:r>
        <w:rPr/>
        <w:t>reported</w:t>
      </w:r>
      <w:r>
        <w:rPr>
          <w:spacing w:val="-12"/>
        </w:rPr>
        <w:t> </w:t>
      </w:r>
      <w:r>
        <w:rPr/>
        <w:t>that</w:t>
      </w:r>
      <w:r>
        <w:rPr>
          <w:spacing w:val="-11"/>
        </w:rPr>
        <w:t> </w:t>
      </w:r>
      <w:r>
        <w:rPr/>
        <w:t>they</w:t>
      </w:r>
      <w:r>
        <w:rPr>
          <w:spacing w:val="-11"/>
        </w:rPr>
        <w:t> </w:t>
      </w:r>
      <w:r>
        <w:rPr/>
        <w:t>were</w:t>
      </w:r>
      <w:r>
        <w:rPr>
          <w:spacing w:val="-11"/>
        </w:rPr>
        <w:t> </w:t>
      </w:r>
      <w:r>
        <w:rPr/>
        <w:t>satisfied,</w:t>
      </w:r>
      <w:r>
        <w:rPr>
          <w:spacing w:val="-11"/>
        </w:rPr>
        <w:t> </w:t>
      </w:r>
      <w:r>
        <w:rPr/>
        <w:t>while</w:t>
      </w:r>
      <w:r>
        <w:rPr>
          <w:spacing w:val="-11"/>
        </w:rPr>
        <w:t> </w:t>
      </w:r>
      <w:r>
        <w:rPr/>
        <w:t>around</w:t>
      </w:r>
      <w:r>
        <w:rPr>
          <w:spacing w:val="-12"/>
        </w:rPr>
        <w:t> </w:t>
      </w:r>
      <w:r>
        <w:rPr/>
        <w:t>half</w:t>
      </w:r>
      <w:r>
        <w:rPr>
          <w:spacing w:val="-11"/>
        </w:rPr>
        <w:t> </w:t>
      </w:r>
      <w:r>
        <w:rPr/>
        <w:t>(51</w:t>
      </w:r>
      <w:r>
        <w:rPr>
          <w:spacing w:val="-13"/>
        </w:rPr>
        <w:t> </w:t>
      </w:r>
      <w:r>
        <w:rPr/>
        <w:t>per</w:t>
      </w:r>
      <w:r>
        <w:rPr>
          <w:spacing w:val="-11"/>
        </w:rPr>
        <w:t> </w:t>
      </w:r>
      <w:r>
        <w:rPr/>
        <w:t>cent</w:t>
      </w:r>
      <w:r>
        <w:rPr>
          <w:spacing w:val="-11"/>
        </w:rPr>
        <w:t> </w:t>
      </w:r>
      <w:r>
        <w:rPr/>
        <w:t>and 56 per cent) of those involved in standard or fast track cases said they were satisfied with the outcome. A similar pattern can be observed among employer- side</w:t>
      </w:r>
      <w:r>
        <w:rPr>
          <w:spacing w:val="-18"/>
        </w:rPr>
        <w:t> </w:t>
      </w:r>
      <w:r>
        <w:rPr/>
        <w:t>participants,</w:t>
      </w:r>
      <w:r>
        <w:rPr>
          <w:spacing w:val="-18"/>
        </w:rPr>
        <w:t> </w:t>
      </w:r>
      <w:r>
        <w:rPr/>
        <w:t>with</w:t>
      </w:r>
      <w:r>
        <w:rPr>
          <w:spacing w:val="-17"/>
        </w:rPr>
        <w:t> </w:t>
      </w:r>
      <w:r>
        <w:rPr/>
        <w:t>49</w:t>
      </w:r>
      <w:r>
        <w:rPr>
          <w:spacing w:val="-18"/>
        </w:rPr>
        <w:t> </w:t>
      </w:r>
      <w:r>
        <w:rPr/>
        <w:t>per</w:t>
      </w:r>
      <w:r>
        <w:rPr>
          <w:spacing w:val="-17"/>
        </w:rPr>
        <w:t> </w:t>
      </w:r>
      <w:r>
        <w:rPr/>
        <w:t>cent</w:t>
      </w:r>
      <w:r>
        <w:rPr>
          <w:spacing w:val="-18"/>
        </w:rPr>
        <w:t> </w:t>
      </w:r>
      <w:r>
        <w:rPr/>
        <w:t>of</w:t>
      </w:r>
      <w:r>
        <w:rPr>
          <w:spacing w:val="-16"/>
        </w:rPr>
        <w:t> </w:t>
      </w:r>
      <w:r>
        <w:rPr/>
        <w:t>those</w:t>
      </w:r>
      <w:r>
        <w:rPr>
          <w:spacing w:val="-18"/>
        </w:rPr>
        <w:t> </w:t>
      </w:r>
      <w:r>
        <w:rPr/>
        <w:t>involved</w:t>
      </w:r>
      <w:r>
        <w:rPr>
          <w:spacing w:val="-16"/>
        </w:rPr>
        <w:t> </w:t>
      </w:r>
      <w:r>
        <w:rPr/>
        <w:t>in</w:t>
      </w:r>
      <w:r>
        <w:rPr>
          <w:spacing w:val="-17"/>
        </w:rPr>
        <w:t> </w:t>
      </w:r>
      <w:r>
        <w:rPr/>
        <w:t>open</w:t>
      </w:r>
      <w:r>
        <w:rPr>
          <w:spacing w:val="-18"/>
        </w:rPr>
        <w:t> </w:t>
      </w:r>
      <w:r>
        <w:rPr/>
        <w:t>track</w:t>
      </w:r>
      <w:r>
        <w:rPr>
          <w:spacing w:val="-17"/>
        </w:rPr>
        <w:t> </w:t>
      </w:r>
      <w:r>
        <w:rPr/>
        <w:t>disputes</w:t>
      </w:r>
      <w:r>
        <w:rPr>
          <w:spacing w:val="-17"/>
        </w:rPr>
        <w:t> </w:t>
      </w:r>
      <w:r>
        <w:rPr/>
        <w:t>satisfied, compared with 55 per cent and 59 per cent of those involved in standard or fast track disputes.</w:t>
      </w:r>
    </w:p>
    <w:p>
      <w:pPr>
        <w:pStyle w:val="BodyText"/>
        <w:spacing w:before="1"/>
      </w:pPr>
    </w:p>
    <w:p>
      <w:pPr>
        <w:pStyle w:val="Heading3"/>
        <w:numPr>
          <w:ilvl w:val="1"/>
          <w:numId w:val="2"/>
        </w:numPr>
        <w:tabs>
          <w:tab w:pos="1974" w:val="left" w:leader="none"/>
        </w:tabs>
        <w:spacing w:line="240" w:lineRule="auto" w:before="0" w:after="0"/>
        <w:ind w:left="1973" w:right="0" w:hanging="637"/>
        <w:jc w:val="both"/>
      </w:pPr>
      <w:bookmarkStart w:name="10.7  Satisfaction with the service rece" w:id="108"/>
      <w:bookmarkEnd w:id="108"/>
      <w:r>
        <w:rPr>
          <w:b w:val="0"/>
        </w:rPr>
      </w:r>
      <w:bookmarkStart w:name="_bookmark28" w:id="109"/>
      <w:bookmarkEnd w:id="109"/>
      <w:r>
        <w:rPr/>
        <w:t>Sa</w:t>
      </w:r>
      <w:r>
        <w:rPr/>
        <w:t>tisfaction</w:t>
      </w:r>
      <w:r>
        <w:rPr>
          <w:spacing w:val="-7"/>
        </w:rPr>
        <w:t> </w:t>
      </w:r>
      <w:r>
        <w:rPr/>
        <w:t>with</w:t>
      </w:r>
      <w:r>
        <w:rPr>
          <w:spacing w:val="-4"/>
        </w:rPr>
        <w:t> </w:t>
      </w:r>
      <w:r>
        <w:rPr/>
        <w:t>the</w:t>
      </w:r>
      <w:r>
        <w:rPr>
          <w:spacing w:val="-4"/>
        </w:rPr>
        <w:t> </w:t>
      </w:r>
      <w:r>
        <w:rPr/>
        <w:t>service</w:t>
      </w:r>
      <w:r>
        <w:rPr>
          <w:spacing w:val="-5"/>
        </w:rPr>
        <w:t> </w:t>
      </w:r>
      <w:r>
        <w:rPr/>
        <w:t>received</w:t>
      </w:r>
      <w:r>
        <w:rPr>
          <w:spacing w:val="-5"/>
        </w:rPr>
        <w:t> </w:t>
      </w:r>
      <w:r>
        <w:rPr/>
        <w:t>from</w:t>
      </w:r>
      <w:r>
        <w:rPr>
          <w:spacing w:val="-5"/>
        </w:rPr>
        <w:t> </w:t>
      </w:r>
      <w:r>
        <w:rPr>
          <w:spacing w:val="-4"/>
        </w:rPr>
        <w:t>Acas</w:t>
      </w:r>
    </w:p>
    <w:p>
      <w:pPr>
        <w:pStyle w:val="BodyText"/>
        <w:spacing w:before="120"/>
        <w:ind w:left="1337" w:right="1473"/>
        <w:jc w:val="both"/>
      </w:pPr>
      <w:r>
        <w:rPr/>
        <w:t>In addition to asking about views on the outcome of the conciliation, those who took part in EC were also asked for their views of the service provided by Acas overall – independent of the outcome of their case. Acas scored highly on these measures among all service users:</w:t>
      </w:r>
    </w:p>
    <w:p>
      <w:pPr>
        <w:pStyle w:val="BodyText"/>
      </w:pPr>
    </w:p>
    <w:p>
      <w:pPr>
        <w:pStyle w:val="ListParagraph"/>
        <w:numPr>
          <w:ilvl w:val="0"/>
          <w:numId w:val="26"/>
        </w:numPr>
        <w:tabs>
          <w:tab w:pos="2058" w:val="left" w:leader="none"/>
        </w:tabs>
        <w:spacing w:line="240" w:lineRule="auto" w:before="0" w:after="0"/>
        <w:ind w:left="2057" w:right="1475" w:hanging="360"/>
        <w:jc w:val="both"/>
        <w:rPr>
          <w:sz w:val="20"/>
        </w:rPr>
      </w:pPr>
      <w:r>
        <w:rPr>
          <w:sz w:val="20"/>
        </w:rPr>
        <w:t>More than eight in ten reported satisfaction with the timeliness of Acas’ contact (85 per cent of claimant-side participants and 82 per cent of employer-side</w:t>
      </w:r>
      <w:r>
        <w:rPr>
          <w:spacing w:val="-7"/>
          <w:sz w:val="20"/>
        </w:rPr>
        <w:t> </w:t>
      </w:r>
      <w:r>
        <w:rPr>
          <w:sz w:val="20"/>
        </w:rPr>
        <w:t>participants</w:t>
      </w:r>
      <w:r>
        <w:rPr>
          <w:spacing w:val="-8"/>
          <w:sz w:val="20"/>
        </w:rPr>
        <w:t> </w:t>
      </w:r>
      <w:r>
        <w:rPr>
          <w:sz w:val="20"/>
        </w:rPr>
        <w:t>reported</w:t>
      </w:r>
      <w:r>
        <w:rPr>
          <w:spacing w:val="-7"/>
          <w:sz w:val="20"/>
        </w:rPr>
        <w:t> </w:t>
      </w:r>
      <w:r>
        <w:rPr>
          <w:sz w:val="20"/>
        </w:rPr>
        <w:t>this</w:t>
      </w:r>
      <w:r>
        <w:rPr>
          <w:spacing w:val="-7"/>
          <w:sz w:val="20"/>
        </w:rPr>
        <w:t> </w:t>
      </w:r>
      <w:r>
        <w:rPr>
          <w:sz w:val="20"/>
        </w:rPr>
        <w:t>to</w:t>
      </w:r>
      <w:r>
        <w:rPr>
          <w:spacing w:val="-8"/>
          <w:sz w:val="20"/>
        </w:rPr>
        <w:t> </w:t>
      </w:r>
      <w:r>
        <w:rPr>
          <w:sz w:val="20"/>
        </w:rPr>
        <w:t>have</w:t>
      </w:r>
      <w:r>
        <w:rPr>
          <w:spacing w:val="-7"/>
          <w:sz w:val="20"/>
        </w:rPr>
        <w:t> </w:t>
      </w:r>
      <w:r>
        <w:rPr>
          <w:sz w:val="20"/>
        </w:rPr>
        <w:t>been</w:t>
      </w:r>
      <w:r>
        <w:rPr>
          <w:spacing w:val="-7"/>
          <w:sz w:val="20"/>
        </w:rPr>
        <w:t> </w:t>
      </w:r>
      <w:r>
        <w:rPr>
          <w:sz w:val="20"/>
        </w:rPr>
        <w:t>the</w:t>
      </w:r>
      <w:r>
        <w:rPr>
          <w:spacing w:val="-7"/>
          <w:sz w:val="20"/>
        </w:rPr>
        <w:t> </w:t>
      </w:r>
      <w:r>
        <w:rPr>
          <w:sz w:val="20"/>
        </w:rPr>
        <w:t>case).</w:t>
      </w:r>
      <w:r>
        <w:rPr>
          <w:spacing w:val="-8"/>
          <w:sz w:val="20"/>
        </w:rPr>
        <w:t> </w:t>
      </w:r>
      <w:r>
        <w:rPr>
          <w:sz w:val="20"/>
        </w:rPr>
        <w:t>Just</w:t>
      </w:r>
      <w:r>
        <w:rPr>
          <w:spacing w:val="-9"/>
          <w:sz w:val="20"/>
        </w:rPr>
        <w:t> </w:t>
      </w:r>
      <w:r>
        <w:rPr>
          <w:sz w:val="20"/>
        </w:rPr>
        <w:t>seven and nine per cent were dissatisfied respectively.</w:t>
      </w:r>
    </w:p>
    <w:p>
      <w:pPr>
        <w:pStyle w:val="ListParagraph"/>
        <w:numPr>
          <w:ilvl w:val="0"/>
          <w:numId w:val="26"/>
        </w:numPr>
        <w:tabs>
          <w:tab w:pos="2058" w:val="left" w:leader="none"/>
        </w:tabs>
        <w:spacing w:line="240" w:lineRule="auto" w:before="0" w:after="0"/>
        <w:ind w:left="2057" w:right="1474" w:hanging="360"/>
        <w:jc w:val="both"/>
        <w:rPr>
          <w:sz w:val="20"/>
        </w:rPr>
      </w:pPr>
      <w:r>
        <w:rPr>
          <w:sz w:val="20"/>
        </w:rPr>
        <w:t>A majority reported that they were satisfied with the service provided by Acas</w:t>
      </w:r>
      <w:r>
        <w:rPr>
          <w:spacing w:val="-11"/>
          <w:sz w:val="20"/>
        </w:rPr>
        <w:t> </w:t>
      </w:r>
      <w:r>
        <w:rPr>
          <w:sz w:val="20"/>
        </w:rPr>
        <w:t>as</w:t>
      </w:r>
      <w:r>
        <w:rPr>
          <w:spacing w:val="-13"/>
          <w:sz w:val="20"/>
        </w:rPr>
        <w:t> </w:t>
      </w:r>
      <w:r>
        <w:rPr>
          <w:sz w:val="20"/>
        </w:rPr>
        <w:t>a</w:t>
      </w:r>
      <w:r>
        <w:rPr>
          <w:spacing w:val="-13"/>
          <w:sz w:val="20"/>
        </w:rPr>
        <w:t> </w:t>
      </w:r>
      <w:r>
        <w:rPr>
          <w:sz w:val="20"/>
        </w:rPr>
        <w:t>whole</w:t>
      </w:r>
      <w:r>
        <w:rPr>
          <w:spacing w:val="-12"/>
          <w:sz w:val="20"/>
        </w:rPr>
        <w:t> </w:t>
      </w:r>
      <w:r>
        <w:rPr>
          <w:sz w:val="20"/>
        </w:rPr>
        <w:t>(82</w:t>
      </w:r>
      <w:r>
        <w:rPr>
          <w:spacing w:val="-12"/>
          <w:sz w:val="20"/>
        </w:rPr>
        <w:t> </w:t>
      </w:r>
      <w:r>
        <w:rPr>
          <w:sz w:val="20"/>
        </w:rPr>
        <w:t>per</w:t>
      </w:r>
      <w:r>
        <w:rPr>
          <w:spacing w:val="-13"/>
          <w:sz w:val="20"/>
        </w:rPr>
        <w:t> </w:t>
      </w:r>
      <w:r>
        <w:rPr>
          <w:sz w:val="20"/>
        </w:rPr>
        <w:t>cent</w:t>
      </w:r>
      <w:r>
        <w:rPr>
          <w:spacing w:val="-12"/>
          <w:sz w:val="20"/>
        </w:rPr>
        <w:t> </w:t>
      </w:r>
      <w:r>
        <w:rPr>
          <w:sz w:val="20"/>
        </w:rPr>
        <w:t>and</w:t>
      </w:r>
      <w:r>
        <w:rPr>
          <w:spacing w:val="-11"/>
          <w:sz w:val="20"/>
        </w:rPr>
        <w:t> </w:t>
      </w:r>
      <w:r>
        <w:rPr>
          <w:sz w:val="20"/>
        </w:rPr>
        <w:t>80</w:t>
      </w:r>
      <w:r>
        <w:rPr>
          <w:spacing w:val="-12"/>
          <w:sz w:val="20"/>
        </w:rPr>
        <w:t> </w:t>
      </w:r>
      <w:r>
        <w:rPr>
          <w:sz w:val="20"/>
        </w:rPr>
        <w:t>per</w:t>
      </w:r>
      <w:r>
        <w:rPr>
          <w:spacing w:val="-12"/>
          <w:sz w:val="20"/>
        </w:rPr>
        <w:t> </w:t>
      </w:r>
      <w:r>
        <w:rPr>
          <w:sz w:val="20"/>
        </w:rPr>
        <w:t>cent</w:t>
      </w:r>
      <w:r>
        <w:rPr>
          <w:spacing w:val="-12"/>
          <w:sz w:val="20"/>
        </w:rPr>
        <w:t> </w:t>
      </w:r>
      <w:r>
        <w:rPr>
          <w:sz w:val="20"/>
        </w:rPr>
        <w:t>of</w:t>
      </w:r>
      <w:r>
        <w:rPr>
          <w:spacing w:val="-11"/>
          <w:sz w:val="20"/>
        </w:rPr>
        <w:t> </w:t>
      </w:r>
      <w:r>
        <w:rPr>
          <w:sz w:val="20"/>
        </w:rPr>
        <w:t>claimant</w:t>
      </w:r>
      <w:r>
        <w:rPr>
          <w:spacing w:val="-11"/>
          <w:sz w:val="20"/>
        </w:rPr>
        <w:t> </w:t>
      </w:r>
      <w:r>
        <w:rPr>
          <w:sz w:val="20"/>
        </w:rPr>
        <w:t>and</w:t>
      </w:r>
      <w:r>
        <w:rPr>
          <w:spacing w:val="-11"/>
          <w:sz w:val="20"/>
        </w:rPr>
        <w:t> </w:t>
      </w:r>
      <w:r>
        <w:rPr>
          <w:sz w:val="20"/>
        </w:rPr>
        <w:t>employer-side participants respectively). See Figure 17.</w:t>
      </w:r>
    </w:p>
    <w:p>
      <w:pPr>
        <w:pStyle w:val="ListParagraph"/>
        <w:numPr>
          <w:ilvl w:val="0"/>
          <w:numId w:val="26"/>
        </w:numPr>
        <w:tabs>
          <w:tab w:pos="2058" w:val="left" w:leader="none"/>
        </w:tabs>
        <w:spacing w:line="240" w:lineRule="auto" w:before="0" w:after="0"/>
        <w:ind w:left="2056" w:right="1475" w:hanging="360"/>
        <w:jc w:val="both"/>
        <w:rPr>
          <w:sz w:val="20"/>
        </w:rPr>
      </w:pPr>
      <w:r>
        <w:rPr>
          <w:sz w:val="20"/>
        </w:rPr>
        <w:t>Among</w:t>
      </w:r>
      <w:r>
        <w:rPr>
          <w:spacing w:val="-18"/>
          <w:sz w:val="20"/>
        </w:rPr>
        <w:t> </w:t>
      </w:r>
      <w:r>
        <w:rPr>
          <w:sz w:val="20"/>
        </w:rPr>
        <w:t>all</w:t>
      </w:r>
      <w:r>
        <w:rPr>
          <w:spacing w:val="-18"/>
          <w:sz w:val="20"/>
        </w:rPr>
        <w:t> </w:t>
      </w:r>
      <w:r>
        <w:rPr>
          <w:sz w:val="20"/>
        </w:rPr>
        <w:t>participants</w:t>
      </w:r>
      <w:r>
        <w:rPr>
          <w:spacing w:val="-17"/>
          <w:sz w:val="20"/>
        </w:rPr>
        <w:t> </w:t>
      </w:r>
      <w:r>
        <w:rPr>
          <w:sz w:val="20"/>
        </w:rPr>
        <w:t>(including</w:t>
      </w:r>
      <w:r>
        <w:rPr>
          <w:spacing w:val="-18"/>
          <w:sz w:val="20"/>
        </w:rPr>
        <w:t> </w:t>
      </w:r>
      <w:r>
        <w:rPr>
          <w:sz w:val="20"/>
        </w:rPr>
        <w:t>those</w:t>
      </w:r>
      <w:r>
        <w:rPr>
          <w:spacing w:val="-17"/>
          <w:sz w:val="20"/>
        </w:rPr>
        <w:t> </w:t>
      </w:r>
      <w:r>
        <w:rPr>
          <w:sz w:val="20"/>
        </w:rPr>
        <w:t>who</w:t>
      </w:r>
      <w:r>
        <w:rPr>
          <w:spacing w:val="-18"/>
          <w:sz w:val="20"/>
        </w:rPr>
        <w:t> </w:t>
      </w:r>
      <w:r>
        <w:rPr>
          <w:sz w:val="20"/>
        </w:rPr>
        <w:t>did</w:t>
      </w:r>
      <w:r>
        <w:rPr>
          <w:spacing w:val="-18"/>
          <w:sz w:val="20"/>
        </w:rPr>
        <w:t> </w:t>
      </w:r>
      <w:r>
        <w:rPr>
          <w:sz w:val="20"/>
        </w:rPr>
        <w:t>not</w:t>
      </w:r>
      <w:r>
        <w:rPr>
          <w:spacing w:val="-17"/>
          <w:sz w:val="20"/>
        </w:rPr>
        <w:t> </w:t>
      </w:r>
      <w:r>
        <w:rPr>
          <w:sz w:val="20"/>
        </w:rPr>
        <w:t>take</w:t>
      </w:r>
      <w:r>
        <w:rPr>
          <w:spacing w:val="-18"/>
          <w:sz w:val="20"/>
        </w:rPr>
        <w:t> </w:t>
      </w:r>
      <w:r>
        <w:rPr>
          <w:sz w:val="20"/>
        </w:rPr>
        <w:t>part</w:t>
      </w:r>
      <w:r>
        <w:rPr>
          <w:spacing w:val="-17"/>
          <w:sz w:val="20"/>
        </w:rPr>
        <w:t> </w:t>
      </w:r>
      <w:r>
        <w:rPr>
          <w:sz w:val="20"/>
        </w:rPr>
        <w:t>in</w:t>
      </w:r>
      <w:r>
        <w:rPr>
          <w:spacing w:val="-18"/>
          <w:sz w:val="20"/>
        </w:rPr>
        <w:t> </w:t>
      </w:r>
      <w:r>
        <w:rPr>
          <w:sz w:val="20"/>
        </w:rPr>
        <w:t>conciliation), the level of satisfaction with Acas’ service was similar, at 77 per cent for claimant-side participants and 79 per cent among those on the employer </w:t>
      </w:r>
      <w:r>
        <w:rPr>
          <w:spacing w:val="-4"/>
          <w:sz w:val="20"/>
        </w:rPr>
        <w:t>side</w:t>
      </w:r>
    </w:p>
    <w:p>
      <w:pPr>
        <w:spacing w:after="0" w:line="240" w:lineRule="auto"/>
        <w:jc w:val="both"/>
        <w:rPr>
          <w:sz w:val="20"/>
        </w:rPr>
        <w:sectPr>
          <w:pgSz w:w="11910" w:h="16840"/>
          <w:pgMar w:header="0" w:footer="996" w:top="1340" w:bottom="1180" w:left="460" w:right="320"/>
        </w:sectPr>
      </w:pPr>
    </w:p>
    <w:p>
      <w:pPr>
        <w:pStyle w:val="Heading3"/>
        <w:spacing w:before="82"/>
      </w:pPr>
      <w:r>
        <w:rPr/>
        <w:t>Figure</w:t>
      </w:r>
      <w:r>
        <w:rPr>
          <w:spacing w:val="-6"/>
        </w:rPr>
        <w:t> </w:t>
      </w:r>
      <w:r>
        <w:rPr/>
        <w:t>17.</w:t>
      </w:r>
      <w:r>
        <w:rPr>
          <w:spacing w:val="-6"/>
        </w:rPr>
        <w:t> </w:t>
      </w:r>
      <w:r>
        <w:rPr/>
        <w:t>Satisfaction</w:t>
      </w:r>
      <w:r>
        <w:rPr>
          <w:spacing w:val="-6"/>
        </w:rPr>
        <w:t> </w:t>
      </w:r>
      <w:r>
        <w:rPr/>
        <w:t>with</w:t>
      </w:r>
      <w:r>
        <w:rPr>
          <w:spacing w:val="-4"/>
        </w:rPr>
        <w:t> </w:t>
      </w:r>
      <w:r>
        <w:rPr/>
        <w:t>the</w:t>
      </w:r>
      <w:r>
        <w:rPr>
          <w:spacing w:val="-4"/>
        </w:rPr>
        <w:t> </w:t>
      </w:r>
      <w:r>
        <w:rPr/>
        <w:t>service</w:t>
      </w:r>
      <w:r>
        <w:rPr>
          <w:spacing w:val="-4"/>
        </w:rPr>
        <w:t> </w:t>
      </w:r>
      <w:r>
        <w:rPr/>
        <w:t>received</w:t>
      </w:r>
      <w:r>
        <w:rPr>
          <w:spacing w:val="-4"/>
        </w:rPr>
        <w:t> </w:t>
      </w:r>
      <w:r>
        <w:rPr/>
        <w:t>from</w:t>
      </w:r>
      <w:r>
        <w:rPr>
          <w:spacing w:val="-3"/>
        </w:rPr>
        <w:t> </w:t>
      </w:r>
      <w:r>
        <w:rPr>
          <w:spacing w:val="-4"/>
        </w:rPr>
        <w:t>Acas</w:t>
      </w:r>
    </w:p>
    <w:p>
      <w:pPr>
        <w:pStyle w:val="BodyText"/>
        <w:ind w:left="1399"/>
      </w:pPr>
      <w:r>
        <w:rPr/>
        <w:drawing>
          <wp:inline distT="0" distB="0" distL="0" distR="0">
            <wp:extent cx="5082116" cy="2342769"/>
            <wp:effectExtent l="0" t="0" r="0" b="0"/>
            <wp:docPr id="45" name="image23.png" descr="Graph showing no alternative text exists "/>
            <wp:cNvGraphicFramePr>
              <a:graphicFrameLocks noChangeAspect="1"/>
            </wp:cNvGraphicFramePr>
            <a:graphic>
              <a:graphicData uri="http://schemas.openxmlformats.org/drawingml/2006/picture">
                <pic:pic>
                  <pic:nvPicPr>
                    <pic:cNvPr id="46" name="image23.png"/>
                    <pic:cNvPicPr/>
                  </pic:nvPicPr>
                  <pic:blipFill>
                    <a:blip r:embed="rId35" cstate="print"/>
                    <a:stretch>
                      <a:fillRect/>
                    </a:stretch>
                  </pic:blipFill>
                  <pic:spPr>
                    <a:xfrm>
                      <a:off x="0" y="0"/>
                      <a:ext cx="5082116" cy="2342769"/>
                    </a:xfrm>
                    <a:prstGeom prst="rect">
                      <a:avLst/>
                    </a:prstGeom>
                  </pic:spPr>
                </pic:pic>
              </a:graphicData>
            </a:graphic>
          </wp:inline>
        </w:drawing>
      </w:r>
      <w:r>
        <w:rPr/>
      </w:r>
    </w:p>
    <w:p>
      <w:pPr>
        <w:pStyle w:val="BodyText"/>
        <w:spacing w:before="10"/>
        <w:rPr>
          <w:b/>
          <w:sz w:val="29"/>
        </w:rPr>
      </w:pPr>
    </w:p>
    <w:p>
      <w:pPr>
        <w:pStyle w:val="BodyText"/>
        <w:ind w:left="1337" w:right="1473"/>
        <w:jc w:val="both"/>
      </w:pPr>
      <w:r>
        <w:rPr/>
        <w:t>While it remains high, overall satisfaction among employer-side participants is significantly lower than 2015, when 86 per cent reported satisfaction with the service provided. Dissatisfaction has also increased, from six per cent in 2015 to 12 per cent in 2019.</w:t>
      </w:r>
    </w:p>
    <w:p>
      <w:pPr>
        <w:pStyle w:val="BodyText"/>
      </w:pPr>
    </w:p>
    <w:p>
      <w:pPr>
        <w:pStyle w:val="BodyText"/>
        <w:ind w:left="1337" w:right="1474"/>
        <w:jc w:val="both"/>
      </w:pPr>
      <w:r>
        <w:rPr/>
        <w:t>This fall in satisfaction on the employer-side reflects a complicated relationship between satisfaction with the Acas service, satisfaction with outcome and the outcome achieved, discussed elsewhere in this report.</w:t>
      </w:r>
    </w:p>
    <w:p>
      <w:pPr>
        <w:pStyle w:val="BodyText"/>
        <w:spacing w:before="1"/>
      </w:pPr>
    </w:p>
    <w:p>
      <w:pPr>
        <w:pStyle w:val="BodyText"/>
        <w:ind w:left="1336" w:right="1474"/>
        <w:jc w:val="both"/>
      </w:pPr>
      <w:r>
        <w:rPr/>
        <w:t>A drop in the number of COT3 settlements may be one factor, especially as satisfaction with the Acas service is greater amongst participants who settled: 94 per cent for employers and 93 per cent for claimants, compared with 74 per cent and</w:t>
      </w:r>
      <w:r>
        <w:rPr>
          <w:spacing w:val="-2"/>
        </w:rPr>
        <w:t> </w:t>
      </w:r>
      <w:r>
        <w:rPr/>
        <w:t>77</w:t>
      </w:r>
      <w:r>
        <w:rPr>
          <w:spacing w:val="-3"/>
        </w:rPr>
        <w:t> </w:t>
      </w:r>
      <w:r>
        <w:rPr/>
        <w:t>per</w:t>
      </w:r>
      <w:r>
        <w:rPr>
          <w:spacing w:val="-4"/>
        </w:rPr>
        <w:t> </w:t>
      </w:r>
      <w:r>
        <w:rPr/>
        <w:t>cent</w:t>
      </w:r>
      <w:r>
        <w:rPr>
          <w:spacing w:val="-2"/>
        </w:rPr>
        <w:t> </w:t>
      </w:r>
      <w:r>
        <w:rPr/>
        <w:t>respectively</w:t>
      </w:r>
      <w:r>
        <w:rPr>
          <w:spacing w:val="-2"/>
        </w:rPr>
        <w:t> </w:t>
      </w:r>
      <w:r>
        <w:rPr/>
        <w:t>among</w:t>
      </w:r>
      <w:r>
        <w:rPr>
          <w:spacing w:val="-2"/>
        </w:rPr>
        <w:t> </w:t>
      </w:r>
      <w:r>
        <w:rPr/>
        <w:t>those</w:t>
      </w:r>
      <w:r>
        <w:rPr>
          <w:spacing w:val="-4"/>
        </w:rPr>
        <w:t> </w:t>
      </w:r>
      <w:r>
        <w:rPr/>
        <w:t>who</w:t>
      </w:r>
      <w:r>
        <w:rPr>
          <w:spacing w:val="-4"/>
        </w:rPr>
        <w:t> </w:t>
      </w:r>
      <w:r>
        <w:rPr/>
        <w:t>did</w:t>
      </w:r>
      <w:r>
        <w:rPr>
          <w:spacing w:val="-2"/>
        </w:rPr>
        <w:t> </w:t>
      </w:r>
      <w:r>
        <w:rPr/>
        <w:t>not</w:t>
      </w:r>
      <w:r>
        <w:rPr>
          <w:spacing w:val="-2"/>
        </w:rPr>
        <w:t> </w:t>
      </w:r>
      <w:r>
        <w:rPr/>
        <w:t>–</w:t>
      </w:r>
      <w:r>
        <w:rPr>
          <w:spacing w:val="-3"/>
        </w:rPr>
        <w:t> </w:t>
      </w:r>
      <w:r>
        <w:rPr/>
        <w:t>as</w:t>
      </w:r>
      <w:r>
        <w:rPr>
          <w:spacing w:val="-2"/>
        </w:rPr>
        <w:t> </w:t>
      </w:r>
      <w:r>
        <w:rPr/>
        <w:t>is</w:t>
      </w:r>
      <w:r>
        <w:rPr>
          <w:spacing w:val="-2"/>
        </w:rPr>
        <w:t> </w:t>
      </w:r>
      <w:r>
        <w:rPr/>
        <w:t>satisfaction</w:t>
      </w:r>
      <w:r>
        <w:rPr>
          <w:spacing w:val="-2"/>
        </w:rPr>
        <w:t> </w:t>
      </w:r>
      <w:r>
        <w:rPr/>
        <w:t>with</w:t>
      </w:r>
      <w:r>
        <w:rPr>
          <w:spacing w:val="-3"/>
        </w:rPr>
        <w:t> </w:t>
      </w:r>
      <w:r>
        <w:rPr/>
        <w:t>the outcome achieved (82 per cent versus 44 per cent for employers). Another factor will be the changed nature of cases coming to Acas due to legislative changes around fees.</w:t>
      </w:r>
    </w:p>
    <w:p>
      <w:pPr>
        <w:pStyle w:val="BodyText"/>
      </w:pPr>
    </w:p>
    <w:p>
      <w:pPr>
        <w:pStyle w:val="BodyText"/>
        <w:ind w:left="1336" w:right="1474"/>
        <w:jc w:val="both"/>
      </w:pPr>
      <w:r>
        <w:rPr/>
        <w:t>However,</w:t>
      </w:r>
      <w:r>
        <w:rPr>
          <w:spacing w:val="-12"/>
        </w:rPr>
        <w:t> </w:t>
      </w:r>
      <w:r>
        <w:rPr/>
        <w:t>such</w:t>
      </w:r>
      <w:r>
        <w:rPr>
          <w:spacing w:val="-11"/>
        </w:rPr>
        <w:t> </w:t>
      </w:r>
      <w:r>
        <w:rPr/>
        <w:t>a</w:t>
      </w:r>
      <w:r>
        <w:rPr>
          <w:spacing w:val="-13"/>
        </w:rPr>
        <w:t> </w:t>
      </w:r>
      <w:r>
        <w:rPr/>
        <w:t>conclusion</w:t>
      </w:r>
      <w:r>
        <w:rPr>
          <w:spacing w:val="-11"/>
        </w:rPr>
        <w:t> </w:t>
      </w:r>
      <w:r>
        <w:rPr/>
        <w:t>assumes</w:t>
      </w:r>
      <w:r>
        <w:rPr>
          <w:spacing w:val="-11"/>
        </w:rPr>
        <w:t> </w:t>
      </w:r>
      <w:r>
        <w:rPr/>
        <w:t>a</w:t>
      </w:r>
      <w:r>
        <w:rPr>
          <w:spacing w:val="-12"/>
        </w:rPr>
        <w:t> </w:t>
      </w:r>
      <w:r>
        <w:rPr/>
        <w:t>one-way</w:t>
      </w:r>
      <w:r>
        <w:rPr>
          <w:spacing w:val="-11"/>
        </w:rPr>
        <w:t> </w:t>
      </w:r>
      <w:r>
        <w:rPr/>
        <w:t>relationship</w:t>
      </w:r>
      <w:r>
        <w:rPr>
          <w:spacing w:val="-11"/>
        </w:rPr>
        <w:t> </w:t>
      </w:r>
      <w:r>
        <w:rPr/>
        <w:t>between</w:t>
      </w:r>
      <w:r>
        <w:rPr>
          <w:spacing w:val="-11"/>
        </w:rPr>
        <w:t> </w:t>
      </w:r>
      <w:r>
        <w:rPr/>
        <w:t>outcome</w:t>
      </w:r>
      <w:r>
        <w:rPr>
          <w:spacing w:val="-12"/>
        </w:rPr>
        <w:t> </w:t>
      </w:r>
      <w:r>
        <w:rPr/>
        <w:t>and settlement. The quality of service provided by Acas is another factor which can facilitate a positive outcome. For example, 78 per cent of employers reaching a settlement agreed that Acas was important in the decision to settle; and the regression analysis also outlines how internal Acas factors related to the service can also affect the outcome of a case. Therefore, whilst the relationship between outcome and satisfaction is clear, we should not assume that the only factor in whether</w:t>
      </w:r>
      <w:r>
        <w:rPr>
          <w:spacing w:val="-14"/>
        </w:rPr>
        <w:t> </w:t>
      </w:r>
      <w:r>
        <w:rPr/>
        <w:t>customers</w:t>
      </w:r>
      <w:r>
        <w:rPr>
          <w:spacing w:val="-14"/>
        </w:rPr>
        <w:t> </w:t>
      </w:r>
      <w:r>
        <w:rPr/>
        <w:t>are</w:t>
      </w:r>
      <w:r>
        <w:rPr>
          <w:spacing w:val="-15"/>
        </w:rPr>
        <w:t> </w:t>
      </w:r>
      <w:r>
        <w:rPr/>
        <w:t>satisfied</w:t>
      </w:r>
      <w:r>
        <w:rPr>
          <w:spacing w:val="-14"/>
        </w:rPr>
        <w:t> </w:t>
      </w:r>
      <w:r>
        <w:rPr/>
        <w:t>is</w:t>
      </w:r>
      <w:r>
        <w:rPr>
          <w:spacing w:val="-14"/>
        </w:rPr>
        <w:t> </w:t>
      </w:r>
      <w:r>
        <w:rPr/>
        <w:t>the</w:t>
      </w:r>
      <w:r>
        <w:rPr>
          <w:spacing w:val="-15"/>
        </w:rPr>
        <w:t> </w:t>
      </w:r>
      <w:r>
        <w:rPr/>
        <w:t>outcome</w:t>
      </w:r>
      <w:r>
        <w:rPr>
          <w:spacing w:val="-16"/>
        </w:rPr>
        <w:t> </w:t>
      </w:r>
      <w:r>
        <w:rPr/>
        <w:t>achieved,</w:t>
      </w:r>
      <w:r>
        <w:rPr>
          <w:spacing w:val="-14"/>
        </w:rPr>
        <w:t> </w:t>
      </w:r>
      <w:r>
        <w:rPr/>
        <w:t>nor</w:t>
      </w:r>
      <w:r>
        <w:rPr>
          <w:spacing w:val="-14"/>
        </w:rPr>
        <w:t> </w:t>
      </w:r>
      <w:r>
        <w:rPr/>
        <w:t>that</w:t>
      </w:r>
      <w:r>
        <w:rPr>
          <w:spacing w:val="-14"/>
        </w:rPr>
        <w:t> </w:t>
      </w:r>
      <w:r>
        <w:rPr/>
        <w:t>Acas</w:t>
      </w:r>
      <w:r>
        <w:rPr>
          <w:spacing w:val="-15"/>
        </w:rPr>
        <w:t> </w:t>
      </w:r>
      <w:r>
        <w:rPr/>
        <w:t>is</w:t>
      </w:r>
      <w:r>
        <w:rPr>
          <w:spacing w:val="-14"/>
        </w:rPr>
        <w:t> </w:t>
      </w:r>
      <w:r>
        <w:rPr/>
        <w:t>a</w:t>
      </w:r>
      <w:r>
        <w:rPr>
          <w:spacing w:val="-14"/>
        </w:rPr>
        <w:t> </w:t>
      </w:r>
      <w:r>
        <w:rPr/>
        <w:t>passive actor in that process.</w:t>
      </w:r>
    </w:p>
    <w:p>
      <w:pPr>
        <w:pStyle w:val="BodyText"/>
        <w:spacing w:before="1"/>
      </w:pPr>
    </w:p>
    <w:p>
      <w:pPr>
        <w:pStyle w:val="BodyText"/>
        <w:spacing w:before="1"/>
        <w:ind w:left="1336" w:right="1476"/>
        <w:jc w:val="both"/>
      </w:pPr>
      <w:r>
        <w:rPr/>
        <w:t>Meanwhile,</w:t>
      </w:r>
      <w:r>
        <w:rPr>
          <w:spacing w:val="-18"/>
        </w:rPr>
        <w:t> </w:t>
      </w:r>
      <w:r>
        <w:rPr/>
        <w:t>satisfaction</w:t>
      </w:r>
      <w:r>
        <w:rPr>
          <w:spacing w:val="-18"/>
        </w:rPr>
        <w:t> </w:t>
      </w:r>
      <w:r>
        <w:rPr/>
        <w:t>with</w:t>
      </w:r>
      <w:r>
        <w:rPr>
          <w:spacing w:val="-17"/>
        </w:rPr>
        <w:t> </w:t>
      </w:r>
      <w:r>
        <w:rPr/>
        <w:t>the</w:t>
      </w:r>
      <w:r>
        <w:rPr>
          <w:spacing w:val="-18"/>
        </w:rPr>
        <w:t> </w:t>
      </w:r>
      <w:r>
        <w:rPr/>
        <w:t>service</w:t>
      </w:r>
      <w:r>
        <w:rPr>
          <w:spacing w:val="-17"/>
        </w:rPr>
        <w:t> </w:t>
      </w:r>
      <w:r>
        <w:rPr/>
        <w:t>provided</w:t>
      </w:r>
      <w:r>
        <w:rPr>
          <w:spacing w:val="-18"/>
        </w:rPr>
        <w:t> </w:t>
      </w:r>
      <w:r>
        <w:rPr/>
        <w:t>by</w:t>
      </w:r>
      <w:r>
        <w:rPr>
          <w:spacing w:val="-18"/>
        </w:rPr>
        <w:t> </w:t>
      </w:r>
      <w:r>
        <w:rPr/>
        <w:t>Acas</w:t>
      </w:r>
      <w:r>
        <w:rPr>
          <w:spacing w:val="-17"/>
        </w:rPr>
        <w:t> </w:t>
      </w:r>
      <w:r>
        <w:rPr/>
        <w:t>varied</w:t>
      </w:r>
      <w:r>
        <w:rPr>
          <w:spacing w:val="-18"/>
        </w:rPr>
        <w:t> </w:t>
      </w:r>
      <w:r>
        <w:rPr/>
        <w:t>significantly</w:t>
      </w:r>
      <w:r>
        <w:rPr>
          <w:spacing w:val="-17"/>
        </w:rPr>
        <w:t> </w:t>
      </w:r>
      <w:r>
        <w:rPr/>
        <w:t>across </w:t>
      </w:r>
      <w:r>
        <w:rPr>
          <w:spacing w:val="-2"/>
        </w:rPr>
        <w:t>subgroups:</w:t>
      </w:r>
    </w:p>
    <w:p>
      <w:pPr>
        <w:pStyle w:val="BodyText"/>
        <w:spacing w:before="11"/>
        <w:rPr>
          <w:sz w:val="19"/>
        </w:rPr>
      </w:pPr>
    </w:p>
    <w:p>
      <w:pPr>
        <w:pStyle w:val="ListParagraph"/>
        <w:numPr>
          <w:ilvl w:val="0"/>
          <w:numId w:val="26"/>
        </w:numPr>
        <w:tabs>
          <w:tab w:pos="2057" w:val="left" w:leader="none"/>
        </w:tabs>
        <w:spacing w:line="240" w:lineRule="auto" w:before="0" w:after="0"/>
        <w:ind w:left="2056" w:right="1474" w:hanging="360"/>
        <w:jc w:val="both"/>
        <w:rPr>
          <w:sz w:val="20"/>
        </w:rPr>
      </w:pPr>
      <w:r>
        <w:rPr>
          <w:sz w:val="20"/>
        </w:rPr>
        <w:t>Those who reached a settlement through EC were more likely to report satisfaction with the service received than those who did not (93 per cent of claimant-side participants and 94 per cent of employer-side participants </w:t>
      </w:r>
      <w:r>
        <w:rPr>
          <w:spacing w:val="-2"/>
          <w:sz w:val="20"/>
        </w:rPr>
        <w:t>respectively).</w:t>
      </w:r>
    </w:p>
    <w:p>
      <w:pPr>
        <w:pStyle w:val="ListParagraph"/>
        <w:numPr>
          <w:ilvl w:val="0"/>
          <w:numId w:val="26"/>
        </w:numPr>
        <w:tabs>
          <w:tab w:pos="2057" w:val="left" w:leader="none"/>
        </w:tabs>
        <w:spacing w:line="240" w:lineRule="auto" w:before="0" w:after="0"/>
        <w:ind w:left="2056" w:right="1475" w:hanging="360"/>
        <w:jc w:val="both"/>
        <w:rPr>
          <w:sz w:val="20"/>
        </w:rPr>
      </w:pPr>
      <w:r>
        <w:rPr>
          <w:sz w:val="20"/>
        </w:rPr>
        <w:t>Claimant-side participants involved in fast track disputes were more likely to be satisfied (90 per cent) than those in standard (82 per cent) or open track (73 per cent) disputes. In contrast, among employers (and their representatives) there was no variation by case track.</w:t>
      </w:r>
    </w:p>
    <w:p>
      <w:pPr>
        <w:spacing w:after="0" w:line="240" w:lineRule="auto"/>
        <w:jc w:val="both"/>
        <w:rPr>
          <w:sz w:val="20"/>
        </w:rPr>
        <w:sectPr>
          <w:pgSz w:w="11910" w:h="16840"/>
          <w:pgMar w:header="0" w:footer="996" w:top="1340" w:bottom="1180" w:left="460" w:right="320"/>
        </w:sectPr>
      </w:pPr>
    </w:p>
    <w:p>
      <w:pPr>
        <w:pStyle w:val="ListParagraph"/>
        <w:numPr>
          <w:ilvl w:val="0"/>
          <w:numId w:val="26"/>
        </w:numPr>
        <w:tabs>
          <w:tab w:pos="2058" w:val="left" w:leader="none"/>
        </w:tabs>
        <w:spacing w:line="240" w:lineRule="auto" w:before="82" w:after="0"/>
        <w:ind w:left="2057" w:right="1474" w:hanging="360"/>
        <w:jc w:val="both"/>
        <w:rPr>
          <w:sz w:val="20"/>
        </w:rPr>
      </w:pPr>
      <w:r>
        <w:rPr>
          <w:sz w:val="20"/>
        </w:rPr>
        <w:t>Satisfaction with Acas was ten points lower among claimant-side participants who went on to submit an ET1 form, although still more than seven in ten of this user group said they were satisfied with the service received (73 per cent).</w:t>
      </w:r>
    </w:p>
    <w:p>
      <w:pPr>
        <w:pStyle w:val="ListParagraph"/>
        <w:numPr>
          <w:ilvl w:val="0"/>
          <w:numId w:val="26"/>
        </w:numPr>
        <w:tabs>
          <w:tab w:pos="2058" w:val="left" w:leader="none"/>
        </w:tabs>
        <w:spacing w:line="240" w:lineRule="auto" w:before="0" w:after="0"/>
        <w:ind w:left="2057" w:right="1474" w:hanging="360"/>
        <w:jc w:val="both"/>
        <w:rPr>
          <w:sz w:val="20"/>
        </w:rPr>
      </w:pPr>
      <w:r>
        <w:rPr>
          <w:sz w:val="20"/>
        </w:rPr>
        <w:t>Employer-side participants who had contact with more than one Acas conciliator during their dispute (i.e. cases handled by teams covering conciliator absence) were less likely to report satisfaction with the service provided</w:t>
      </w:r>
      <w:r>
        <w:rPr>
          <w:spacing w:val="-3"/>
          <w:sz w:val="20"/>
        </w:rPr>
        <w:t> </w:t>
      </w:r>
      <w:r>
        <w:rPr>
          <w:sz w:val="20"/>
        </w:rPr>
        <w:t>by</w:t>
      </w:r>
      <w:r>
        <w:rPr>
          <w:spacing w:val="-3"/>
          <w:sz w:val="20"/>
        </w:rPr>
        <w:t> </w:t>
      </w:r>
      <w:r>
        <w:rPr>
          <w:sz w:val="20"/>
        </w:rPr>
        <w:t>Acas</w:t>
      </w:r>
      <w:r>
        <w:rPr>
          <w:spacing w:val="-3"/>
          <w:sz w:val="20"/>
        </w:rPr>
        <w:t> </w:t>
      </w:r>
      <w:r>
        <w:rPr>
          <w:sz w:val="20"/>
        </w:rPr>
        <w:t>than</w:t>
      </w:r>
      <w:r>
        <w:rPr>
          <w:spacing w:val="-3"/>
          <w:sz w:val="20"/>
        </w:rPr>
        <w:t> </w:t>
      </w:r>
      <w:r>
        <w:rPr>
          <w:sz w:val="20"/>
        </w:rPr>
        <w:t>those</w:t>
      </w:r>
      <w:r>
        <w:rPr>
          <w:spacing w:val="-4"/>
          <w:sz w:val="20"/>
        </w:rPr>
        <w:t> </w:t>
      </w:r>
      <w:r>
        <w:rPr>
          <w:sz w:val="20"/>
        </w:rPr>
        <w:t>with</w:t>
      </w:r>
      <w:r>
        <w:rPr>
          <w:spacing w:val="-3"/>
          <w:sz w:val="20"/>
        </w:rPr>
        <w:t> </w:t>
      </w:r>
      <w:r>
        <w:rPr>
          <w:sz w:val="20"/>
        </w:rPr>
        <w:t>a</w:t>
      </w:r>
      <w:r>
        <w:rPr>
          <w:spacing w:val="-5"/>
          <w:sz w:val="20"/>
        </w:rPr>
        <w:t> </w:t>
      </w:r>
      <w:r>
        <w:rPr>
          <w:sz w:val="20"/>
        </w:rPr>
        <w:t>single</w:t>
      </w:r>
      <w:r>
        <w:rPr>
          <w:spacing w:val="-4"/>
          <w:sz w:val="20"/>
        </w:rPr>
        <w:t> </w:t>
      </w:r>
      <w:r>
        <w:rPr>
          <w:sz w:val="20"/>
        </w:rPr>
        <w:t>point</w:t>
      </w:r>
      <w:r>
        <w:rPr>
          <w:spacing w:val="-3"/>
          <w:sz w:val="20"/>
        </w:rPr>
        <w:t> </w:t>
      </w:r>
      <w:r>
        <w:rPr>
          <w:sz w:val="20"/>
        </w:rPr>
        <w:t>of</w:t>
      </w:r>
      <w:r>
        <w:rPr>
          <w:spacing w:val="-3"/>
          <w:sz w:val="20"/>
        </w:rPr>
        <w:t> </w:t>
      </w:r>
      <w:r>
        <w:rPr>
          <w:sz w:val="20"/>
        </w:rPr>
        <w:t>contact</w:t>
      </w:r>
      <w:r>
        <w:rPr>
          <w:spacing w:val="-3"/>
          <w:sz w:val="20"/>
        </w:rPr>
        <w:t> </w:t>
      </w:r>
      <w:r>
        <w:rPr>
          <w:sz w:val="20"/>
        </w:rPr>
        <w:t>(71</w:t>
      </w:r>
      <w:r>
        <w:rPr>
          <w:spacing w:val="-3"/>
          <w:sz w:val="20"/>
        </w:rPr>
        <w:t> </w:t>
      </w:r>
      <w:r>
        <w:rPr>
          <w:sz w:val="20"/>
        </w:rPr>
        <w:t>per</w:t>
      </w:r>
      <w:r>
        <w:rPr>
          <w:spacing w:val="-4"/>
          <w:sz w:val="20"/>
        </w:rPr>
        <w:t> </w:t>
      </w:r>
      <w:r>
        <w:rPr>
          <w:sz w:val="20"/>
        </w:rPr>
        <w:t>cent</w:t>
      </w:r>
      <w:r>
        <w:rPr>
          <w:spacing w:val="-4"/>
          <w:sz w:val="20"/>
        </w:rPr>
        <w:t> </w:t>
      </w:r>
      <w:r>
        <w:rPr>
          <w:sz w:val="20"/>
        </w:rPr>
        <w:t>and 82 per cent respectively). This relationship was not observed among </w:t>
      </w:r>
      <w:r>
        <w:rPr>
          <w:spacing w:val="-2"/>
          <w:sz w:val="20"/>
        </w:rPr>
        <w:t>claimants.</w:t>
      </w:r>
    </w:p>
    <w:p>
      <w:pPr>
        <w:pStyle w:val="ListParagraph"/>
        <w:numPr>
          <w:ilvl w:val="0"/>
          <w:numId w:val="26"/>
        </w:numPr>
        <w:tabs>
          <w:tab w:pos="2058" w:val="left" w:leader="none"/>
        </w:tabs>
        <w:spacing w:line="240" w:lineRule="auto" w:before="0" w:after="0"/>
        <w:ind w:left="2057" w:right="1472" w:hanging="360"/>
        <w:jc w:val="both"/>
        <w:rPr>
          <w:sz w:val="20"/>
        </w:rPr>
      </w:pPr>
      <w:r>
        <w:rPr>
          <w:sz w:val="20"/>
        </w:rPr>
        <w:t>However, across both claimant and employer-side participants, those with a single point of contact at Acas reported higher satisfaction with the </w:t>
      </w:r>
      <w:r>
        <w:rPr>
          <w:i/>
          <w:sz w:val="20"/>
        </w:rPr>
        <w:t>timeliness</w:t>
      </w:r>
      <w:r>
        <w:rPr>
          <w:i/>
          <w:spacing w:val="-11"/>
          <w:sz w:val="20"/>
        </w:rPr>
        <w:t> </w:t>
      </w:r>
      <w:r>
        <w:rPr>
          <w:sz w:val="20"/>
        </w:rPr>
        <w:t>of</w:t>
      </w:r>
      <w:r>
        <w:rPr>
          <w:spacing w:val="-10"/>
          <w:sz w:val="20"/>
        </w:rPr>
        <w:t> </w:t>
      </w:r>
      <w:r>
        <w:rPr>
          <w:sz w:val="20"/>
        </w:rPr>
        <w:t>Acas’</w:t>
      </w:r>
      <w:r>
        <w:rPr>
          <w:spacing w:val="-11"/>
          <w:sz w:val="20"/>
        </w:rPr>
        <w:t> </w:t>
      </w:r>
      <w:r>
        <w:rPr>
          <w:sz w:val="20"/>
        </w:rPr>
        <w:t>contact</w:t>
      </w:r>
      <w:r>
        <w:rPr>
          <w:spacing w:val="-10"/>
          <w:sz w:val="20"/>
        </w:rPr>
        <w:t> </w:t>
      </w:r>
      <w:r>
        <w:rPr>
          <w:sz w:val="20"/>
        </w:rPr>
        <w:t>than</w:t>
      </w:r>
      <w:r>
        <w:rPr>
          <w:spacing w:val="-11"/>
          <w:sz w:val="20"/>
        </w:rPr>
        <w:t> </w:t>
      </w:r>
      <w:r>
        <w:rPr>
          <w:sz w:val="20"/>
        </w:rPr>
        <w:t>those</w:t>
      </w:r>
      <w:r>
        <w:rPr>
          <w:spacing w:val="-11"/>
          <w:sz w:val="20"/>
        </w:rPr>
        <w:t> </w:t>
      </w:r>
      <w:r>
        <w:rPr>
          <w:sz w:val="20"/>
        </w:rPr>
        <w:t>who</w:t>
      </w:r>
      <w:r>
        <w:rPr>
          <w:spacing w:val="-12"/>
          <w:sz w:val="20"/>
        </w:rPr>
        <w:t> </w:t>
      </w:r>
      <w:r>
        <w:rPr>
          <w:sz w:val="20"/>
        </w:rPr>
        <w:t>experienced</w:t>
      </w:r>
      <w:r>
        <w:rPr>
          <w:spacing w:val="-10"/>
          <w:sz w:val="20"/>
        </w:rPr>
        <w:t> </w:t>
      </w:r>
      <w:r>
        <w:rPr>
          <w:sz w:val="20"/>
        </w:rPr>
        <w:t>multiple</w:t>
      </w:r>
      <w:r>
        <w:rPr>
          <w:spacing w:val="-11"/>
          <w:sz w:val="20"/>
        </w:rPr>
        <w:t> </w:t>
      </w:r>
      <w:r>
        <w:rPr>
          <w:sz w:val="20"/>
        </w:rPr>
        <w:t>conciliators (i.e. cases handled by teams covering conciliator absence). Among claimant-side participants, 87 per cent of those with a single conciliator reported that they were satisfied with the timeliness of Acas’ contact compared with 78 per cent of those who experienced multiple conciliators. Among employer-side participants, the comparative figures were 85 per cent and 67 per cent.</w:t>
      </w:r>
    </w:p>
    <w:p>
      <w:pPr>
        <w:pStyle w:val="ListParagraph"/>
        <w:numPr>
          <w:ilvl w:val="0"/>
          <w:numId w:val="26"/>
        </w:numPr>
        <w:tabs>
          <w:tab w:pos="2057" w:val="left" w:leader="none"/>
        </w:tabs>
        <w:spacing w:line="240" w:lineRule="auto" w:before="0" w:after="0"/>
        <w:ind w:left="2056" w:right="1473" w:hanging="360"/>
        <w:jc w:val="both"/>
        <w:rPr>
          <w:sz w:val="20"/>
        </w:rPr>
      </w:pPr>
      <w:r>
        <w:rPr>
          <w:sz w:val="20"/>
        </w:rPr>
        <w:t>Unlike 2015, there was no significant difference in satisfaction between claimants and representatives.</w:t>
      </w:r>
    </w:p>
    <w:p>
      <w:pPr>
        <w:pStyle w:val="BodyText"/>
        <w:spacing w:before="6"/>
        <w:rPr>
          <w:sz w:val="19"/>
        </w:rPr>
      </w:pPr>
    </w:p>
    <w:p>
      <w:pPr>
        <w:pStyle w:val="BodyText"/>
        <w:ind w:left="1336" w:right="1473"/>
        <w:jc w:val="both"/>
      </w:pPr>
      <w:r>
        <w:rPr/>
        <w:t>Those</w:t>
      </w:r>
      <w:r>
        <w:rPr>
          <w:spacing w:val="-15"/>
        </w:rPr>
        <w:t> </w:t>
      </w:r>
      <w:r>
        <w:rPr/>
        <w:t>who</w:t>
      </w:r>
      <w:r>
        <w:rPr>
          <w:spacing w:val="-15"/>
        </w:rPr>
        <w:t> </w:t>
      </w:r>
      <w:r>
        <w:rPr/>
        <w:t>said</w:t>
      </w:r>
      <w:r>
        <w:rPr>
          <w:spacing w:val="-14"/>
        </w:rPr>
        <w:t> </w:t>
      </w:r>
      <w:r>
        <w:rPr/>
        <w:t>they</w:t>
      </w:r>
      <w:r>
        <w:rPr>
          <w:spacing w:val="-16"/>
        </w:rPr>
        <w:t> </w:t>
      </w:r>
      <w:r>
        <w:rPr/>
        <w:t>were</w:t>
      </w:r>
      <w:r>
        <w:rPr>
          <w:spacing w:val="-14"/>
        </w:rPr>
        <w:t> </w:t>
      </w:r>
      <w:r>
        <w:rPr/>
        <w:t>dissatisfied</w:t>
      </w:r>
      <w:r>
        <w:rPr>
          <w:spacing w:val="-14"/>
        </w:rPr>
        <w:t> </w:t>
      </w:r>
      <w:r>
        <w:rPr/>
        <w:t>with</w:t>
      </w:r>
      <w:r>
        <w:rPr>
          <w:spacing w:val="-15"/>
        </w:rPr>
        <w:t> </w:t>
      </w:r>
      <w:r>
        <w:rPr/>
        <w:t>the</w:t>
      </w:r>
      <w:r>
        <w:rPr>
          <w:spacing w:val="-17"/>
        </w:rPr>
        <w:t> </w:t>
      </w:r>
      <w:r>
        <w:rPr/>
        <w:t>service</w:t>
      </w:r>
      <w:r>
        <w:rPr>
          <w:spacing w:val="-14"/>
        </w:rPr>
        <w:t> </w:t>
      </w:r>
      <w:r>
        <w:rPr/>
        <w:t>provided</w:t>
      </w:r>
      <w:r>
        <w:rPr>
          <w:spacing w:val="-14"/>
        </w:rPr>
        <w:t> </w:t>
      </w:r>
      <w:r>
        <w:rPr/>
        <w:t>by</w:t>
      </w:r>
      <w:r>
        <w:rPr>
          <w:spacing w:val="-15"/>
        </w:rPr>
        <w:t> </w:t>
      </w:r>
      <w:r>
        <w:rPr/>
        <w:t>Acas,</w:t>
      </w:r>
      <w:r>
        <w:rPr>
          <w:spacing w:val="-14"/>
        </w:rPr>
        <w:t> </w:t>
      </w:r>
      <w:r>
        <w:rPr/>
        <w:t>regardless of whether EC had taken place, were asked why. Across both claimant and employer-side participants the most common reason for dissatisfaction was that the service or communication provided by Acas was deemed poor (see Table 13). Other</w:t>
      </w:r>
      <w:r>
        <w:rPr>
          <w:spacing w:val="-3"/>
        </w:rPr>
        <w:t> </w:t>
      </w:r>
      <w:r>
        <w:rPr/>
        <w:t>reasons</w:t>
      </w:r>
      <w:r>
        <w:rPr>
          <w:spacing w:val="-1"/>
        </w:rPr>
        <w:t> </w:t>
      </w:r>
      <w:r>
        <w:rPr/>
        <w:t>included: Acas did</w:t>
      </w:r>
      <w:r>
        <w:rPr>
          <w:spacing w:val="-1"/>
        </w:rPr>
        <w:t> </w:t>
      </w:r>
      <w:r>
        <w:rPr/>
        <w:t>not do</w:t>
      </w:r>
      <w:r>
        <w:rPr>
          <w:spacing w:val="-1"/>
        </w:rPr>
        <w:t> </w:t>
      </w:r>
      <w:r>
        <w:rPr/>
        <w:t>enough for the</w:t>
      </w:r>
      <w:r>
        <w:rPr>
          <w:spacing w:val="-1"/>
        </w:rPr>
        <w:t> </w:t>
      </w:r>
      <w:r>
        <w:rPr/>
        <w:t>participant (mentioned </w:t>
      </w:r>
      <w:r>
        <w:rPr>
          <w:spacing w:val="-5"/>
        </w:rPr>
        <w:t>by</w:t>
      </w:r>
    </w:p>
    <w:p>
      <w:pPr>
        <w:pStyle w:val="BodyText"/>
        <w:ind w:left="1336" w:right="1473"/>
        <w:jc w:val="both"/>
      </w:pPr>
      <w:r>
        <w:rPr/>
        <w:t>33 per cent and 18 per cent of claimant and employer-side participants respectively),</w:t>
      </w:r>
      <w:r>
        <w:rPr>
          <w:spacing w:val="-2"/>
        </w:rPr>
        <w:t> </w:t>
      </w:r>
      <w:r>
        <w:rPr/>
        <w:t>Acas</w:t>
      </w:r>
      <w:r>
        <w:rPr>
          <w:spacing w:val="-2"/>
        </w:rPr>
        <w:t> </w:t>
      </w:r>
      <w:r>
        <w:rPr/>
        <w:t>did</w:t>
      </w:r>
      <w:r>
        <w:rPr>
          <w:spacing w:val="-2"/>
        </w:rPr>
        <w:t> </w:t>
      </w:r>
      <w:r>
        <w:rPr/>
        <w:t>not offer</w:t>
      </w:r>
      <w:r>
        <w:rPr>
          <w:spacing w:val="-1"/>
        </w:rPr>
        <w:t> </w:t>
      </w:r>
      <w:r>
        <w:rPr/>
        <w:t>any advice</w:t>
      </w:r>
      <w:r>
        <w:rPr>
          <w:spacing w:val="-1"/>
        </w:rPr>
        <w:t> </w:t>
      </w:r>
      <w:r>
        <w:rPr/>
        <w:t>(mentioned</w:t>
      </w:r>
      <w:r>
        <w:rPr>
          <w:spacing w:val="-1"/>
        </w:rPr>
        <w:t> </w:t>
      </w:r>
      <w:r>
        <w:rPr/>
        <w:t>by</w:t>
      </w:r>
      <w:r>
        <w:rPr>
          <w:spacing w:val="-2"/>
        </w:rPr>
        <w:t> </w:t>
      </w:r>
      <w:r>
        <w:rPr/>
        <w:t>23</w:t>
      </w:r>
      <w:r>
        <w:rPr>
          <w:spacing w:val="-2"/>
        </w:rPr>
        <w:t> </w:t>
      </w:r>
      <w:r>
        <w:rPr/>
        <w:t>per</w:t>
      </w:r>
      <w:r>
        <w:rPr>
          <w:spacing w:val="-1"/>
        </w:rPr>
        <w:t> </w:t>
      </w:r>
      <w:r>
        <w:rPr/>
        <w:t>cent and</w:t>
      </w:r>
      <w:r>
        <w:rPr>
          <w:spacing w:val="-1"/>
        </w:rPr>
        <w:t> </w:t>
      </w:r>
      <w:r>
        <w:rPr/>
        <w:t>16</w:t>
      </w:r>
      <w:r>
        <w:rPr>
          <w:spacing w:val="-1"/>
        </w:rPr>
        <w:t> </w:t>
      </w:r>
      <w:r>
        <w:rPr/>
        <w:t>per cent</w:t>
      </w:r>
      <w:r>
        <w:rPr>
          <w:spacing w:val="-18"/>
        </w:rPr>
        <w:t> </w:t>
      </w:r>
      <w:r>
        <w:rPr/>
        <w:t>of</w:t>
      </w:r>
      <w:r>
        <w:rPr>
          <w:spacing w:val="-18"/>
        </w:rPr>
        <w:t> </w:t>
      </w:r>
      <w:r>
        <w:rPr/>
        <w:t>claimant</w:t>
      </w:r>
      <w:r>
        <w:rPr>
          <w:spacing w:val="-17"/>
        </w:rPr>
        <w:t> </w:t>
      </w:r>
      <w:r>
        <w:rPr/>
        <w:t>and</w:t>
      </w:r>
      <w:r>
        <w:rPr>
          <w:spacing w:val="-17"/>
        </w:rPr>
        <w:t> </w:t>
      </w:r>
      <w:r>
        <w:rPr/>
        <w:t>employer-side</w:t>
      </w:r>
      <w:r>
        <w:rPr>
          <w:spacing w:val="-18"/>
        </w:rPr>
        <w:t> </w:t>
      </w:r>
      <w:r>
        <w:rPr/>
        <w:t>participants),</w:t>
      </w:r>
      <w:r>
        <w:rPr>
          <w:spacing w:val="-16"/>
        </w:rPr>
        <w:t> </w:t>
      </w:r>
      <w:r>
        <w:rPr/>
        <w:t>and</w:t>
      </w:r>
      <w:r>
        <w:rPr>
          <w:spacing w:val="-18"/>
        </w:rPr>
        <w:t> </w:t>
      </w:r>
      <w:r>
        <w:rPr/>
        <w:t>that</w:t>
      </w:r>
      <w:r>
        <w:rPr>
          <w:spacing w:val="-17"/>
        </w:rPr>
        <w:t> </w:t>
      </w:r>
      <w:r>
        <w:rPr/>
        <w:t>time</w:t>
      </w:r>
      <w:r>
        <w:rPr>
          <w:spacing w:val="-18"/>
        </w:rPr>
        <w:t> </w:t>
      </w:r>
      <w:r>
        <w:rPr/>
        <w:t>limits</w:t>
      </w:r>
      <w:r>
        <w:rPr>
          <w:spacing w:val="-16"/>
        </w:rPr>
        <w:t> </w:t>
      </w:r>
      <w:r>
        <w:rPr/>
        <w:t>caused</w:t>
      </w:r>
      <w:r>
        <w:rPr>
          <w:spacing w:val="-17"/>
        </w:rPr>
        <w:t> </w:t>
      </w:r>
      <w:r>
        <w:rPr/>
        <w:t>issues (mentioned by 15 per cent of claimant and employer-side participants </w:t>
      </w:r>
      <w:r>
        <w:rPr>
          <w:spacing w:val="-2"/>
        </w:rPr>
        <w:t>respectively).</w:t>
      </w:r>
    </w:p>
    <w:p>
      <w:pPr>
        <w:pStyle w:val="BodyText"/>
        <w:spacing w:before="9"/>
        <w:rPr>
          <w:sz w:val="34"/>
        </w:rPr>
      </w:pPr>
    </w:p>
    <w:p>
      <w:pPr>
        <w:pStyle w:val="Heading3"/>
        <w:ind w:left="1336"/>
      </w:pPr>
      <w:r>
        <w:rPr/>
        <w:t>Table</w:t>
      </w:r>
      <w:r>
        <w:rPr>
          <w:spacing w:val="-6"/>
        </w:rPr>
        <w:t> </w:t>
      </w:r>
      <w:r>
        <w:rPr/>
        <w:t>13.</w:t>
      </w:r>
      <w:r>
        <w:rPr>
          <w:spacing w:val="-6"/>
        </w:rPr>
        <w:t> </w:t>
      </w:r>
      <w:r>
        <w:rPr/>
        <w:t>Reasons</w:t>
      </w:r>
      <w:r>
        <w:rPr>
          <w:spacing w:val="-5"/>
        </w:rPr>
        <w:t> </w:t>
      </w:r>
      <w:r>
        <w:rPr/>
        <w:t>for</w:t>
      </w:r>
      <w:r>
        <w:rPr>
          <w:spacing w:val="-3"/>
        </w:rPr>
        <w:t> </w:t>
      </w:r>
      <w:r>
        <w:rPr/>
        <w:t>dissatisfaction</w:t>
      </w:r>
      <w:r>
        <w:rPr>
          <w:spacing w:val="-6"/>
        </w:rPr>
        <w:t> </w:t>
      </w:r>
      <w:r>
        <w:rPr/>
        <w:t>with</w:t>
      </w:r>
      <w:r>
        <w:rPr>
          <w:spacing w:val="-4"/>
        </w:rPr>
        <w:t> </w:t>
      </w:r>
      <w:r>
        <w:rPr/>
        <w:t>the</w:t>
      </w:r>
      <w:r>
        <w:rPr>
          <w:spacing w:val="-3"/>
        </w:rPr>
        <w:t> </w:t>
      </w:r>
      <w:r>
        <w:rPr/>
        <w:t>service</w:t>
      </w:r>
      <w:r>
        <w:rPr>
          <w:spacing w:val="-4"/>
        </w:rPr>
        <w:t> </w:t>
      </w:r>
      <w:r>
        <w:rPr/>
        <w:t>provided</w:t>
      </w:r>
      <w:r>
        <w:rPr>
          <w:spacing w:val="-4"/>
        </w:rPr>
        <w:t> </w:t>
      </w:r>
      <w:r>
        <w:rPr/>
        <w:t>by</w:t>
      </w:r>
      <w:r>
        <w:rPr>
          <w:spacing w:val="-4"/>
        </w:rPr>
        <w:t> Acas</w:t>
      </w:r>
    </w:p>
    <w:p>
      <w:pPr>
        <w:pStyle w:val="BodyText"/>
        <w:rPr>
          <w:b/>
          <w:sz w:val="5"/>
        </w:rPr>
      </w:pPr>
      <w:r>
        <w:rPr/>
        <w:drawing>
          <wp:anchor distT="0" distB="0" distL="0" distR="0" allowOverlap="1" layoutInCell="1" locked="0" behindDoc="0" simplePos="0" relativeHeight="33">
            <wp:simplePos x="0" y="0"/>
            <wp:positionH relativeFrom="page">
              <wp:posOffset>1245006</wp:posOffset>
            </wp:positionH>
            <wp:positionV relativeFrom="paragraph">
              <wp:posOffset>53960</wp:posOffset>
            </wp:positionV>
            <wp:extent cx="5078030" cy="2768345"/>
            <wp:effectExtent l="0" t="0" r="0" b="0"/>
            <wp:wrapTopAndBottom/>
            <wp:docPr id="47" name="image24.png" descr="Table showing reasons for dissatisfaction with the servivce provided by Acas "/>
            <wp:cNvGraphicFramePr>
              <a:graphicFrameLocks noChangeAspect="1"/>
            </wp:cNvGraphicFramePr>
            <a:graphic>
              <a:graphicData uri="http://schemas.openxmlformats.org/drawingml/2006/picture">
                <pic:pic>
                  <pic:nvPicPr>
                    <pic:cNvPr id="48" name="image24.png"/>
                    <pic:cNvPicPr/>
                  </pic:nvPicPr>
                  <pic:blipFill>
                    <a:blip r:embed="rId36" cstate="print"/>
                    <a:stretch>
                      <a:fillRect/>
                    </a:stretch>
                  </pic:blipFill>
                  <pic:spPr>
                    <a:xfrm>
                      <a:off x="0" y="0"/>
                      <a:ext cx="5078030" cy="2768345"/>
                    </a:xfrm>
                    <a:prstGeom prst="rect">
                      <a:avLst/>
                    </a:prstGeom>
                  </pic:spPr>
                </pic:pic>
              </a:graphicData>
            </a:graphic>
          </wp:anchor>
        </w:drawing>
      </w:r>
    </w:p>
    <w:p>
      <w:pPr>
        <w:spacing w:after="0"/>
        <w:rPr>
          <w:sz w:val="5"/>
        </w:rPr>
        <w:sectPr>
          <w:pgSz w:w="11910" w:h="16840"/>
          <w:pgMar w:header="0" w:footer="996" w:top="1340" w:bottom="1180" w:left="460" w:right="320"/>
        </w:sectPr>
      </w:pPr>
    </w:p>
    <w:p>
      <w:pPr>
        <w:pStyle w:val="Heading4"/>
        <w:numPr>
          <w:ilvl w:val="2"/>
          <w:numId w:val="27"/>
        </w:numPr>
        <w:tabs>
          <w:tab w:pos="2190" w:val="left" w:leader="none"/>
        </w:tabs>
        <w:spacing w:line="240" w:lineRule="auto" w:before="82" w:after="0"/>
        <w:ind w:left="2189" w:right="0" w:hanging="853"/>
        <w:jc w:val="both"/>
        <w:rPr>
          <w:i/>
        </w:rPr>
      </w:pPr>
      <w:bookmarkStart w:name="10.7.1 Drivers of satisfaction among cla" w:id="110"/>
      <w:bookmarkEnd w:id="110"/>
      <w:r>
        <w:rPr>
          <w:i/>
        </w:rPr>
        <w:t>D</w:t>
      </w:r>
      <w:r>
        <w:rPr>
          <w:i/>
        </w:rPr>
        <w:t>rivers</w:t>
      </w:r>
      <w:r>
        <w:rPr>
          <w:i/>
          <w:spacing w:val="-9"/>
        </w:rPr>
        <w:t> </w:t>
      </w:r>
      <w:r>
        <w:rPr>
          <w:i/>
        </w:rPr>
        <w:t>of</w:t>
      </w:r>
      <w:r>
        <w:rPr>
          <w:i/>
          <w:spacing w:val="-8"/>
        </w:rPr>
        <w:t> </w:t>
      </w:r>
      <w:r>
        <w:rPr>
          <w:i/>
        </w:rPr>
        <w:t>satisfaction</w:t>
      </w:r>
      <w:r>
        <w:rPr>
          <w:i/>
          <w:spacing w:val="-9"/>
        </w:rPr>
        <w:t> </w:t>
      </w:r>
      <w:r>
        <w:rPr>
          <w:i/>
        </w:rPr>
        <w:t>among</w:t>
      </w:r>
      <w:r>
        <w:rPr>
          <w:i/>
          <w:spacing w:val="-8"/>
        </w:rPr>
        <w:t> </w:t>
      </w:r>
      <w:r>
        <w:rPr>
          <w:i/>
          <w:spacing w:val="-2"/>
        </w:rPr>
        <w:t>claimants</w:t>
      </w:r>
    </w:p>
    <w:p>
      <w:pPr>
        <w:pStyle w:val="BodyText"/>
        <w:spacing w:before="59"/>
        <w:ind w:left="1337" w:right="1474"/>
        <w:jc w:val="both"/>
      </w:pPr>
      <w:r>
        <w:rPr/>
        <w:t>Throughout this report a series of regression analyses have been conducted to understand</w:t>
      </w:r>
      <w:r>
        <w:rPr>
          <w:spacing w:val="-18"/>
        </w:rPr>
        <w:t> </w:t>
      </w:r>
      <w:r>
        <w:rPr/>
        <w:t>the</w:t>
      </w:r>
      <w:r>
        <w:rPr>
          <w:spacing w:val="-18"/>
        </w:rPr>
        <w:t> </w:t>
      </w:r>
      <w:r>
        <w:rPr/>
        <w:t>factors</w:t>
      </w:r>
      <w:r>
        <w:rPr>
          <w:spacing w:val="-17"/>
        </w:rPr>
        <w:t> </w:t>
      </w:r>
      <w:r>
        <w:rPr/>
        <w:t>associated</w:t>
      </w:r>
      <w:r>
        <w:rPr>
          <w:spacing w:val="-18"/>
        </w:rPr>
        <w:t> </w:t>
      </w:r>
      <w:r>
        <w:rPr/>
        <w:t>with</w:t>
      </w:r>
      <w:r>
        <w:rPr>
          <w:spacing w:val="-17"/>
        </w:rPr>
        <w:t> </w:t>
      </w:r>
      <w:r>
        <w:rPr/>
        <w:t>the</w:t>
      </w:r>
      <w:r>
        <w:rPr>
          <w:spacing w:val="-18"/>
        </w:rPr>
        <w:t> </w:t>
      </w:r>
      <w:r>
        <w:rPr/>
        <w:t>likelihood</w:t>
      </w:r>
      <w:r>
        <w:rPr>
          <w:spacing w:val="-18"/>
        </w:rPr>
        <w:t> </w:t>
      </w:r>
      <w:r>
        <w:rPr/>
        <w:t>of</w:t>
      </w:r>
      <w:r>
        <w:rPr>
          <w:spacing w:val="-17"/>
        </w:rPr>
        <w:t> </w:t>
      </w:r>
      <w:r>
        <w:rPr/>
        <w:t>service</w:t>
      </w:r>
      <w:r>
        <w:rPr>
          <w:spacing w:val="-18"/>
        </w:rPr>
        <w:t> </w:t>
      </w:r>
      <w:r>
        <w:rPr/>
        <w:t>users</w:t>
      </w:r>
      <w:r>
        <w:rPr>
          <w:spacing w:val="-17"/>
        </w:rPr>
        <w:t> </w:t>
      </w:r>
      <w:r>
        <w:rPr/>
        <w:t>using</w:t>
      </w:r>
      <w:r>
        <w:rPr>
          <w:spacing w:val="-18"/>
        </w:rPr>
        <w:t> </w:t>
      </w:r>
      <w:r>
        <w:rPr/>
        <w:t>different parts of the EC service. These models examine the factors ‘driving’ claimant satisfaction with the overall service received from Acas (representatives were not included).</w:t>
      </w:r>
      <w:r>
        <w:rPr>
          <w:position w:val="7"/>
          <w:sz w:val="13"/>
        </w:rPr>
        <w:t>22</w:t>
      </w:r>
      <w:r>
        <w:rPr>
          <w:spacing w:val="40"/>
          <w:position w:val="7"/>
          <w:sz w:val="13"/>
        </w:rPr>
        <w:t> </w:t>
      </w:r>
      <w:r>
        <w:rPr/>
        <w:t>Note that these models are used to measure associations between variables, not causation.</w:t>
      </w:r>
    </w:p>
    <w:p>
      <w:pPr>
        <w:pStyle w:val="BodyText"/>
      </w:pPr>
    </w:p>
    <w:p>
      <w:pPr>
        <w:pStyle w:val="BodyText"/>
        <w:ind w:left="1337" w:right="1475"/>
        <w:jc w:val="both"/>
      </w:pPr>
      <w:r>
        <w:rPr/>
        <w:t>To provide understanding on the impact of ‘internal’ factors (those within Acas’ control such as conciliator performance) and ‘external’ ones (e.g. claimant or employer characteristics) separate models have been established for both.</w:t>
      </w:r>
    </w:p>
    <w:p>
      <w:pPr>
        <w:pStyle w:val="BodyText"/>
      </w:pPr>
    </w:p>
    <w:p>
      <w:pPr>
        <w:pStyle w:val="Heading4"/>
        <w:rPr>
          <w:i/>
        </w:rPr>
      </w:pPr>
      <w:bookmarkStart w:name="Among claimants – internal factors" w:id="111"/>
      <w:bookmarkEnd w:id="111"/>
      <w:r>
        <w:rPr>
          <w:b w:val="0"/>
          <w:i w:val="0"/>
        </w:rPr>
      </w:r>
      <w:r>
        <w:rPr>
          <w:i/>
        </w:rPr>
        <w:t>Among</w:t>
      </w:r>
      <w:r>
        <w:rPr>
          <w:i/>
          <w:spacing w:val="-9"/>
        </w:rPr>
        <w:t> </w:t>
      </w:r>
      <w:r>
        <w:rPr>
          <w:i/>
        </w:rPr>
        <w:t>claimants</w:t>
      </w:r>
      <w:r>
        <w:rPr>
          <w:i/>
          <w:spacing w:val="-6"/>
        </w:rPr>
        <w:t> </w:t>
      </w:r>
      <w:r>
        <w:rPr>
          <w:i/>
        </w:rPr>
        <w:t>–</w:t>
      </w:r>
      <w:r>
        <w:rPr>
          <w:i/>
          <w:spacing w:val="-6"/>
        </w:rPr>
        <w:t> </w:t>
      </w:r>
      <w:r>
        <w:rPr>
          <w:i/>
        </w:rPr>
        <w:t>internal</w:t>
      </w:r>
      <w:r>
        <w:rPr>
          <w:i/>
          <w:spacing w:val="-6"/>
        </w:rPr>
        <w:t> </w:t>
      </w:r>
      <w:r>
        <w:rPr>
          <w:i/>
          <w:spacing w:val="-2"/>
        </w:rPr>
        <w:t>factors</w:t>
      </w:r>
    </w:p>
    <w:p>
      <w:pPr>
        <w:pStyle w:val="BodyText"/>
        <w:spacing w:before="2"/>
        <w:ind w:left="1337" w:right="1475"/>
        <w:jc w:val="both"/>
      </w:pPr>
      <w:r>
        <w:rPr/>
        <w:t>The</w:t>
      </w:r>
      <w:r>
        <w:rPr>
          <w:spacing w:val="-18"/>
        </w:rPr>
        <w:t> </w:t>
      </w:r>
      <w:r>
        <w:rPr/>
        <w:t>independent</w:t>
      </w:r>
      <w:r>
        <w:rPr>
          <w:spacing w:val="-18"/>
        </w:rPr>
        <w:t> </w:t>
      </w:r>
      <w:r>
        <w:rPr/>
        <w:t>internal</w:t>
      </w:r>
      <w:r>
        <w:rPr>
          <w:spacing w:val="-17"/>
        </w:rPr>
        <w:t> </w:t>
      </w:r>
      <w:r>
        <w:rPr/>
        <w:t>variables</w:t>
      </w:r>
      <w:r>
        <w:rPr>
          <w:spacing w:val="-18"/>
        </w:rPr>
        <w:t> </w:t>
      </w:r>
      <w:r>
        <w:rPr/>
        <w:t>which</w:t>
      </w:r>
      <w:r>
        <w:rPr>
          <w:spacing w:val="-17"/>
        </w:rPr>
        <w:t> </w:t>
      </w:r>
      <w:r>
        <w:rPr/>
        <w:t>were</w:t>
      </w:r>
      <w:r>
        <w:rPr>
          <w:spacing w:val="-18"/>
        </w:rPr>
        <w:t> </w:t>
      </w:r>
      <w:r>
        <w:rPr/>
        <w:t>found</w:t>
      </w:r>
      <w:r>
        <w:rPr>
          <w:spacing w:val="-18"/>
        </w:rPr>
        <w:t> </w:t>
      </w:r>
      <w:r>
        <w:rPr/>
        <w:t>to</w:t>
      </w:r>
      <w:r>
        <w:rPr>
          <w:spacing w:val="-17"/>
        </w:rPr>
        <w:t> </w:t>
      </w:r>
      <w:r>
        <w:rPr/>
        <w:t>be</w:t>
      </w:r>
      <w:r>
        <w:rPr>
          <w:spacing w:val="-18"/>
        </w:rPr>
        <w:t> </w:t>
      </w:r>
      <w:r>
        <w:rPr/>
        <w:t>determinants</w:t>
      </w:r>
      <w:r>
        <w:rPr>
          <w:spacing w:val="-17"/>
        </w:rPr>
        <w:t> </w:t>
      </w:r>
      <w:r>
        <w:rPr/>
        <w:t>of</w:t>
      </w:r>
      <w:r>
        <w:rPr>
          <w:spacing w:val="-18"/>
        </w:rPr>
        <w:t> </w:t>
      </w:r>
      <w:r>
        <w:rPr/>
        <w:t>whether claimants</w:t>
      </w:r>
      <w:r>
        <w:rPr>
          <w:spacing w:val="-6"/>
        </w:rPr>
        <w:t> </w:t>
      </w:r>
      <w:r>
        <w:rPr/>
        <w:t>were</w:t>
      </w:r>
      <w:r>
        <w:rPr>
          <w:spacing w:val="-4"/>
        </w:rPr>
        <w:t> </w:t>
      </w:r>
      <w:r>
        <w:rPr/>
        <w:t>satisfied</w:t>
      </w:r>
      <w:r>
        <w:rPr>
          <w:spacing w:val="-5"/>
        </w:rPr>
        <w:t> </w:t>
      </w:r>
      <w:r>
        <w:rPr/>
        <w:t>with</w:t>
      </w:r>
      <w:r>
        <w:rPr>
          <w:spacing w:val="-4"/>
        </w:rPr>
        <w:t> </w:t>
      </w:r>
      <w:r>
        <w:rPr/>
        <w:t>the</w:t>
      </w:r>
      <w:r>
        <w:rPr>
          <w:spacing w:val="-7"/>
        </w:rPr>
        <w:t> </w:t>
      </w:r>
      <w:r>
        <w:rPr/>
        <w:t>overall</w:t>
      </w:r>
      <w:r>
        <w:rPr>
          <w:spacing w:val="-3"/>
        </w:rPr>
        <w:t> </w:t>
      </w:r>
      <w:r>
        <w:rPr/>
        <w:t>service</w:t>
      </w:r>
      <w:r>
        <w:rPr>
          <w:spacing w:val="-4"/>
        </w:rPr>
        <w:t> </w:t>
      </w:r>
      <w:r>
        <w:rPr/>
        <w:t>they</w:t>
      </w:r>
      <w:r>
        <w:rPr>
          <w:spacing w:val="-4"/>
        </w:rPr>
        <w:t> </w:t>
      </w:r>
      <w:r>
        <w:rPr/>
        <w:t>received</w:t>
      </w:r>
      <w:r>
        <w:rPr>
          <w:spacing w:val="-5"/>
        </w:rPr>
        <w:t> </w:t>
      </w:r>
      <w:r>
        <w:rPr/>
        <w:t>from</w:t>
      </w:r>
      <w:r>
        <w:rPr>
          <w:spacing w:val="-5"/>
        </w:rPr>
        <w:t> </w:t>
      </w:r>
      <w:r>
        <w:rPr/>
        <w:t>Acas</w:t>
      </w:r>
      <w:r>
        <w:rPr>
          <w:spacing w:val="-6"/>
        </w:rPr>
        <w:t> </w:t>
      </w:r>
      <w:r>
        <w:rPr/>
        <w:t>are</w:t>
      </w:r>
      <w:r>
        <w:rPr>
          <w:spacing w:val="-4"/>
        </w:rPr>
        <w:t> </w:t>
      </w:r>
      <w:r>
        <w:rPr/>
        <w:t>listed below in order of predictive strength (See Figure 18):</w:t>
      </w:r>
    </w:p>
    <w:p>
      <w:pPr>
        <w:pStyle w:val="BodyText"/>
      </w:pPr>
    </w:p>
    <w:p>
      <w:pPr>
        <w:pStyle w:val="ListParagraph"/>
        <w:numPr>
          <w:ilvl w:val="3"/>
          <w:numId w:val="27"/>
        </w:numPr>
        <w:tabs>
          <w:tab w:pos="2058" w:val="left" w:leader="none"/>
        </w:tabs>
        <w:spacing w:line="240" w:lineRule="auto" w:before="0" w:after="0"/>
        <w:ind w:left="2057" w:right="1474" w:hanging="360"/>
        <w:jc w:val="both"/>
        <w:rPr>
          <w:sz w:val="20"/>
        </w:rPr>
      </w:pPr>
      <w:r>
        <w:rPr>
          <w:i/>
          <w:sz w:val="20"/>
        </w:rPr>
        <w:t>Information provided at the EC form submission stage</w:t>
      </w:r>
      <w:r>
        <w:rPr>
          <w:sz w:val="20"/>
        </w:rPr>
        <w:t>: The strongest indicator of satisfaction with the overall service was agreement that the information provided by Acas at the EC form submission stage helped claimants understand how the EC process worked.</w:t>
      </w:r>
    </w:p>
    <w:p>
      <w:pPr>
        <w:pStyle w:val="ListParagraph"/>
        <w:numPr>
          <w:ilvl w:val="3"/>
          <w:numId w:val="27"/>
        </w:numPr>
        <w:tabs>
          <w:tab w:pos="2058" w:val="left" w:leader="none"/>
        </w:tabs>
        <w:spacing w:line="237" w:lineRule="auto" w:before="0" w:after="0"/>
        <w:ind w:left="2057" w:right="1475" w:hanging="360"/>
        <w:jc w:val="both"/>
        <w:rPr>
          <w:sz w:val="20"/>
        </w:rPr>
      </w:pPr>
      <w:r>
        <w:rPr>
          <w:i/>
          <w:sz w:val="20"/>
        </w:rPr>
        <w:t>Importance of Acas in moving the two sides together</w:t>
      </w:r>
      <w:r>
        <w:rPr>
          <w:sz w:val="20"/>
        </w:rPr>
        <w:t>: Another powerful indicator of satisfaction was agreement that Acas was important in moving the two parties closer towards resolving the case.</w:t>
      </w:r>
    </w:p>
    <w:p>
      <w:pPr>
        <w:pStyle w:val="ListParagraph"/>
        <w:numPr>
          <w:ilvl w:val="3"/>
          <w:numId w:val="27"/>
        </w:numPr>
        <w:tabs>
          <w:tab w:pos="2058" w:val="left" w:leader="none"/>
        </w:tabs>
        <w:spacing w:line="237" w:lineRule="auto" w:before="5" w:after="0"/>
        <w:ind w:left="2057" w:right="1474" w:hanging="360"/>
        <w:jc w:val="both"/>
        <w:rPr>
          <w:sz w:val="20"/>
        </w:rPr>
      </w:pPr>
      <w:r>
        <w:rPr>
          <w:i/>
          <w:sz w:val="20"/>
        </w:rPr>
        <w:t>Suitability of Early Conciliation to the case</w:t>
      </w:r>
      <w:r>
        <w:rPr>
          <w:sz w:val="20"/>
        </w:rPr>
        <w:t>: Claimants who agreed that EC sounded suitable to their case when they discussed it with the ECSO were also associated with a significantly higher likelihood of being satisfied with the service provided by Acas.</w:t>
      </w:r>
    </w:p>
    <w:p>
      <w:pPr>
        <w:pStyle w:val="ListParagraph"/>
        <w:numPr>
          <w:ilvl w:val="3"/>
          <w:numId w:val="27"/>
        </w:numPr>
        <w:tabs>
          <w:tab w:pos="2058" w:val="left" w:leader="none"/>
        </w:tabs>
        <w:spacing w:line="240" w:lineRule="auto" w:before="6" w:after="0"/>
        <w:ind w:left="2057" w:right="1472" w:hanging="360"/>
        <w:jc w:val="both"/>
        <w:rPr>
          <w:sz w:val="20"/>
        </w:rPr>
      </w:pPr>
      <w:r>
        <w:rPr>
          <w:i/>
          <w:sz w:val="20"/>
        </w:rPr>
        <w:t>Importance of Acas advice in deciding how to proceed</w:t>
      </w:r>
      <w:r>
        <w:rPr>
          <w:sz w:val="20"/>
        </w:rPr>
        <w:t>: Claimants who agreed</w:t>
      </w:r>
      <w:r>
        <w:rPr>
          <w:spacing w:val="-11"/>
          <w:sz w:val="20"/>
        </w:rPr>
        <w:t> </w:t>
      </w:r>
      <w:r>
        <w:rPr>
          <w:sz w:val="20"/>
        </w:rPr>
        <w:t>that</w:t>
      </w:r>
      <w:r>
        <w:rPr>
          <w:spacing w:val="-11"/>
          <w:sz w:val="20"/>
        </w:rPr>
        <w:t> </w:t>
      </w:r>
      <w:r>
        <w:rPr>
          <w:sz w:val="20"/>
        </w:rPr>
        <w:t>Acas</w:t>
      </w:r>
      <w:r>
        <w:rPr>
          <w:spacing w:val="-12"/>
          <w:sz w:val="20"/>
        </w:rPr>
        <w:t> </w:t>
      </w:r>
      <w:r>
        <w:rPr>
          <w:sz w:val="20"/>
        </w:rPr>
        <w:t>involvement</w:t>
      </w:r>
      <w:r>
        <w:rPr>
          <w:spacing w:val="-11"/>
          <w:sz w:val="20"/>
        </w:rPr>
        <w:t> </w:t>
      </w:r>
      <w:r>
        <w:rPr>
          <w:sz w:val="20"/>
        </w:rPr>
        <w:t>was</w:t>
      </w:r>
      <w:r>
        <w:rPr>
          <w:spacing w:val="-12"/>
          <w:sz w:val="20"/>
        </w:rPr>
        <w:t> </w:t>
      </w:r>
      <w:r>
        <w:rPr>
          <w:sz w:val="20"/>
        </w:rPr>
        <w:t>important</w:t>
      </w:r>
      <w:r>
        <w:rPr>
          <w:spacing w:val="-11"/>
          <w:sz w:val="20"/>
        </w:rPr>
        <w:t> </w:t>
      </w:r>
      <w:r>
        <w:rPr>
          <w:sz w:val="20"/>
        </w:rPr>
        <w:t>in</w:t>
      </w:r>
      <w:r>
        <w:rPr>
          <w:spacing w:val="-13"/>
          <w:sz w:val="20"/>
        </w:rPr>
        <w:t> </w:t>
      </w:r>
      <w:r>
        <w:rPr>
          <w:sz w:val="20"/>
        </w:rPr>
        <w:t>helping</w:t>
      </w:r>
      <w:r>
        <w:rPr>
          <w:spacing w:val="-11"/>
          <w:sz w:val="20"/>
        </w:rPr>
        <w:t> </w:t>
      </w:r>
      <w:r>
        <w:rPr>
          <w:sz w:val="20"/>
        </w:rPr>
        <w:t>them</w:t>
      </w:r>
      <w:r>
        <w:rPr>
          <w:spacing w:val="-11"/>
          <w:sz w:val="20"/>
        </w:rPr>
        <w:t> </w:t>
      </w:r>
      <w:r>
        <w:rPr>
          <w:sz w:val="20"/>
        </w:rPr>
        <w:t>decide</w:t>
      </w:r>
      <w:r>
        <w:rPr>
          <w:spacing w:val="-12"/>
          <w:sz w:val="20"/>
        </w:rPr>
        <w:t> </w:t>
      </w:r>
      <w:r>
        <w:rPr>
          <w:sz w:val="20"/>
        </w:rPr>
        <w:t>on</w:t>
      </w:r>
      <w:r>
        <w:rPr>
          <w:spacing w:val="-8"/>
          <w:sz w:val="20"/>
        </w:rPr>
        <w:t> </w:t>
      </w:r>
      <w:r>
        <w:rPr>
          <w:sz w:val="20"/>
        </w:rPr>
        <w:t>how to proceed with the dispute were also more likely to be satisfied with the overall Acas service provided</w:t>
      </w:r>
    </w:p>
    <w:p>
      <w:pPr>
        <w:pStyle w:val="ListParagraph"/>
        <w:numPr>
          <w:ilvl w:val="3"/>
          <w:numId w:val="27"/>
        </w:numPr>
        <w:tabs>
          <w:tab w:pos="2058" w:val="left" w:leader="none"/>
        </w:tabs>
        <w:spacing w:line="237" w:lineRule="auto" w:before="0" w:after="0"/>
        <w:ind w:left="2057" w:right="1474" w:hanging="360"/>
        <w:jc w:val="both"/>
        <w:rPr>
          <w:sz w:val="20"/>
        </w:rPr>
      </w:pPr>
      <w:r>
        <w:rPr>
          <w:i/>
          <w:sz w:val="20"/>
        </w:rPr>
        <w:t>Delay in initial contact from Acas</w:t>
      </w:r>
      <w:r>
        <w:rPr>
          <w:sz w:val="20"/>
        </w:rPr>
        <w:t>: Those who had to wait more than two working days to be</w:t>
      </w:r>
      <w:r>
        <w:rPr>
          <w:spacing w:val="-1"/>
          <w:sz w:val="20"/>
        </w:rPr>
        <w:t> </w:t>
      </w:r>
      <w:r>
        <w:rPr>
          <w:sz w:val="20"/>
        </w:rPr>
        <w:t>contacted by Acas after submitting their EC notification form were less likely to report overall satisfaction with the service.</w:t>
      </w:r>
    </w:p>
    <w:p>
      <w:pPr>
        <w:pStyle w:val="BodyText"/>
        <w:rPr>
          <w:sz w:val="24"/>
        </w:rPr>
      </w:pPr>
    </w:p>
    <w:p>
      <w:pPr>
        <w:pStyle w:val="BodyText"/>
        <w:spacing w:before="5"/>
        <w:rPr>
          <w:sz w:val="29"/>
        </w:rPr>
      </w:pPr>
    </w:p>
    <w:p>
      <w:pPr>
        <w:pStyle w:val="Heading3"/>
        <w:ind w:right="1476"/>
      </w:pPr>
      <w:r>
        <w:rPr/>
        <w:t>Figure 18. Logistic regression results of internal factors determining claimant satisfaction</w:t>
      </w:r>
    </w:p>
    <w:p>
      <w:pPr>
        <w:spacing w:line="235" w:lineRule="auto" w:before="67"/>
        <w:ind w:left="5352" w:right="1750" w:firstLine="0"/>
        <w:jc w:val="left"/>
        <w:rPr>
          <w:b/>
          <w:i/>
          <w:sz w:val="14"/>
        </w:rPr>
      </w:pPr>
      <w:r>
        <w:rPr>
          <w:b/>
          <w:i/>
          <w:color w:val="74AA50"/>
          <w:sz w:val="14"/>
        </w:rPr>
        <w:t>Claimant</w:t>
      </w:r>
      <w:r>
        <w:rPr>
          <w:b/>
          <w:i/>
          <w:color w:val="74AA50"/>
          <w:spacing w:val="-4"/>
          <w:sz w:val="14"/>
        </w:rPr>
        <w:t> </w:t>
      </w:r>
      <w:r>
        <w:rPr>
          <w:b/>
          <w:i/>
          <w:color w:val="74AA50"/>
          <w:sz w:val="14"/>
          <w:u w:val="single" w:color="74AA50"/>
        </w:rPr>
        <w:t>more</w:t>
      </w:r>
      <w:r>
        <w:rPr>
          <w:b/>
          <w:i/>
          <w:color w:val="74AA50"/>
          <w:sz w:val="14"/>
        </w:rPr>
        <w:t> likely to have been</w:t>
      </w:r>
      <w:r>
        <w:rPr>
          <w:b/>
          <w:i/>
          <w:color w:val="74AA50"/>
          <w:spacing w:val="-2"/>
          <w:sz w:val="14"/>
        </w:rPr>
        <w:t> </w:t>
      </w:r>
      <w:r>
        <w:rPr>
          <w:b/>
          <w:i/>
          <w:color w:val="74AA50"/>
          <w:sz w:val="14"/>
        </w:rPr>
        <w:t>satisfied with</w:t>
      </w:r>
      <w:r>
        <w:rPr>
          <w:b/>
          <w:i/>
          <w:color w:val="74AA50"/>
          <w:sz w:val="14"/>
        </w:rPr>
        <w:t> the overall service from Acas</w:t>
      </w:r>
    </w:p>
    <w:p>
      <w:pPr>
        <w:spacing w:line="235" w:lineRule="auto" w:before="100"/>
        <w:ind w:left="1808" w:right="6016" w:firstLine="76"/>
        <w:jc w:val="right"/>
        <w:rPr>
          <w:sz w:val="14"/>
        </w:rPr>
      </w:pPr>
      <w:r>
        <w:rPr/>
        <w:pict>
          <v:group style="position:absolute;margin-left:224.310303pt;margin-top:4.538090pt;width:228.6pt;height:130.35pt;mso-position-horizontal-relative:page;mso-position-vertical-relative:paragraph;z-index:-18109952" id="docshapegroup37" coordorigin="4486,91" coordsize="4572,2607">
            <v:rect style="position:absolute;left:4486;top:2307;width:1255;height:269" id="docshape38" filled="true" fillcolor="#ff585d" stroked="false">
              <v:fill type="solid"/>
            </v:rect>
            <v:shape style="position:absolute;left:5741;top:224;width:3317;height:1828" id="docshape39" coordorigin="5741,225" coordsize="3317,1828" path="m6983,1784l5741,1784,5741,2052,6983,2052,6983,1784xm7137,1260l5741,1260,5741,1528,7137,1528,7137,1260xm7585,736l5741,736,5741,1004,7585,1004,7585,736xm9058,225l5741,225,5741,480,9058,480,9058,225xe" filled="true" fillcolor="#74aa50" stroked="false">
              <v:path arrowok="t"/>
              <v:fill type="solid"/>
            </v:shape>
            <v:line style="position:absolute" from="5735,2697" to="5735,91" stroked="true" strokeweight=".640928pt" strokecolor="#ddddde">
              <v:stroke dashstyle="solid"/>
            </v:line>
            <w10:wrap type="none"/>
          </v:group>
        </w:pict>
      </w:r>
      <w:r>
        <w:rPr>
          <w:sz w:val="14"/>
        </w:rPr>
        <w:t>Information</w:t>
      </w:r>
      <w:r>
        <w:rPr>
          <w:spacing w:val="-4"/>
          <w:sz w:val="14"/>
        </w:rPr>
        <w:t> </w:t>
      </w:r>
      <w:r>
        <w:rPr>
          <w:sz w:val="14"/>
        </w:rPr>
        <w:t>provided</w:t>
      </w:r>
      <w:r>
        <w:rPr>
          <w:spacing w:val="-1"/>
          <w:sz w:val="14"/>
        </w:rPr>
        <w:t> </w:t>
      </w:r>
      <w:r>
        <w:rPr>
          <w:sz w:val="14"/>
        </w:rPr>
        <w:t>by Acas</w:t>
      </w:r>
      <w:r>
        <w:rPr>
          <w:spacing w:val="-16"/>
          <w:sz w:val="14"/>
        </w:rPr>
        <w:t> </w:t>
      </w:r>
      <w:r>
        <w:rPr>
          <w:sz w:val="14"/>
        </w:rPr>
        <w:t>at</w:t>
      </w:r>
      <w:r>
        <w:rPr>
          <w:spacing w:val="-10"/>
          <w:sz w:val="14"/>
        </w:rPr>
        <w:t> </w:t>
      </w:r>
      <w:r>
        <w:rPr>
          <w:sz w:val="14"/>
        </w:rPr>
        <w:t>the EC Form submission</w:t>
      </w:r>
      <w:r>
        <w:rPr>
          <w:spacing w:val="-5"/>
          <w:sz w:val="14"/>
        </w:rPr>
        <w:t> </w:t>
      </w:r>
      <w:r>
        <w:rPr>
          <w:sz w:val="14"/>
        </w:rPr>
        <w:t>stage</w:t>
      </w:r>
      <w:r>
        <w:rPr>
          <w:spacing w:val="2"/>
          <w:sz w:val="14"/>
        </w:rPr>
        <w:t> </w:t>
      </w:r>
      <w:r>
        <w:rPr>
          <w:sz w:val="14"/>
        </w:rPr>
        <w:t>was helpful</w:t>
      </w:r>
      <w:r>
        <w:rPr>
          <w:spacing w:val="-5"/>
          <w:sz w:val="14"/>
        </w:rPr>
        <w:t> </w:t>
      </w:r>
      <w:r>
        <w:rPr>
          <w:sz w:val="14"/>
        </w:rPr>
        <w:t>in</w:t>
      </w:r>
      <w:r>
        <w:rPr>
          <w:spacing w:val="-4"/>
          <w:sz w:val="14"/>
        </w:rPr>
        <w:t> </w:t>
      </w:r>
      <w:r>
        <w:rPr>
          <w:sz w:val="14"/>
        </w:rPr>
        <w:t>explaining</w:t>
      </w:r>
      <w:r>
        <w:rPr>
          <w:spacing w:val="-1"/>
          <w:sz w:val="14"/>
        </w:rPr>
        <w:t> </w:t>
      </w:r>
      <w:r>
        <w:rPr>
          <w:spacing w:val="-5"/>
          <w:sz w:val="14"/>
        </w:rPr>
        <w:t>the</w:t>
      </w:r>
    </w:p>
    <w:p>
      <w:pPr>
        <w:spacing w:line="166" w:lineRule="exact" w:before="0"/>
        <w:ind w:left="0" w:right="6015" w:firstLine="0"/>
        <w:jc w:val="right"/>
        <w:rPr>
          <w:sz w:val="14"/>
        </w:rPr>
      </w:pPr>
      <w:r>
        <w:rPr>
          <w:spacing w:val="-2"/>
          <w:sz w:val="14"/>
        </w:rPr>
        <w:t>process</w:t>
      </w:r>
    </w:p>
    <w:p>
      <w:pPr>
        <w:spacing w:line="235" w:lineRule="auto" w:before="112"/>
        <w:ind w:left="2230" w:right="5980" w:hanging="602"/>
        <w:jc w:val="right"/>
        <w:rPr>
          <w:sz w:val="14"/>
        </w:rPr>
      </w:pPr>
      <w:r>
        <w:rPr>
          <w:sz w:val="14"/>
        </w:rPr>
        <w:t>Acas involvement</w:t>
      </w:r>
      <w:r>
        <w:rPr>
          <w:spacing w:val="-5"/>
          <w:sz w:val="14"/>
        </w:rPr>
        <w:t> </w:t>
      </w:r>
      <w:r>
        <w:rPr>
          <w:sz w:val="14"/>
        </w:rPr>
        <w:t>was important</w:t>
      </w:r>
      <w:r>
        <w:rPr>
          <w:spacing w:val="-5"/>
          <w:sz w:val="14"/>
        </w:rPr>
        <w:t> </w:t>
      </w:r>
      <w:r>
        <w:rPr>
          <w:sz w:val="14"/>
        </w:rPr>
        <w:t>in helping move parties</w:t>
      </w:r>
      <w:r>
        <w:rPr>
          <w:spacing w:val="-2"/>
          <w:sz w:val="14"/>
        </w:rPr>
        <w:t> </w:t>
      </w:r>
      <w:r>
        <w:rPr>
          <w:sz w:val="14"/>
        </w:rPr>
        <w:t>closer</w:t>
      </w:r>
      <w:r>
        <w:rPr>
          <w:spacing w:val="-1"/>
          <w:sz w:val="14"/>
        </w:rPr>
        <w:t> </w:t>
      </w:r>
      <w:r>
        <w:rPr>
          <w:sz w:val="14"/>
        </w:rPr>
        <w:t>towards</w:t>
      </w:r>
      <w:r>
        <w:rPr>
          <w:spacing w:val="-2"/>
          <w:sz w:val="14"/>
        </w:rPr>
        <w:t> </w:t>
      </w:r>
      <w:r>
        <w:rPr>
          <w:sz w:val="14"/>
        </w:rPr>
        <w:t>resolving</w:t>
      </w:r>
      <w:r>
        <w:rPr>
          <w:spacing w:val="-3"/>
          <w:sz w:val="14"/>
        </w:rPr>
        <w:t> </w:t>
      </w:r>
      <w:r>
        <w:rPr>
          <w:sz w:val="14"/>
        </w:rPr>
        <w:t>the</w:t>
      </w:r>
      <w:r>
        <w:rPr>
          <w:spacing w:val="1"/>
          <w:sz w:val="14"/>
        </w:rPr>
        <w:t> </w:t>
      </w:r>
      <w:r>
        <w:rPr>
          <w:spacing w:val="-4"/>
          <w:sz w:val="14"/>
        </w:rPr>
        <w:t>case</w:t>
      </w:r>
    </w:p>
    <w:p>
      <w:pPr>
        <w:pStyle w:val="BodyText"/>
        <w:rPr>
          <w:sz w:val="18"/>
        </w:rPr>
      </w:pPr>
    </w:p>
    <w:p>
      <w:pPr>
        <w:spacing w:line="235" w:lineRule="auto" w:before="0"/>
        <w:ind w:left="2575" w:right="5980" w:hanging="833"/>
        <w:jc w:val="right"/>
        <w:rPr>
          <w:sz w:val="14"/>
        </w:rPr>
      </w:pPr>
      <w:r>
        <w:rPr>
          <w:sz w:val="14"/>
        </w:rPr>
        <w:t>When</w:t>
      </w:r>
      <w:r>
        <w:rPr>
          <w:spacing w:val="-4"/>
          <w:sz w:val="14"/>
        </w:rPr>
        <w:t> </w:t>
      </w:r>
      <w:r>
        <w:rPr>
          <w:sz w:val="14"/>
        </w:rPr>
        <w:t>the Acas support</w:t>
      </w:r>
      <w:r>
        <w:rPr>
          <w:spacing w:val="-10"/>
          <w:sz w:val="14"/>
        </w:rPr>
        <w:t> </w:t>
      </w:r>
      <w:r>
        <w:rPr>
          <w:sz w:val="14"/>
        </w:rPr>
        <w:t>officer discussed</w:t>
      </w:r>
      <w:r>
        <w:rPr>
          <w:spacing w:val="-2"/>
          <w:sz w:val="14"/>
        </w:rPr>
        <w:t> </w:t>
      </w:r>
      <w:r>
        <w:rPr>
          <w:sz w:val="14"/>
        </w:rPr>
        <w:t>the EC service with</w:t>
      </w:r>
      <w:r>
        <w:rPr>
          <w:spacing w:val="-4"/>
          <w:sz w:val="14"/>
        </w:rPr>
        <w:t> </w:t>
      </w:r>
      <w:r>
        <w:rPr>
          <w:sz w:val="14"/>
        </w:rPr>
        <w:t>me,</w:t>
      </w:r>
      <w:r>
        <w:rPr>
          <w:spacing w:val="-5"/>
          <w:sz w:val="14"/>
        </w:rPr>
        <w:t> </w:t>
      </w:r>
      <w:r>
        <w:rPr>
          <w:sz w:val="14"/>
        </w:rPr>
        <w:t>it</w:t>
      </w:r>
      <w:r>
        <w:rPr>
          <w:spacing w:val="4"/>
          <w:sz w:val="14"/>
        </w:rPr>
        <w:t> </w:t>
      </w:r>
      <w:r>
        <w:rPr>
          <w:sz w:val="14"/>
        </w:rPr>
        <w:t>sounded</w:t>
      </w:r>
      <w:r>
        <w:rPr>
          <w:spacing w:val="-2"/>
          <w:sz w:val="14"/>
        </w:rPr>
        <w:t> suitable</w:t>
      </w:r>
    </w:p>
    <w:p>
      <w:pPr>
        <w:pStyle w:val="BodyText"/>
        <w:spacing w:before="5"/>
        <w:rPr>
          <w:sz w:val="16"/>
        </w:rPr>
      </w:pPr>
    </w:p>
    <w:p>
      <w:pPr>
        <w:spacing w:line="235" w:lineRule="auto" w:before="0"/>
        <w:ind w:left="2115" w:right="5978" w:hanging="487"/>
        <w:jc w:val="right"/>
        <w:rPr>
          <w:sz w:val="14"/>
        </w:rPr>
      </w:pPr>
      <w:r>
        <w:rPr>
          <w:sz w:val="14"/>
        </w:rPr>
        <w:t>Acas involvement</w:t>
      </w:r>
      <w:r>
        <w:rPr>
          <w:spacing w:val="-9"/>
          <w:sz w:val="14"/>
        </w:rPr>
        <w:t> </w:t>
      </w:r>
      <w:r>
        <w:rPr>
          <w:sz w:val="14"/>
        </w:rPr>
        <w:t>was important</w:t>
      </w:r>
      <w:r>
        <w:rPr>
          <w:spacing w:val="-9"/>
          <w:sz w:val="14"/>
        </w:rPr>
        <w:t> </w:t>
      </w:r>
      <w:r>
        <w:rPr>
          <w:sz w:val="14"/>
        </w:rPr>
        <w:t>in</w:t>
      </w:r>
      <w:r>
        <w:rPr>
          <w:spacing w:val="-2"/>
          <w:sz w:val="14"/>
        </w:rPr>
        <w:t> </w:t>
      </w:r>
      <w:r>
        <w:rPr>
          <w:sz w:val="14"/>
        </w:rPr>
        <w:t>helping me to decide</w:t>
      </w:r>
      <w:r>
        <w:rPr>
          <w:spacing w:val="-3"/>
          <w:sz w:val="14"/>
        </w:rPr>
        <w:t> </w:t>
      </w:r>
      <w:r>
        <w:rPr>
          <w:sz w:val="14"/>
        </w:rPr>
        <w:t>on</w:t>
      </w:r>
      <w:r>
        <w:rPr>
          <w:spacing w:val="-9"/>
          <w:sz w:val="14"/>
        </w:rPr>
        <w:t> </w:t>
      </w:r>
      <w:r>
        <w:rPr>
          <w:sz w:val="14"/>
        </w:rPr>
        <w:t>how</w:t>
      </w:r>
      <w:r>
        <w:rPr>
          <w:spacing w:val="-8"/>
          <w:sz w:val="14"/>
        </w:rPr>
        <w:t> </w:t>
      </w:r>
      <w:r>
        <w:rPr>
          <w:sz w:val="14"/>
        </w:rPr>
        <w:t>to</w:t>
      </w:r>
      <w:r>
        <w:rPr>
          <w:spacing w:val="10"/>
          <w:sz w:val="14"/>
        </w:rPr>
        <w:t> </w:t>
      </w:r>
      <w:r>
        <w:rPr>
          <w:sz w:val="14"/>
        </w:rPr>
        <w:t>proceed</w:t>
      </w:r>
      <w:r>
        <w:rPr>
          <w:spacing w:val="-6"/>
          <w:sz w:val="14"/>
        </w:rPr>
        <w:t> </w:t>
      </w:r>
      <w:r>
        <w:rPr>
          <w:sz w:val="14"/>
        </w:rPr>
        <w:t>with</w:t>
      </w:r>
      <w:r>
        <w:rPr>
          <w:spacing w:val="-8"/>
          <w:sz w:val="14"/>
        </w:rPr>
        <w:t> </w:t>
      </w:r>
      <w:r>
        <w:rPr>
          <w:sz w:val="14"/>
        </w:rPr>
        <w:t>this</w:t>
      </w:r>
      <w:r>
        <w:rPr>
          <w:spacing w:val="-5"/>
          <w:sz w:val="14"/>
        </w:rPr>
        <w:t> </w:t>
      </w:r>
      <w:r>
        <w:rPr>
          <w:spacing w:val="-2"/>
          <w:sz w:val="14"/>
        </w:rPr>
        <w:t>dispute</w:t>
      </w:r>
    </w:p>
    <w:p>
      <w:pPr>
        <w:pStyle w:val="BodyText"/>
        <w:spacing w:before="1"/>
        <w:rPr>
          <w:sz w:val="10"/>
        </w:rPr>
      </w:pPr>
    </w:p>
    <w:p>
      <w:pPr>
        <w:spacing w:after="0"/>
        <w:rPr>
          <w:sz w:val="10"/>
        </w:rPr>
        <w:sectPr>
          <w:pgSz w:w="11910" w:h="16840"/>
          <w:pgMar w:header="0" w:footer="996" w:top="1340" w:bottom="1180" w:left="460" w:right="320"/>
        </w:sectPr>
      </w:pPr>
    </w:p>
    <w:p>
      <w:pPr>
        <w:pStyle w:val="BodyText"/>
        <w:rPr>
          <w:sz w:val="16"/>
        </w:rPr>
      </w:pPr>
    </w:p>
    <w:p>
      <w:pPr>
        <w:pStyle w:val="BodyText"/>
        <w:rPr>
          <w:sz w:val="16"/>
        </w:rPr>
      </w:pPr>
    </w:p>
    <w:p>
      <w:pPr>
        <w:pStyle w:val="BodyText"/>
        <w:spacing w:before="2"/>
        <w:rPr>
          <w:sz w:val="12"/>
        </w:rPr>
      </w:pPr>
    </w:p>
    <w:p>
      <w:pPr>
        <w:spacing w:line="235" w:lineRule="auto" w:before="1"/>
        <w:ind w:left="2414" w:right="0" w:hanging="628"/>
        <w:jc w:val="left"/>
        <w:rPr>
          <w:b/>
          <w:i/>
          <w:sz w:val="14"/>
        </w:rPr>
      </w:pPr>
      <w:r>
        <w:rPr>
          <w:b/>
          <w:i/>
          <w:color w:val="FF585D"/>
          <w:sz w:val="14"/>
        </w:rPr>
        <w:t>Claimant </w:t>
      </w:r>
      <w:r>
        <w:rPr>
          <w:b/>
          <w:i/>
          <w:color w:val="FF585D"/>
          <w:sz w:val="14"/>
          <w:u w:val="single" w:color="FF585D"/>
        </w:rPr>
        <w:t>less</w:t>
      </w:r>
      <w:r>
        <w:rPr>
          <w:b/>
          <w:i/>
          <w:color w:val="FF585D"/>
          <w:sz w:val="14"/>
        </w:rPr>
        <w:t> likely to have been satisfied</w:t>
      </w:r>
      <w:r>
        <w:rPr>
          <w:b/>
          <w:i/>
          <w:color w:val="FF585D"/>
          <w:sz w:val="14"/>
        </w:rPr>
        <w:t> with</w:t>
      </w:r>
      <w:r>
        <w:rPr>
          <w:b/>
          <w:i/>
          <w:color w:val="FF585D"/>
          <w:spacing w:val="14"/>
          <w:sz w:val="14"/>
        </w:rPr>
        <w:t> </w:t>
      </w:r>
      <w:r>
        <w:rPr>
          <w:b/>
          <w:i/>
          <w:color w:val="FF585D"/>
          <w:sz w:val="14"/>
        </w:rPr>
        <w:t>the</w:t>
      </w:r>
      <w:r>
        <w:rPr>
          <w:b/>
          <w:i/>
          <w:color w:val="FF585D"/>
          <w:spacing w:val="7"/>
          <w:sz w:val="14"/>
        </w:rPr>
        <w:t> </w:t>
      </w:r>
      <w:r>
        <w:rPr>
          <w:b/>
          <w:i/>
          <w:color w:val="FF585D"/>
          <w:sz w:val="14"/>
        </w:rPr>
        <w:t>overall service</w:t>
      </w:r>
      <w:r>
        <w:rPr>
          <w:b/>
          <w:i/>
          <w:color w:val="FF585D"/>
          <w:spacing w:val="7"/>
          <w:sz w:val="14"/>
        </w:rPr>
        <w:t> </w:t>
      </w:r>
      <w:r>
        <w:rPr>
          <w:b/>
          <w:i/>
          <w:color w:val="FF585D"/>
          <w:sz w:val="14"/>
        </w:rPr>
        <w:t>from</w:t>
      </w:r>
      <w:r>
        <w:rPr>
          <w:b/>
          <w:i/>
          <w:color w:val="FF585D"/>
          <w:spacing w:val="3"/>
          <w:sz w:val="14"/>
        </w:rPr>
        <w:t> </w:t>
      </w:r>
      <w:r>
        <w:rPr>
          <w:b/>
          <w:i/>
          <w:color w:val="FF585D"/>
          <w:spacing w:val="-4"/>
          <w:sz w:val="14"/>
        </w:rPr>
        <w:t>Acas</w:t>
      </w:r>
    </w:p>
    <w:p>
      <w:pPr>
        <w:spacing w:line="235" w:lineRule="auto" w:before="104"/>
        <w:ind w:left="194" w:right="1484" w:firstLine="0"/>
        <w:jc w:val="left"/>
        <w:rPr>
          <w:sz w:val="14"/>
        </w:rPr>
      </w:pPr>
      <w:r>
        <w:rPr/>
        <w:br w:type="column"/>
      </w:r>
      <w:r>
        <w:rPr>
          <w:sz w:val="14"/>
        </w:rPr>
        <w:t>After the notification</w:t>
      </w:r>
      <w:r>
        <w:rPr>
          <w:spacing w:val="-3"/>
          <w:sz w:val="14"/>
        </w:rPr>
        <w:t> </w:t>
      </w:r>
      <w:r>
        <w:rPr>
          <w:sz w:val="14"/>
        </w:rPr>
        <w:t>was submitted,</w:t>
      </w:r>
      <w:r>
        <w:rPr>
          <w:spacing w:val="-3"/>
          <w:sz w:val="14"/>
        </w:rPr>
        <w:t> </w:t>
      </w:r>
      <w:r>
        <w:rPr>
          <w:sz w:val="14"/>
        </w:rPr>
        <w:t>established</w:t>
      </w:r>
      <w:r>
        <w:rPr>
          <w:spacing w:val="-1"/>
          <w:sz w:val="14"/>
        </w:rPr>
        <w:t> </w:t>
      </w:r>
      <w:r>
        <w:rPr>
          <w:sz w:val="14"/>
        </w:rPr>
        <w:t>contact with someone at Acas after more than 2 working days</w:t>
      </w:r>
    </w:p>
    <w:p>
      <w:pPr>
        <w:spacing w:after="0" w:line="235" w:lineRule="auto"/>
        <w:jc w:val="left"/>
        <w:rPr>
          <w:sz w:val="14"/>
        </w:rPr>
        <w:sectPr>
          <w:type w:val="continuous"/>
          <w:pgSz w:w="11910" w:h="16840"/>
          <w:pgMar w:header="0" w:footer="996" w:top="560" w:bottom="280" w:left="460" w:right="320"/>
          <w:cols w:num="2" w:equalWidth="0">
            <w:col w:w="5165" w:space="40"/>
            <w:col w:w="5925"/>
          </w:cols>
        </w:sectPr>
      </w:pPr>
    </w:p>
    <w:p>
      <w:pPr>
        <w:pStyle w:val="Heading4"/>
        <w:spacing w:line="243" w:lineRule="exact" w:before="82"/>
        <w:jc w:val="left"/>
        <w:rPr>
          <w:i/>
        </w:rPr>
      </w:pPr>
      <w:bookmarkStart w:name="Among claimants – external factors" w:id="112"/>
      <w:bookmarkEnd w:id="112"/>
      <w:r>
        <w:rPr>
          <w:b w:val="0"/>
          <w:i w:val="0"/>
        </w:rPr>
      </w:r>
      <w:r>
        <w:rPr>
          <w:i/>
        </w:rPr>
        <w:t>Among</w:t>
      </w:r>
      <w:r>
        <w:rPr>
          <w:i/>
          <w:spacing w:val="-4"/>
        </w:rPr>
        <w:t> </w:t>
      </w:r>
      <w:r>
        <w:rPr>
          <w:i/>
        </w:rPr>
        <w:t>claimants</w:t>
      </w:r>
      <w:r>
        <w:rPr>
          <w:i/>
          <w:spacing w:val="-5"/>
        </w:rPr>
        <w:t> </w:t>
      </w:r>
      <w:r>
        <w:rPr>
          <w:i/>
        </w:rPr>
        <w:t>–</w:t>
      </w:r>
      <w:r>
        <w:rPr>
          <w:i/>
          <w:spacing w:val="-5"/>
        </w:rPr>
        <w:t> </w:t>
      </w:r>
      <w:r>
        <w:rPr>
          <w:i/>
        </w:rPr>
        <w:t>external</w:t>
      </w:r>
      <w:r>
        <w:rPr>
          <w:i/>
          <w:spacing w:val="-5"/>
        </w:rPr>
        <w:t> </w:t>
      </w:r>
      <w:r>
        <w:rPr>
          <w:i/>
          <w:spacing w:val="-2"/>
        </w:rPr>
        <w:t>factors</w:t>
      </w:r>
    </w:p>
    <w:p>
      <w:pPr>
        <w:pStyle w:val="BodyText"/>
        <w:ind w:left="1337" w:right="1472"/>
      </w:pPr>
      <w:r>
        <w:rPr/>
        <w:t>The independent external variables which were found to be determinants of whether</w:t>
      </w:r>
      <w:r>
        <w:rPr>
          <w:spacing w:val="-3"/>
        </w:rPr>
        <w:t> </w:t>
      </w:r>
      <w:r>
        <w:rPr/>
        <w:t>claimants</w:t>
      </w:r>
      <w:r>
        <w:rPr>
          <w:spacing w:val="-4"/>
        </w:rPr>
        <w:t> </w:t>
      </w:r>
      <w:r>
        <w:rPr/>
        <w:t>were</w:t>
      </w:r>
      <w:r>
        <w:rPr>
          <w:spacing w:val="-3"/>
        </w:rPr>
        <w:t> </w:t>
      </w:r>
      <w:r>
        <w:rPr/>
        <w:t>satisfied</w:t>
      </w:r>
      <w:r>
        <w:rPr>
          <w:spacing w:val="-3"/>
        </w:rPr>
        <w:t> </w:t>
      </w:r>
      <w:r>
        <w:rPr/>
        <w:t>with</w:t>
      </w:r>
      <w:r>
        <w:rPr>
          <w:spacing w:val="-4"/>
        </w:rPr>
        <w:t> </w:t>
      </w:r>
      <w:r>
        <w:rPr/>
        <w:t>the</w:t>
      </w:r>
      <w:r>
        <w:rPr>
          <w:spacing w:val="-3"/>
        </w:rPr>
        <w:t> </w:t>
      </w:r>
      <w:r>
        <w:rPr/>
        <w:t>overall</w:t>
      </w:r>
      <w:r>
        <w:rPr>
          <w:spacing w:val="-4"/>
        </w:rPr>
        <w:t> </w:t>
      </w:r>
      <w:r>
        <w:rPr/>
        <w:t>service</w:t>
      </w:r>
      <w:r>
        <w:rPr>
          <w:spacing w:val="-3"/>
        </w:rPr>
        <w:t> </w:t>
      </w:r>
      <w:r>
        <w:rPr/>
        <w:t>they</w:t>
      </w:r>
      <w:r>
        <w:rPr>
          <w:spacing w:val="-3"/>
        </w:rPr>
        <w:t> </w:t>
      </w:r>
      <w:r>
        <w:rPr/>
        <w:t>received</w:t>
      </w:r>
      <w:r>
        <w:rPr>
          <w:spacing w:val="-3"/>
        </w:rPr>
        <w:t> </w:t>
      </w:r>
      <w:r>
        <w:rPr/>
        <w:t>from</w:t>
      </w:r>
      <w:r>
        <w:rPr>
          <w:spacing w:val="-3"/>
        </w:rPr>
        <w:t> </w:t>
      </w:r>
      <w:r>
        <w:rPr/>
        <w:t>Acas are listed below in order of predictive strength (See Figure 19):</w:t>
      </w:r>
    </w:p>
    <w:p>
      <w:pPr>
        <w:pStyle w:val="BodyText"/>
        <w:spacing w:before="12"/>
        <w:rPr>
          <w:sz w:val="19"/>
        </w:rPr>
      </w:pPr>
    </w:p>
    <w:p>
      <w:pPr>
        <w:pStyle w:val="ListParagraph"/>
        <w:numPr>
          <w:ilvl w:val="3"/>
          <w:numId w:val="27"/>
        </w:numPr>
        <w:tabs>
          <w:tab w:pos="2058" w:val="left" w:leader="none"/>
        </w:tabs>
        <w:spacing w:line="240" w:lineRule="auto" w:before="0" w:after="0"/>
        <w:ind w:left="2057" w:right="1471" w:hanging="360"/>
        <w:jc w:val="both"/>
        <w:rPr>
          <w:sz w:val="20"/>
        </w:rPr>
      </w:pPr>
      <w:r>
        <w:rPr>
          <w:i/>
          <w:sz w:val="20"/>
        </w:rPr>
        <w:t>Motivation for entering EC: </w:t>
      </w:r>
      <w:r>
        <w:rPr>
          <w:sz w:val="20"/>
        </w:rPr>
        <w:t>The strongest positive correlation with satisfaction in this model was found among those claimants who described their reason for entering EC as ‘Had to, in order to submit an ET claim, but I was</w:t>
      </w:r>
      <w:r>
        <w:rPr>
          <w:spacing w:val="-1"/>
          <w:sz w:val="20"/>
        </w:rPr>
        <w:t> </w:t>
      </w:r>
      <w:r>
        <w:rPr>
          <w:sz w:val="20"/>
        </w:rPr>
        <w:t>also keen to</w:t>
      </w:r>
      <w:r>
        <w:rPr>
          <w:spacing w:val="-1"/>
          <w:sz w:val="20"/>
        </w:rPr>
        <w:t> </w:t>
      </w:r>
      <w:r>
        <w:rPr>
          <w:sz w:val="20"/>
        </w:rPr>
        <w:t>see if a</w:t>
      </w:r>
      <w:r>
        <w:rPr>
          <w:spacing w:val="-1"/>
          <w:sz w:val="20"/>
        </w:rPr>
        <w:t> </w:t>
      </w:r>
      <w:r>
        <w:rPr>
          <w:sz w:val="20"/>
        </w:rPr>
        <w:t>settlement</w:t>
      </w:r>
      <w:r>
        <w:rPr>
          <w:spacing w:val="-1"/>
          <w:sz w:val="20"/>
        </w:rPr>
        <w:t> </w:t>
      </w:r>
      <w:r>
        <w:rPr>
          <w:sz w:val="20"/>
        </w:rPr>
        <w:t>could be</w:t>
      </w:r>
      <w:r>
        <w:rPr>
          <w:spacing w:val="-3"/>
          <w:sz w:val="20"/>
        </w:rPr>
        <w:t> </w:t>
      </w:r>
      <w:r>
        <w:rPr>
          <w:sz w:val="20"/>
        </w:rPr>
        <w:t>reached beforehand’. Those who entered EC with the sole aim of reaching a settlement (rather than taking their employer to a Tribunal) were also more likely to be satisfied, although this was the third-strongest factor in the model.</w:t>
      </w:r>
    </w:p>
    <w:p>
      <w:pPr>
        <w:pStyle w:val="ListParagraph"/>
        <w:numPr>
          <w:ilvl w:val="3"/>
          <w:numId w:val="27"/>
        </w:numPr>
        <w:tabs>
          <w:tab w:pos="2058" w:val="left" w:leader="none"/>
        </w:tabs>
        <w:spacing w:line="240" w:lineRule="auto" w:before="0" w:after="0"/>
        <w:ind w:left="2057" w:right="1477" w:hanging="360"/>
        <w:jc w:val="both"/>
        <w:rPr>
          <w:sz w:val="20"/>
        </w:rPr>
      </w:pPr>
      <w:r>
        <w:rPr>
          <w:i/>
          <w:sz w:val="20"/>
        </w:rPr>
        <w:t>Sector</w:t>
      </w:r>
      <w:r>
        <w:rPr>
          <w:i/>
          <w:spacing w:val="-3"/>
          <w:sz w:val="20"/>
        </w:rPr>
        <w:t> </w:t>
      </w:r>
      <w:r>
        <w:rPr>
          <w:i/>
          <w:sz w:val="20"/>
        </w:rPr>
        <w:t>of</w:t>
      </w:r>
      <w:r>
        <w:rPr>
          <w:i/>
          <w:spacing w:val="-3"/>
          <w:sz w:val="20"/>
        </w:rPr>
        <w:t> </w:t>
      </w:r>
      <w:r>
        <w:rPr>
          <w:i/>
          <w:sz w:val="20"/>
        </w:rPr>
        <w:t>employment:</w:t>
      </w:r>
      <w:r>
        <w:rPr>
          <w:i/>
          <w:spacing w:val="-4"/>
          <w:sz w:val="20"/>
        </w:rPr>
        <w:t> </w:t>
      </w:r>
      <w:r>
        <w:rPr>
          <w:sz w:val="20"/>
        </w:rPr>
        <w:t>Being</w:t>
      </w:r>
      <w:r>
        <w:rPr>
          <w:spacing w:val="-3"/>
          <w:sz w:val="20"/>
        </w:rPr>
        <w:t> </w:t>
      </w:r>
      <w:r>
        <w:rPr>
          <w:sz w:val="20"/>
        </w:rPr>
        <w:t>employed</w:t>
      </w:r>
      <w:r>
        <w:rPr>
          <w:spacing w:val="-3"/>
          <w:sz w:val="20"/>
        </w:rPr>
        <w:t> </w:t>
      </w:r>
      <w:r>
        <w:rPr>
          <w:sz w:val="20"/>
        </w:rPr>
        <w:t>in</w:t>
      </w:r>
      <w:r>
        <w:rPr>
          <w:spacing w:val="-2"/>
          <w:sz w:val="20"/>
        </w:rPr>
        <w:t> </w:t>
      </w:r>
      <w:r>
        <w:rPr>
          <w:sz w:val="20"/>
        </w:rPr>
        <w:t>the</w:t>
      </w:r>
      <w:r>
        <w:rPr>
          <w:spacing w:val="-4"/>
          <w:sz w:val="20"/>
        </w:rPr>
        <w:t> </w:t>
      </w:r>
      <w:r>
        <w:rPr>
          <w:sz w:val="20"/>
        </w:rPr>
        <w:t>private</w:t>
      </w:r>
      <w:r>
        <w:rPr>
          <w:spacing w:val="-3"/>
          <w:sz w:val="20"/>
        </w:rPr>
        <w:t> </w:t>
      </w:r>
      <w:r>
        <w:rPr>
          <w:sz w:val="20"/>
        </w:rPr>
        <w:t>sector</w:t>
      </w:r>
      <w:r>
        <w:rPr>
          <w:spacing w:val="-3"/>
          <w:sz w:val="20"/>
        </w:rPr>
        <w:t> </w:t>
      </w:r>
      <w:r>
        <w:rPr>
          <w:sz w:val="20"/>
        </w:rPr>
        <w:t>was</w:t>
      </w:r>
      <w:r>
        <w:rPr>
          <w:spacing w:val="-3"/>
          <w:sz w:val="20"/>
        </w:rPr>
        <w:t> </w:t>
      </w:r>
      <w:r>
        <w:rPr>
          <w:sz w:val="20"/>
        </w:rPr>
        <w:t>positively associated with an increased likelihood of being satisfied with the service.</w:t>
      </w:r>
    </w:p>
    <w:p>
      <w:pPr>
        <w:pStyle w:val="ListParagraph"/>
        <w:numPr>
          <w:ilvl w:val="3"/>
          <w:numId w:val="27"/>
        </w:numPr>
        <w:tabs>
          <w:tab w:pos="2058" w:val="left" w:leader="none"/>
        </w:tabs>
        <w:spacing w:line="240" w:lineRule="auto" w:before="0" w:after="0"/>
        <w:ind w:left="2057" w:right="1473" w:hanging="360"/>
        <w:jc w:val="both"/>
        <w:rPr>
          <w:sz w:val="20"/>
        </w:rPr>
      </w:pPr>
      <w:r>
        <w:rPr>
          <w:i/>
          <w:sz w:val="20"/>
        </w:rPr>
        <w:t>Time</w:t>
      </w:r>
      <w:r>
        <w:rPr>
          <w:i/>
          <w:spacing w:val="-9"/>
          <w:sz w:val="20"/>
        </w:rPr>
        <w:t> </w:t>
      </w:r>
      <w:r>
        <w:rPr>
          <w:i/>
          <w:sz w:val="20"/>
        </w:rPr>
        <w:t>spent</w:t>
      </w:r>
      <w:r>
        <w:rPr>
          <w:i/>
          <w:spacing w:val="-9"/>
          <w:sz w:val="20"/>
        </w:rPr>
        <w:t> </w:t>
      </w:r>
      <w:r>
        <w:rPr>
          <w:i/>
          <w:sz w:val="20"/>
        </w:rPr>
        <w:t>on</w:t>
      </w:r>
      <w:r>
        <w:rPr>
          <w:i/>
          <w:spacing w:val="-7"/>
          <w:sz w:val="20"/>
        </w:rPr>
        <w:t> </w:t>
      </w:r>
      <w:r>
        <w:rPr>
          <w:i/>
          <w:sz w:val="20"/>
        </w:rPr>
        <w:t>the</w:t>
      </w:r>
      <w:r>
        <w:rPr>
          <w:i/>
          <w:spacing w:val="-8"/>
          <w:sz w:val="20"/>
        </w:rPr>
        <w:t> </w:t>
      </w:r>
      <w:r>
        <w:rPr>
          <w:i/>
          <w:sz w:val="20"/>
        </w:rPr>
        <w:t>dispute:</w:t>
      </w:r>
      <w:r>
        <w:rPr>
          <w:i/>
          <w:spacing w:val="-9"/>
          <w:sz w:val="20"/>
        </w:rPr>
        <w:t> </w:t>
      </w:r>
      <w:r>
        <w:rPr>
          <w:sz w:val="20"/>
        </w:rPr>
        <w:t>Shorter</w:t>
      </w:r>
      <w:r>
        <w:rPr>
          <w:spacing w:val="-8"/>
          <w:sz w:val="20"/>
        </w:rPr>
        <w:t> </w:t>
      </w:r>
      <w:r>
        <w:rPr>
          <w:sz w:val="20"/>
        </w:rPr>
        <w:t>cases</w:t>
      </w:r>
      <w:r>
        <w:rPr>
          <w:spacing w:val="-8"/>
          <w:sz w:val="20"/>
        </w:rPr>
        <w:t> </w:t>
      </w:r>
      <w:r>
        <w:rPr>
          <w:sz w:val="20"/>
        </w:rPr>
        <w:t>and</w:t>
      </w:r>
      <w:r>
        <w:rPr>
          <w:spacing w:val="-9"/>
          <w:sz w:val="20"/>
        </w:rPr>
        <w:t> </w:t>
      </w:r>
      <w:r>
        <w:rPr>
          <w:sz w:val="20"/>
        </w:rPr>
        <w:t>disputes</w:t>
      </w:r>
      <w:r>
        <w:rPr>
          <w:spacing w:val="-9"/>
          <w:sz w:val="20"/>
        </w:rPr>
        <w:t> </w:t>
      </w:r>
      <w:r>
        <w:rPr>
          <w:sz w:val="20"/>
        </w:rPr>
        <w:t>were</w:t>
      </w:r>
      <w:r>
        <w:rPr>
          <w:spacing w:val="-8"/>
          <w:sz w:val="20"/>
        </w:rPr>
        <w:t> </w:t>
      </w:r>
      <w:r>
        <w:rPr>
          <w:sz w:val="20"/>
        </w:rPr>
        <w:t>also</w:t>
      </w:r>
      <w:r>
        <w:rPr>
          <w:spacing w:val="-8"/>
          <w:sz w:val="20"/>
        </w:rPr>
        <w:t> </w:t>
      </w:r>
      <w:r>
        <w:rPr>
          <w:sz w:val="20"/>
        </w:rPr>
        <w:t>a</w:t>
      </w:r>
      <w:r>
        <w:rPr>
          <w:spacing w:val="-8"/>
          <w:sz w:val="20"/>
        </w:rPr>
        <w:t> </w:t>
      </w:r>
      <w:r>
        <w:rPr>
          <w:sz w:val="20"/>
        </w:rPr>
        <w:t>driver</w:t>
      </w:r>
      <w:r>
        <w:rPr>
          <w:spacing w:val="-8"/>
          <w:sz w:val="20"/>
        </w:rPr>
        <w:t> </w:t>
      </w:r>
      <w:r>
        <w:rPr>
          <w:sz w:val="20"/>
        </w:rPr>
        <w:t>of increased satisfaction. Those who spent three working days or less on the dispute</w:t>
      </w:r>
      <w:r>
        <w:rPr>
          <w:spacing w:val="-7"/>
          <w:sz w:val="20"/>
        </w:rPr>
        <w:t> </w:t>
      </w:r>
      <w:r>
        <w:rPr>
          <w:sz w:val="20"/>
        </w:rPr>
        <w:t>were</w:t>
      </w:r>
      <w:r>
        <w:rPr>
          <w:spacing w:val="-6"/>
          <w:sz w:val="20"/>
        </w:rPr>
        <w:t> </w:t>
      </w:r>
      <w:r>
        <w:rPr>
          <w:sz w:val="20"/>
        </w:rPr>
        <w:t>more</w:t>
      </w:r>
      <w:r>
        <w:rPr>
          <w:spacing w:val="-6"/>
          <w:sz w:val="20"/>
        </w:rPr>
        <w:t> </w:t>
      </w:r>
      <w:r>
        <w:rPr>
          <w:sz w:val="20"/>
        </w:rPr>
        <w:t>likely</w:t>
      </w:r>
      <w:r>
        <w:rPr>
          <w:spacing w:val="-5"/>
          <w:sz w:val="20"/>
        </w:rPr>
        <w:t> </w:t>
      </w:r>
      <w:r>
        <w:rPr>
          <w:sz w:val="20"/>
        </w:rPr>
        <w:t>to</w:t>
      </w:r>
      <w:r>
        <w:rPr>
          <w:spacing w:val="-7"/>
          <w:sz w:val="20"/>
        </w:rPr>
        <w:t> </w:t>
      </w:r>
      <w:r>
        <w:rPr>
          <w:sz w:val="20"/>
        </w:rPr>
        <w:t>be</w:t>
      </w:r>
      <w:r>
        <w:rPr>
          <w:spacing w:val="-6"/>
          <w:sz w:val="20"/>
        </w:rPr>
        <w:t> </w:t>
      </w:r>
      <w:r>
        <w:rPr>
          <w:sz w:val="20"/>
        </w:rPr>
        <w:t>satisfied</w:t>
      </w:r>
      <w:r>
        <w:rPr>
          <w:spacing w:val="-5"/>
          <w:sz w:val="20"/>
        </w:rPr>
        <w:t> </w:t>
      </w:r>
      <w:r>
        <w:rPr>
          <w:sz w:val="20"/>
        </w:rPr>
        <w:t>with</w:t>
      </w:r>
      <w:r>
        <w:rPr>
          <w:spacing w:val="-6"/>
          <w:sz w:val="20"/>
        </w:rPr>
        <w:t> </w:t>
      </w:r>
      <w:r>
        <w:rPr>
          <w:sz w:val="20"/>
        </w:rPr>
        <w:t>the</w:t>
      </w:r>
      <w:r>
        <w:rPr>
          <w:spacing w:val="-6"/>
          <w:sz w:val="20"/>
        </w:rPr>
        <w:t> </w:t>
      </w:r>
      <w:r>
        <w:rPr>
          <w:sz w:val="20"/>
        </w:rPr>
        <w:t>overall</w:t>
      </w:r>
      <w:r>
        <w:rPr>
          <w:spacing w:val="-6"/>
          <w:sz w:val="20"/>
        </w:rPr>
        <w:t> </w:t>
      </w:r>
      <w:r>
        <w:rPr>
          <w:sz w:val="20"/>
        </w:rPr>
        <w:t>service</w:t>
      </w:r>
      <w:r>
        <w:rPr>
          <w:spacing w:val="-6"/>
          <w:sz w:val="20"/>
        </w:rPr>
        <w:t> </w:t>
      </w:r>
      <w:r>
        <w:rPr>
          <w:sz w:val="20"/>
        </w:rPr>
        <w:t>provided</w:t>
      </w:r>
      <w:r>
        <w:rPr>
          <w:spacing w:val="-5"/>
          <w:sz w:val="20"/>
        </w:rPr>
        <w:t> </w:t>
      </w:r>
      <w:r>
        <w:rPr>
          <w:sz w:val="20"/>
        </w:rPr>
        <w:t>by </w:t>
      </w:r>
      <w:r>
        <w:rPr>
          <w:spacing w:val="-4"/>
          <w:sz w:val="20"/>
        </w:rPr>
        <w:t>Acas.</w:t>
      </w:r>
    </w:p>
    <w:p>
      <w:pPr>
        <w:pStyle w:val="BodyText"/>
        <w:spacing w:before="7"/>
        <w:rPr>
          <w:sz w:val="19"/>
        </w:rPr>
      </w:pPr>
    </w:p>
    <w:p>
      <w:pPr>
        <w:pStyle w:val="Heading3"/>
        <w:spacing w:before="1"/>
        <w:ind w:right="1472"/>
        <w:jc w:val="left"/>
      </w:pPr>
      <w:r>
        <w:rPr/>
        <w:t>Figure</w:t>
      </w:r>
      <w:r>
        <w:rPr>
          <w:spacing w:val="40"/>
        </w:rPr>
        <w:t> </w:t>
      </w:r>
      <w:r>
        <w:rPr/>
        <w:t>19.</w:t>
      </w:r>
      <w:r>
        <w:rPr>
          <w:spacing w:val="40"/>
        </w:rPr>
        <w:t> </w:t>
      </w:r>
      <w:r>
        <w:rPr/>
        <w:t>Logistic</w:t>
      </w:r>
      <w:r>
        <w:rPr>
          <w:spacing w:val="40"/>
        </w:rPr>
        <w:t> </w:t>
      </w:r>
      <w:r>
        <w:rPr/>
        <w:t>regression</w:t>
      </w:r>
      <w:r>
        <w:rPr>
          <w:spacing w:val="40"/>
        </w:rPr>
        <w:t> </w:t>
      </w:r>
      <w:r>
        <w:rPr/>
        <w:t>results</w:t>
      </w:r>
      <w:r>
        <w:rPr>
          <w:spacing w:val="40"/>
        </w:rPr>
        <w:t> </w:t>
      </w:r>
      <w:r>
        <w:rPr/>
        <w:t>of</w:t>
      </w:r>
      <w:r>
        <w:rPr>
          <w:spacing w:val="40"/>
        </w:rPr>
        <w:t> </w:t>
      </w:r>
      <w:r>
        <w:rPr/>
        <w:t>external</w:t>
      </w:r>
      <w:r>
        <w:rPr>
          <w:spacing w:val="40"/>
        </w:rPr>
        <w:t> </w:t>
      </w:r>
      <w:r>
        <w:rPr/>
        <w:t>factors</w:t>
      </w:r>
      <w:r>
        <w:rPr>
          <w:spacing w:val="40"/>
        </w:rPr>
        <w:t> </w:t>
      </w:r>
      <w:r>
        <w:rPr/>
        <w:t>determining claimant satisfaction</w:t>
      </w:r>
    </w:p>
    <w:p>
      <w:pPr>
        <w:pStyle w:val="BodyText"/>
        <w:spacing w:before="7"/>
        <w:rPr>
          <w:b/>
          <w:sz w:val="3"/>
        </w:rPr>
      </w:pPr>
      <w:r>
        <w:rPr/>
        <w:drawing>
          <wp:anchor distT="0" distB="0" distL="0" distR="0" allowOverlap="1" layoutInCell="1" locked="0" behindDoc="0" simplePos="0" relativeHeight="35">
            <wp:simplePos x="0" y="0"/>
            <wp:positionH relativeFrom="page">
              <wp:posOffset>1206590</wp:posOffset>
            </wp:positionH>
            <wp:positionV relativeFrom="paragraph">
              <wp:posOffset>42857</wp:posOffset>
            </wp:positionV>
            <wp:extent cx="5761452" cy="1802511"/>
            <wp:effectExtent l="0" t="0" r="0" b="0"/>
            <wp:wrapTopAndBottom/>
            <wp:docPr id="49" name="image25.png" descr="Graph showing logistic regression results of external factors determining claimant satisfaction "/>
            <wp:cNvGraphicFramePr>
              <a:graphicFrameLocks noChangeAspect="1"/>
            </wp:cNvGraphicFramePr>
            <a:graphic>
              <a:graphicData uri="http://schemas.openxmlformats.org/drawingml/2006/picture">
                <pic:pic>
                  <pic:nvPicPr>
                    <pic:cNvPr id="50" name="image25.png"/>
                    <pic:cNvPicPr/>
                  </pic:nvPicPr>
                  <pic:blipFill>
                    <a:blip r:embed="rId37" cstate="print"/>
                    <a:stretch>
                      <a:fillRect/>
                    </a:stretch>
                  </pic:blipFill>
                  <pic:spPr>
                    <a:xfrm>
                      <a:off x="0" y="0"/>
                      <a:ext cx="5761452" cy="1802511"/>
                    </a:xfrm>
                    <a:prstGeom prst="rect">
                      <a:avLst/>
                    </a:prstGeom>
                  </pic:spPr>
                </pic:pic>
              </a:graphicData>
            </a:graphic>
          </wp:anchor>
        </w:drawing>
      </w:r>
    </w:p>
    <w:p>
      <w:pPr>
        <w:pStyle w:val="BodyText"/>
        <w:spacing w:before="6"/>
        <w:rPr>
          <w:b/>
          <w:sz w:val="28"/>
        </w:rPr>
      </w:pPr>
    </w:p>
    <w:p>
      <w:pPr>
        <w:pStyle w:val="BodyText"/>
        <w:ind w:left="1337" w:right="1472"/>
      </w:pPr>
      <w:r>
        <w:rPr/>
        <w:t>In</w:t>
      </w:r>
      <w:r>
        <w:rPr>
          <w:spacing w:val="-3"/>
        </w:rPr>
        <w:t> </w:t>
      </w:r>
      <w:r>
        <w:rPr/>
        <w:t>summary,</w:t>
      </w:r>
      <w:r>
        <w:rPr>
          <w:spacing w:val="-3"/>
        </w:rPr>
        <w:t> </w:t>
      </w:r>
      <w:r>
        <w:rPr/>
        <w:t>the</w:t>
      </w:r>
      <w:r>
        <w:rPr>
          <w:spacing w:val="-4"/>
        </w:rPr>
        <w:t> </w:t>
      </w:r>
      <w:r>
        <w:rPr/>
        <w:t>regression</w:t>
      </w:r>
      <w:r>
        <w:rPr>
          <w:spacing w:val="-3"/>
        </w:rPr>
        <w:t> </w:t>
      </w:r>
      <w:r>
        <w:rPr/>
        <w:t>analyses</w:t>
      </w:r>
      <w:r>
        <w:rPr>
          <w:spacing w:val="-3"/>
        </w:rPr>
        <w:t> </w:t>
      </w:r>
      <w:r>
        <w:rPr/>
        <w:t>highlight</w:t>
      </w:r>
      <w:r>
        <w:rPr>
          <w:spacing w:val="-4"/>
        </w:rPr>
        <w:t> </w:t>
      </w:r>
      <w:r>
        <w:rPr/>
        <w:t>two</w:t>
      </w:r>
      <w:r>
        <w:rPr>
          <w:spacing w:val="-3"/>
        </w:rPr>
        <w:t> </w:t>
      </w:r>
      <w:r>
        <w:rPr/>
        <w:t>key</w:t>
      </w:r>
      <w:r>
        <w:rPr>
          <w:spacing w:val="-4"/>
        </w:rPr>
        <w:t> </w:t>
      </w:r>
      <w:r>
        <w:rPr/>
        <w:t>areas</w:t>
      </w:r>
      <w:r>
        <w:rPr>
          <w:spacing w:val="-3"/>
        </w:rPr>
        <w:t> </w:t>
      </w:r>
      <w:r>
        <w:rPr/>
        <w:t>for</w:t>
      </w:r>
      <w:r>
        <w:rPr>
          <w:spacing w:val="-3"/>
        </w:rPr>
        <w:t> </w:t>
      </w:r>
      <w:r>
        <w:rPr/>
        <w:t>both</w:t>
      </w:r>
      <w:r>
        <w:rPr>
          <w:spacing w:val="-4"/>
        </w:rPr>
        <w:t> </w:t>
      </w:r>
      <w:r>
        <w:rPr/>
        <w:t>internal</w:t>
      </w:r>
      <w:r>
        <w:rPr>
          <w:spacing w:val="-4"/>
        </w:rPr>
        <w:t> </w:t>
      </w:r>
      <w:r>
        <w:rPr/>
        <w:t>and external factors.</w:t>
      </w:r>
    </w:p>
    <w:p>
      <w:pPr>
        <w:pStyle w:val="BodyText"/>
        <w:spacing w:before="1"/>
      </w:pPr>
    </w:p>
    <w:p>
      <w:pPr>
        <w:pStyle w:val="BodyText"/>
        <w:ind w:left="1337" w:right="1471"/>
        <w:jc w:val="both"/>
      </w:pPr>
      <w:r>
        <w:rPr/>
        <w:t>Important internal factors tend to be related either to information provided at an early stage – especially the information provided at the</w:t>
      </w:r>
      <w:r>
        <w:rPr>
          <w:spacing w:val="-1"/>
        </w:rPr>
        <w:t> </w:t>
      </w:r>
      <w:r>
        <w:rPr/>
        <w:t>EC form submission stage and</w:t>
      </w:r>
      <w:r>
        <w:rPr>
          <w:spacing w:val="-6"/>
        </w:rPr>
        <w:t> </w:t>
      </w:r>
      <w:r>
        <w:rPr/>
        <w:t>the</w:t>
      </w:r>
      <w:r>
        <w:rPr>
          <w:spacing w:val="-6"/>
        </w:rPr>
        <w:t> </w:t>
      </w:r>
      <w:r>
        <w:rPr/>
        <w:t>speed</w:t>
      </w:r>
      <w:r>
        <w:rPr>
          <w:spacing w:val="-6"/>
        </w:rPr>
        <w:t> </w:t>
      </w:r>
      <w:r>
        <w:rPr/>
        <w:t>with</w:t>
      </w:r>
      <w:r>
        <w:rPr>
          <w:spacing w:val="-5"/>
        </w:rPr>
        <w:t> </w:t>
      </w:r>
      <w:r>
        <w:rPr/>
        <w:t>which</w:t>
      </w:r>
      <w:r>
        <w:rPr>
          <w:spacing w:val="-5"/>
        </w:rPr>
        <w:t> </w:t>
      </w:r>
      <w:r>
        <w:rPr/>
        <w:t>claimants</w:t>
      </w:r>
      <w:r>
        <w:rPr>
          <w:spacing w:val="-6"/>
        </w:rPr>
        <w:t> </w:t>
      </w:r>
      <w:r>
        <w:rPr/>
        <w:t>received</w:t>
      </w:r>
      <w:r>
        <w:rPr>
          <w:spacing w:val="-6"/>
        </w:rPr>
        <w:t> </w:t>
      </w:r>
      <w:r>
        <w:rPr/>
        <w:t>a</w:t>
      </w:r>
      <w:r>
        <w:rPr>
          <w:spacing w:val="-5"/>
        </w:rPr>
        <w:t> </w:t>
      </w:r>
      <w:r>
        <w:rPr/>
        <w:t>response,</w:t>
      </w:r>
      <w:r>
        <w:rPr>
          <w:spacing w:val="-7"/>
        </w:rPr>
        <w:t> </w:t>
      </w:r>
      <w:r>
        <w:rPr/>
        <w:t>but</w:t>
      </w:r>
      <w:r>
        <w:rPr>
          <w:spacing w:val="-5"/>
        </w:rPr>
        <w:t> </w:t>
      </w:r>
      <w:r>
        <w:rPr/>
        <w:t>also</w:t>
      </w:r>
      <w:r>
        <w:rPr>
          <w:spacing w:val="-6"/>
        </w:rPr>
        <w:t> </w:t>
      </w:r>
      <w:r>
        <w:rPr/>
        <w:t>how</w:t>
      </w:r>
      <w:r>
        <w:rPr>
          <w:spacing w:val="-5"/>
        </w:rPr>
        <w:t> </w:t>
      </w:r>
      <w:r>
        <w:rPr/>
        <w:t>suitable</w:t>
      </w:r>
      <w:r>
        <w:rPr>
          <w:spacing w:val="-6"/>
        </w:rPr>
        <w:t> </w:t>
      </w:r>
      <w:r>
        <w:rPr/>
        <w:t>the service</w:t>
      </w:r>
      <w:r>
        <w:rPr>
          <w:spacing w:val="-3"/>
        </w:rPr>
        <w:t> </w:t>
      </w:r>
      <w:r>
        <w:rPr/>
        <w:t>felt</w:t>
      </w:r>
      <w:r>
        <w:rPr>
          <w:spacing w:val="-2"/>
        </w:rPr>
        <w:t> </w:t>
      </w:r>
      <w:r>
        <w:rPr/>
        <w:t>to</w:t>
      </w:r>
      <w:r>
        <w:rPr>
          <w:spacing w:val="-2"/>
        </w:rPr>
        <w:t> </w:t>
      </w:r>
      <w:r>
        <w:rPr/>
        <w:t>the</w:t>
      </w:r>
      <w:r>
        <w:rPr>
          <w:spacing w:val="-3"/>
        </w:rPr>
        <w:t> </w:t>
      </w:r>
      <w:r>
        <w:rPr/>
        <w:t>claimant’s</w:t>
      </w:r>
      <w:r>
        <w:rPr>
          <w:spacing w:val="-3"/>
        </w:rPr>
        <w:t> </w:t>
      </w:r>
      <w:r>
        <w:rPr/>
        <w:t>circumstances</w:t>
      </w:r>
      <w:r>
        <w:rPr>
          <w:spacing w:val="-3"/>
        </w:rPr>
        <w:t> </w:t>
      </w:r>
      <w:r>
        <w:rPr/>
        <w:t>–</w:t>
      </w:r>
      <w:r>
        <w:rPr>
          <w:spacing w:val="-2"/>
        </w:rPr>
        <w:t> </w:t>
      </w:r>
      <w:r>
        <w:rPr/>
        <w:t>or</w:t>
      </w:r>
      <w:r>
        <w:rPr>
          <w:spacing w:val="-2"/>
        </w:rPr>
        <w:t> </w:t>
      </w:r>
      <w:r>
        <w:rPr/>
        <w:t>to</w:t>
      </w:r>
      <w:r>
        <w:rPr>
          <w:spacing w:val="-2"/>
        </w:rPr>
        <w:t> </w:t>
      </w:r>
      <w:r>
        <w:rPr/>
        <w:t>the</w:t>
      </w:r>
      <w:r>
        <w:rPr>
          <w:spacing w:val="-3"/>
        </w:rPr>
        <w:t> </w:t>
      </w:r>
      <w:r>
        <w:rPr/>
        <w:t>level</w:t>
      </w:r>
      <w:r>
        <w:rPr>
          <w:spacing w:val="-3"/>
        </w:rPr>
        <w:t> </w:t>
      </w:r>
      <w:r>
        <w:rPr/>
        <w:t>of</w:t>
      </w:r>
      <w:r>
        <w:rPr>
          <w:spacing w:val="-2"/>
        </w:rPr>
        <w:t> </w:t>
      </w:r>
      <w:r>
        <w:rPr/>
        <w:t>service</w:t>
      </w:r>
      <w:r>
        <w:rPr>
          <w:spacing w:val="-3"/>
        </w:rPr>
        <w:t> </w:t>
      </w:r>
      <w:r>
        <w:rPr/>
        <w:t>provided</w:t>
      </w:r>
      <w:r>
        <w:rPr>
          <w:spacing w:val="-2"/>
        </w:rPr>
        <w:t> </w:t>
      </w:r>
      <w:r>
        <w:rPr/>
        <w:t>by Acas, including skill in moving the two sides together and the quality of advice given. This differs from the 2015 model, which found conciliator attributes (pro- activity in seeking an agreement, trustworthiness, knowledge about and understanding of the case) to be important.</w:t>
      </w:r>
    </w:p>
    <w:p>
      <w:pPr>
        <w:pStyle w:val="BodyText"/>
        <w:spacing w:before="1"/>
      </w:pPr>
    </w:p>
    <w:p>
      <w:pPr>
        <w:pStyle w:val="BodyText"/>
        <w:ind w:left="1337" w:right="1474"/>
        <w:jc w:val="both"/>
      </w:pPr>
      <w:r>
        <w:rPr/>
        <w:t>The</w:t>
      </w:r>
      <w:r>
        <w:rPr>
          <w:spacing w:val="-6"/>
        </w:rPr>
        <w:t> </w:t>
      </w:r>
      <w:r>
        <w:rPr/>
        <w:t>key</w:t>
      </w:r>
      <w:r>
        <w:rPr>
          <w:spacing w:val="-6"/>
        </w:rPr>
        <w:t> </w:t>
      </w:r>
      <w:r>
        <w:rPr/>
        <w:t>external</w:t>
      </w:r>
      <w:r>
        <w:rPr>
          <w:spacing w:val="-6"/>
        </w:rPr>
        <w:t> </w:t>
      </w:r>
      <w:r>
        <w:rPr/>
        <w:t>factors</w:t>
      </w:r>
      <w:r>
        <w:rPr>
          <w:spacing w:val="-6"/>
        </w:rPr>
        <w:t> </w:t>
      </w:r>
      <w:r>
        <w:rPr/>
        <w:t>also</w:t>
      </w:r>
      <w:r>
        <w:rPr>
          <w:spacing w:val="-6"/>
        </w:rPr>
        <w:t> </w:t>
      </w:r>
      <w:r>
        <w:rPr/>
        <w:t>split</w:t>
      </w:r>
      <w:r>
        <w:rPr>
          <w:spacing w:val="-5"/>
        </w:rPr>
        <w:t> </w:t>
      </w:r>
      <w:r>
        <w:rPr/>
        <w:t>into</w:t>
      </w:r>
      <w:r>
        <w:rPr>
          <w:spacing w:val="-6"/>
        </w:rPr>
        <w:t> </w:t>
      </w:r>
      <w:r>
        <w:rPr/>
        <w:t>two</w:t>
      </w:r>
      <w:r>
        <w:rPr>
          <w:spacing w:val="-6"/>
        </w:rPr>
        <w:t> </w:t>
      </w:r>
      <w:r>
        <w:rPr/>
        <w:t>main</w:t>
      </w:r>
      <w:r>
        <w:rPr>
          <w:spacing w:val="-6"/>
        </w:rPr>
        <w:t> </w:t>
      </w:r>
      <w:r>
        <w:rPr/>
        <w:t>categories.</w:t>
      </w:r>
      <w:r>
        <w:rPr>
          <w:spacing w:val="-6"/>
        </w:rPr>
        <w:t> </w:t>
      </w:r>
      <w:r>
        <w:rPr/>
        <w:t>The</w:t>
      </w:r>
      <w:r>
        <w:rPr>
          <w:spacing w:val="-7"/>
        </w:rPr>
        <w:t> </w:t>
      </w:r>
      <w:r>
        <w:rPr/>
        <w:t>first</w:t>
      </w:r>
      <w:r>
        <w:rPr>
          <w:spacing w:val="-6"/>
        </w:rPr>
        <w:t> </w:t>
      </w:r>
      <w:r>
        <w:rPr/>
        <w:t>speaks</w:t>
      </w:r>
      <w:r>
        <w:rPr>
          <w:spacing w:val="-6"/>
        </w:rPr>
        <w:t> </w:t>
      </w:r>
      <w:r>
        <w:rPr/>
        <w:t>to</w:t>
      </w:r>
      <w:r>
        <w:rPr>
          <w:spacing w:val="-6"/>
        </w:rPr>
        <w:t> </w:t>
      </w:r>
      <w:r>
        <w:rPr/>
        <w:t>the claimants’ motivation for entering EC while the second was more demographic, focussed</w:t>
      </w:r>
      <w:r>
        <w:rPr>
          <w:spacing w:val="-10"/>
        </w:rPr>
        <w:t> </w:t>
      </w:r>
      <w:r>
        <w:rPr/>
        <w:t>on</w:t>
      </w:r>
      <w:r>
        <w:rPr>
          <w:spacing w:val="-11"/>
        </w:rPr>
        <w:t> </w:t>
      </w:r>
      <w:r>
        <w:rPr/>
        <w:t>employment</w:t>
      </w:r>
      <w:r>
        <w:rPr>
          <w:spacing w:val="-10"/>
        </w:rPr>
        <w:t> </w:t>
      </w:r>
      <w:r>
        <w:rPr/>
        <w:t>sector</w:t>
      </w:r>
      <w:r>
        <w:rPr>
          <w:spacing w:val="-11"/>
        </w:rPr>
        <w:t> </w:t>
      </w:r>
      <w:r>
        <w:rPr/>
        <w:t>and</w:t>
      </w:r>
      <w:r>
        <w:rPr>
          <w:spacing w:val="-10"/>
        </w:rPr>
        <w:t> </w:t>
      </w:r>
      <w:r>
        <w:rPr/>
        <w:t>the</w:t>
      </w:r>
      <w:r>
        <w:rPr>
          <w:spacing w:val="-11"/>
        </w:rPr>
        <w:t> </w:t>
      </w:r>
      <w:r>
        <w:rPr/>
        <w:t>time</w:t>
      </w:r>
      <w:r>
        <w:rPr>
          <w:spacing w:val="-11"/>
        </w:rPr>
        <w:t> </w:t>
      </w:r>
      <w:r>
        <w:rPr/>
        <w:t>spent</w:t>
      </w:r>
      <w:r>
        <w:rPr>
          <w:spacing w:val="-10"/>
        </w:rPr>
        <w:t> </w:t>
      </w:r>
      <w:r>
        <w:rPr/>
        <w:t>on</w:t>
      </w:r>
      <w:r>
        <w:rPr>
          <w:spacing w:val="-10"/>
        </w:rPr>
        <w:t> </w:t>
      </w:r>
      <w:r>
        <w:rPr/>
        <w:t>the</w:t>
      </w:r>
      <w:r>
        <w:rPr>
          <w:spacing w:val="-12"/>
        </w:rPr>
        <w:t> </w:t>
      </w:r>
      <w:r>
        <w:rPr/>
        <w:t>dispute.</w:t>
      </w:r>
      <w:r>
        <w:rPr>
          <w:spacing w:val="-10"/>
        </w:rPr>
        <w:t> </w:t>
      </w:r>
      <w:r>
        <w:rPr/>
        <w:t>This</w:t>
      </w:r>
      <w:r>
        <w:rPr>
          <w:spacing w:val="-10"/>
        </w:rPr>
        <w:t> </w:t>
      </w:r>
      <w:r>
        <w:rPr/>
        <w:t>also</w:t>
      </w:r>
      <w:r>
        <w:rPr>
          <w:spacing w:val="-11"/>
        </w:rPr>
        <w:t> </w:t>
      </w:r>
      <w:r>
        <w:rPr/>
        <w:t>differs from</w:t>
      </w:r>
      <w:r>
        <w:rPr>
          <w:spacing w:val="-1"/>
        </w:rPr>
        <w:t> </w:t>
      </w:r>
      <w:r>
        <w:rPr/>
        <w:t>2015</w:t>
      </w:r>
      <w:r>
        <w:rPr>
          <w:spacing w:val="-3"/>
        </w:rPr>
        <w:t> </w:t>
      </w:r>
      <w:r>
        <w:rPr/>
        <w:t>when</w:t>
      </w:r>
      <w:r>
        <w:rPr>
          <w:spacing w:val="-1"/>
        </w:rPr>
        <w:t> </w:t>
      </w:r>
      <w:r>
        <w:rPr/>
        <w:t>only demographic</w:t>
      </w:r>
      <w:r>
        <w:rPr>
          <w:spacing w:val="-1"/>
        </w:rPr>
        <w:t> </w:t>
      </w:r>
      <w:r>
        <w:rPr/>
        <w:t>factors</w:t>
      </w:r>
      <w:r>
        <w:rPr>
          <w:spacing w:val="-1"/>
        </w:rPr>
        <w:t> </w:t>
      </w:r>
      <w:r>
        <w:rPr/>
        <w:t>–</w:t>
      </w:r>
      <w:r>
        <w:rPr>
          <w:spacing w:val="-2"/>
        </w:rPr>
        <w:t> </w:t>
      </w:r>
      <w:r>
        <w:rPr/>
        <w:t>the</w:t>
      </w:r>
      <w:r>
        <w:rPr>
          <w:spacing w:val="-1"/>
        </w:rPr>
        <w:t> </w:t>
      </w:r>
      <w:r>
        <w:rPr/>
        <w:t>track of</w:t>
      </w:r>
      <w:r>
        <w:rPr>
          <w:spacing w:val="-1"/>
        </w:rPr>
        <w:t> </w:t>
      </w:r>
      <w:r>
        <w:rPr/>
        <w:t>the</w:t>
      </w:r>
      <w:r>
        <w:rPr>
          <w:spacing w:val="-1"/>
        </w:rPr>
        <w:t> </w:t>
      </w:r>
      <w:r>
        <w:rPr/>
        <w:t>case</w:t>
      </w:r>
      <w:r>
        <w:rPr>
          <w:spacing w:val="-1"/>
        </w:rPr>
        <w:t> </w:t>
      </w:r>
      <w:r>
        <w:rPr/>
        <w:t>and</w:t>
      </w:r>
      <w:r>
        <w:rPr>
          <w:spacing w:val="-1"/>
        </w:rPr>
        <w:t> </w:t>
      </w:r>
      <w:r>
        <w:rPr/>
        <w:t>trade</w:t>
      </w:r>
      <w:r>
        <w:rPr>
          <w:spacing w:val="-2"/>
        </w:rPr>
        <w:t> </w:t>
      </w:r>
      <w:r>
        <w:rPr/>
        <w:t>union membership – were found to be significant.</w:t>
      </w:r>
    </w:p>
    <w:p>
      <w:pPr>
        <w:pStyle w:val="BodyText"/>
        <w:spacing w:before="1"/>
      </w:pPr>
    </w:p>
    <w:p>
      <w:pPr>
        <w:pStyle w:val="Heading4"/>
        <w:numPr>
          <w:ilvl w:val="2"/>
          <w:numId w:val="27"/>
        </w:numPr>
        <w:tabs>
          <w:tab w:pos="2189" w:val="left" w:leader="none"/>
        </w:tabs>
        <w:spacing w:line="240" w:lineRule="auto" w:before="0" w:after="0"/>
        <w:ind w:left="2188" w:right="0" w:hanging="852"/>
        <w:jc w:val="left"/>
        <w:rPr>
          <w:i/>
        </w:rPr>
      </w:pPr>
      <w:bookmarkStart w:name="10.7.2 Drivers of satisfaction among emp" w:id="113"/>
      <w:bookmarkEnd w:id="113"/>
      <w:r>
        <w:rPr>
          <w:i/>
        </w:rPr>
        <w:t>D</w:t>
      </w:r>
      <w:r>
        <w:rPr>
          <w:i/>
        </w:rPr>
        <w:t>rivers</w:t>
      </w:r>
      <w:r>
        <w:rPr>
          <w:i/>
          <w:spacing w:val="-8"/>
        </w:rPr>
        <w:t> </w:t>
      </w:r>
      <w:r>
        <w:rPr>
          <w:i/>
        </w:rPr>
        <w:t>of</w:t>
      </w:r>
      <w:r>
        <w:rPr>
          <w:i/>
          <w:spacing w:val="-7"/>
        </w:rPr>
        <w:t> </w:t>
      </w:r>
      <w:r>
        <w:rPr>
          <w:i/>
        </w:rPr>
        <w:t>satisfaction</w:t>
      </w:r>
      <w:r>
        <w:rPr>
          <w:i/>
          <w:spacing w:val="-5"/>
        </w:rPr>
        <w:t> </w:t>
      </w:r>
      <w:r>
        <w:rPr>
          <w:i/>
        </w:rPr>
        <w:t>among</w:t>
      </w:r>
      <w:r>
        <w:rPr>
          <w:i/>
          <w:spacing w:val="-6"/>
        </w:rPr>
        <w:t> </w:t>
      </w:r>
      <w:r>
        <w:rPr>
          <w:i/>
        </w:rPr>
        <w:t>employer-side</w:t>
      </w:r>
      <w:r>
        <w:rPr>
          <w:i/>
          <w:spacing w:val="-5"/>
        </w:rPr>
        <w:t> </w:t>
      </w:r>
      <w:r>
        <w:rPr>
          <w:i/>
          <w:spacing w:val="-2"/>
        </w:rPr>
        <w:t>participants</w:t>
      </w:r>
    </w:p>
    <w:p>
      <w:pPr>
        <w:pStyle w:val="BodyText"/>
        <w:spacing w:before="60"/>
        <w:ind w:left="1337" w:right="1472"/>
      </w:pPr>
      <w:r>
        <w:rPr/>
        <w:t>The same regression analysis was applied to employer-side participants to understand</w:t>
      </w:r>
      <w:r>
        <w:rPr>
          <w:spacing w:val="-4"/>
        </w:rPr>
        <w:t> </w:t>
      </w:r>
      <w:r>
        <w:rPr/>
        <w:t>the</w:t>
      </w:r>
      <w:r>
        <w:rPr>
          <w:spacing w:val="-4"/>
        </w:rPr>
        <w:t> </w:t>
      </w:r>
      <w:r>
        <w:rPr/>
        <w:t>impact</w:t>
      </w:r>
      <w:r>
        <w:rPr>
          <w:spacing w:val="-4"/>
        </w:rPr>
        <w:t> </w:t>
      </w:r>
      <w:r>
        <w:rPr/>
        <w:t>of</w:t>
      </w:r>
      <w:r>
        <w:rPr>
          <w:spacing w:val="-3"/>
        </w:rPr>
        <w:t> </w:t>
      </w:r>
      <w:r>
        <w:rPr/>
        <w:t>internal</w:t>
      </w:r>
      <w:r>
        <w:rPr>
          <w:spacing w:val="-4"/>
        </w:rPr>
        <w:t> </w:t>
      </w:r>
      <w:r>
        <w:rPr/>
        <w:t>and</w:t>
      </w:r>
      <w:r>
        <w:rPr>
          <w:spacing w:val="-3"/>
        </w:rPr>
        <w:t> </w:t>
      </w:r>
      <w:r>
        <w:rPr/>
        <w:t>external</w:t>
      </w:r>
      <w:r>
        <w:rPr>
          <w:spacing w:val="-4"/>
        </w:rPr>
        <w:t> </w:t>
      </w:r>
      <w:r>
        <w:rPr/>
        <w:t>factors</w:t>
      </w:r>
      <w:r>
        <w:rPr>
          <w:spacing w:val="-3"/>
        </w:rPr>
        <w:t> </w:t>
      </w:r>
      <w:r>
        <w:rPr/>
        <w:t>on</w:t>
      </w:r>
      <w:r>
        <w:rPr>
          <w:spacing w:val="-3"/>
        </w:rPr>
        <w:t> </w:t>
      </w:r>
      <w:r>
        <w:rPr/>
        <w:t>satisfaction</w:t>
      </w:r>
      <w:r>
        <w:rPr>
          <w:spacing w:val="-4"/>
        </w:rPr>
        <w:t> </w:t>
      </w:r>
      <w:r>
        <w:rPr/>
        <w:t>with</w:t>
      </w:r>
      <w:r>
        <w:rPr>
          <w:spacing w:val="-3"/>
        </w:rPr>
        <w:t> </w:t>
      </w:r>
      <w:r>
        <w:rPr/>
        <w:t>the </w:t>
      </w:r>
      <w:r>
        <w:rPr>
          <w:spacing w:val="-2"/>
        </w:rPr>
        <w:t>service.</w:t>
      </w:r>
    </w:p>
    <w:p>
      <w:pPr>
        <w:spacing w:after="0"/>
        <w:sectPr>
          <w:pgSz w:w="11910" w:h="16840"/>
          <w:pgMar w:header="0" w:footer="996" w:top="1340" w:bottom="1180" w:left="460" w:right="320"/>
        </w:sectPr>
      </w:pPr>
    </w:p>
    <w:p>
      <w:pPr>
        <w:pStyle w:val="Heading4"/>
        <w:spacing w:before="89"/>
        <w:jc w:val="left"/>
        <w:rPr>
          <w:i/>
        </w:rPr>
      </w:pPr>
      <w:bookmarkStart w:name="Among employers – internal factors" w:id="114"/>
      <w:bookmarkEnd w:id="114"/>
      <w:r>
        <w:rPr>
          <w:b w:val="0"/>
          <w:i w:val="0"/>
        </w:rPr>
      </w:r>
      <w:r>
        <w:rPr>
          <w:i/>
        </w:rPr>
        <w:t>Among</w:t>
      </w:r>
      <w:r>
        <w:rPr>
          <w:i/>
          <w:spacing w:val="-6"/>
        </w:rPr>
        <w:t> </w:t>
      </w:r>
      <w:r>
        <w:rPr>
          <w:i/>
        </w:rPr>
        <w:t>employers</w:t>
      </w:r>
      <w:r>
        <w:rPr>
          <w:i/>
          <w:spacing w:val="-6"/>
        </w:rPr>
        <w:t> </w:t>
      </w:r>
      <w:r>
        <w:rPr>
          <w:i/>
        </w:rPr>
        <w:t>–</w:t>
      </w:r>
      <w:r>
        <w:rPr>
          <w:i/>
          <w:spacing w:val="-4"/>
        </w:rPr>
        <w:t> </w:t>
      </w:r>
      <w:r>
        <w:rPr>
          <w:i/>
        </w:rPr>
        <w:t>internal</w:t>
      </w:r>
      <w:r>
        <w:rPr>
          <w:i/>
          <w:spacing w:val="-4"/>
        </w:rPr>
        <w:t> </w:t>
      </w:r>
      <w:r>
        <w:rPr>
          <w:i/>
          <w:spacing w:val="-2"/>
        </w:rPr>
        <w:t>factors</w:t>
      </w:r>
    </w:p>
    <w:p>
      <w:pPr>
        <w:pStyle w:val="BodyText"/>
        <w:spacing w:before="1"/>
        <w:ind w:left="1337" w:right="1472"/>
      </w:pPr>
      <w:r>
        <w:rPr/>
        <w:t>The independent internal variables which were found to be determinants of whether</w:t>
      </w:r>
      <w:r>
        <w:rPr>
          <w:spacing w:val="-3"/>
        </w:rPr>
        <w:t> </w:t>
      </w:r>
      <w:r>
        <w:rPr/>
        <w:t>employers</w:t>
      </w:r>
      <w:r>
        <w:rPr>
          <w:spacing w:val="-3"/>
        </w:rPr>
        <w:t> </w:t>
      </w:r>
      <w:r>
        <w:rPr/>
        <w:t>were</w:t>
      </w:r>
      <w:r>
        <w:rPr>
          <w:spacing w:val="-3"/>
        </w:rPr>
        <w:t> </w:t>
      </w:r>
      <w:r>
        <w:rPr/>
        <w:t>satisfied</w:t>
      </w:r>
      <w:r>
        <w:rPr>
          <w:spacing w:val="-3"/>
        </w:rPr>
        <w:t> </w:t>
      </w:r>
      <w:r>
        <w:rPr/>
        <w:t>with</w:t>
      </w:r>
      <w:r>
        <w:rPr>
          <w:spacing w:val="-3"/>
        </w:rPr>
        <w:t> </w:t>
      </w:r>
      <w:r>
        <w:rPr/>
        <w:t>the</w:t>
      </w:r>
      <w:r>
        <w:rPr>
          <w:spacing w:val="-3"/>
        </w:rPr>
        <w:t> </w:t>
      </w:r>
      <w:r>
        <w:rPr/>
        <w:t>overall</w:t>
      </w:r>
      <w:r>
        <w:rPr>
          <w:spacing w:val="-4"/>
        </w:rPr>
        <w:t> </w:t>
      </w:r>
      <w:r>
        <w:rPr/>
        <w:t>service</w:t>
      </w:r>
      <w:r>
        <w:rPr>
          <w:spacing w:val="-2"/>
        </w:rPr>
        <w:t> </w:t>
      </w:r>
      <w:r>
        <w:rPr/>
        <w:t>they</w:t>
      </w:r>
      <w:r>
        <w:rPr>
          <w:spacing w:val="-4"/>
        </w:rPr>
        <w:t> </w:t>
      </w:r>
      <w:r>
        <w:rPr/>
        <w:t>received</w:t>
      </w:r>
      <w:r>
        <w:rPr>
          <w:spacing w:val="-3"/>
        </w:rPr>
        <w:t> </w:t>
      </w:r>
      <w:r>
        <w:rPr/>
        <w:t>from</w:t>
      </w:r>
      <w:r>
        <w:rPr>
          <w:spacing w:val="-3"/>
        </w:rPr>
        <w:t> </w:t>
      </w:r>
      <w:r>
        <w:rPr/>
        <w:t>Acas are listed below in order of predictive strength (See Figure 20):</w:t>
      </w:r>
    </w:p>
    <w:p>
      <w:pPr>
        <w:pStyle w:val="BodyText"/>
      </w:pPr>
    </w:p>
    <w:p>
      <w:pPr>
        <w:pStyle w:val="ListParagraph"/>
        <w:numPr>
          <w:ilvl w:val="3"/>
          <w:numId w:val="27"/>
        </w:numPr>
        <w:tabs>
          <w:tab w:pos="2058" w:val="left" w:leader="none"/>
        </w:tabs>
        <w:spacing w:line="240" w:lineRule="auto" w:before="0" w:after="0"/>
        <w:ind w:left="2057" w:right="1474" w:hanging="360"/>
        <w:jc w:val="both"/>
        <w:rPr>
          <w:sz w:val="20"/>
        </w:rPr>
      </w:pPr>
      <w:r>
        <w:rPr>
          <w:i/>
          <w:sz w:val="20"/>
        </w:rPr>
        <w:t>Importance of Acas in brokering a resolution</w:t>
      </w:r>
      <w:r>
        <w:rPr>
          <w:sz w:val="20"/>
        </w:rPr>
        <w:t>: The strongest internal driver of employer satisfaction was</w:t>
      </w:r>
      <w:r>
        <w:rPr>
          <w:spacing w:val="-1"/>
          <w:sz w:val="20"/>
        </w:rPr>
        <w:t> </w:t>
      </w:r>
      <w:r>
        <w:rPr>
          <w:sz w:val="20"/>
        </w:rPr>
        <w:t>found</w:t>
      </w:r>
      <w:r>
        <w:rPr>
          <w:spacing w:val="-2"/>
          <w:sz w:val="20"/>
        </w:rPr>
        <w:t> </w:t>
      </w:r>
      <w:r>
        <w:rPr>
          <w:sz w:val="20"/>
        </w:rPr>
        <w:t>to</w:t>
      </w:r>
      <w:r>
        <w:rPr>
          <w:spacing w:val="-1"/>
          <w:sz w:val="20"/>
        </w:rPr>
        <w:t> </w:t>
      </w:r>
      <w:r>
        <w:rPr>
          <w:sz w:val="20"/>
        </w:rPr>
        <w:t>be</w:t>
      </w:r>
      <w:r>
        <w:rPr>
          <w:spacing w:val="-1"/>
          <w:sz w:val="20"/>
        </w:rPr>
        <w:t> </w:t>
      </w:r>
      <w:r>
        <w:rPr>
          <w:sz w:val="20"/>
        </w:rPr>
        <w:t>agreeing</w:t>
      </w:r>
      <w:r>
        <w:rPr>
          <w:spacing w:val="-1"/>
          <w:sz w:val="20"/>
        </w:rPr>
        <w:t> </w:t>
      </w:r>
      <w:r>
        <w:rPr>
          <w:sz w:val="20"/>
        </w:rPr>
        <w:t>that Acas</w:t>
      </w:r>
      <w:r>
        <w:rPr>
          <w:spacing w:val="-1"/>
          <w:sz w:val="20"/>
        </w:rPr>
        <w:t> </w:t>
      </w:r>
      <w:r>
        <w:rPr>
          <w:sz w:val="20"/>
        </w:rPr>
        <w:t>was</w:t>
      </w:r>
      <w:r>
        <w:rPr>
          <w:spacing w:val="-1"/>
          <w:sz w:val="20"/>
        </w:rPr>
        <w:t> </w:t>
      </w:r>
      <w:r>
        <w:rPr>
          <w:sz w:val="20"/>
        </w:rPr>
        <w:t>important in helping move the two parties closer towards resolving the case.</w:t>
      </w:r>
    </w:p>
    <w:p>
      <w:pPr>
        <w:pStyle w:val="ListParagraph"/>
        <w:numPr>
          <w:ilvl w:val="3"/>
          <w:numId w:val="27"/>
        </w:numPr>
        <w:tabs>
          <w:tab w:pos="2058" w:val="left" w:leader="none"/>
        </w:tabs>
        <w:spacing w:line="240" w:lineRule="auto" w:before="0" w:after="0"/>
        <w:ind w:left="2057" w:right="1473" w:hanging="361"/>
        <w:jc w:val="both"/>
        <w:rPr>
          <w:sz w:val="20"/>
        </w:rPr>
      </w:pPr>
      <w:r>
        <w:rPr>
          <w:i/>
          <w:sz w:val="20"/>
        </w:rPr>
        <w:t>Availability of the Acas conciliator</w:t>
      </w:r>
      <w:r>
        <w:rPr>
          <w:sz w:val="20"/>
        </w:rPr>
        <w:t>: There is a positive correlation between the likelihood of employer satisfaction with the service and agreeing that that the conciliator was ‘always’ or ‘usually’ available when needed</w:t>
      </w:r>
    </w:p>
    <w:p>
      <w:pPr>
        <w:pStyle w:val="ListParagraph"/>
        <w:numPr>
          <w:ilvl w:val="3"/>
          <w:numId w:val="27"/>
        </w:numPr>
        <w:tabs>
          <w:tab w:pos="2058" w:val="left" w:leader="none"/>
        </w:tabs>
        <w:spacing w:line="240" w:lineRule="auto" w:before="0" w:after="0"/>
        <w:ind w:left="2057" w:right="1474" w:hanging="360"/>
        <w:jc w:val="both"/>
        <w:rPr>
          <w:sz w:val="20"/>
        </w:rPr>
      </w:pPr>
      <w:r>
        <w:rPr>
          <w:i/>
          <w:sz w:val="20"/>
        </w:rPr>
        <w:t>Method of contact with the conciliators: </w:t>
      </w:r>
      <w:r>
        <w:rPr>
          <w:sz w:val="20"/>
        </w:rPr>
        <w:t>Employers whose main method of contact with their conciliator was telephone were more likely to express satisfaction with the overall service provided.</w:t>
      </w:r>
    </w:p>
    <w:p>
      <w:pPr>
        <w:pStyle w:val="BodyText"/>
        <w:rPr>
          <w:sz w:val="24"/>
        </w:rPr>
      </w:pPr>
    </w:p>
    <w:p>
      <w:pPr>
        <w:pStyle w:val="BodyText"/>
        <w:spacing w:before="6"/>
        <w:rPr>
          <w:sz w:val="23"/>
        </w:rPr>
      </w:pPr>
    </w:p>
    <w:p>
      <w:pPr>
        <w:pStyle w:val="Heading3"/>
        <w:ind w:left="1336" w:right="1472"/>
        <w:jc w:val="left"/>
      </w:pPr>
      <w:r>
        <w:rPr/>
        <w:t>Figure</w:t>
      </w:r>
      <w:r>
        <w:rPr>
          <w:spacing w:val="40"/>
        </w:rPr>
        <w:t> </w:t>
      </w:r>
      <w:r>
        <w:rPr/>
        <w:t>20.</w:t>
      </w:r>
      <w:r>
        <w:rPr>
          <w:spacing w:val="40"/>
        </w:rPr>
        <w:t> </w:t>
      </w:r>
      <w:r>
        <w:rPr/>
        <w:t>Logistic</w:t>
      </w:r>
      <w:r>
        <w:rPr>
          <w:spacing w:val="40"/>
        </w:rPr>
        <w:t> </w:t>
      </w:r>
      <w:r>
        <w:rPr/>
        <w:t>regression</w:t>
      </w:r>
      <w:r>
        <w:rPr>
          <w:spacing w:val="40"/>
        </w:rPr>
        <w:t> </w:t>
      </w:r>
      <w:r>
        <w:rPr/>
        <w:t>results</w:t>
      </w:r>
      <w:r>
        <w:rPr>
          <w:spacing w:val="40"/>
        </w:rPr>
        <w:t> </w:t>
      </w:r>
      <w:r>
        <w:rPr/>
        <w:t>of</w:t>
      </w:r>
      <w:r>
        <w:rPr>
          <w:spacing w:val="40"/>
        </w:rPr>
        <w:t> </w:t>
      </w:r>
      <w:r>
        <w:rPr/>
        <w:t>internal</w:t>
      </w:r>
      <w:r>
        <w:rPr>
          <w:spacing w:val="40"/>
        </w:rPr>
        <w:t> </w:t>
      </w:r>
      <w:r>
        <w:rPr/>
        <w:t>factors</w:t>
      </w:r>
      <w:r>
        <w:rPr>
          <w:spacing w:val="40"/>
        </w:rPr>
        <w:t> </w:t>
      </w:r>
      <w:r>
        <w:rPr/>
        <w:t>determining</w:t>
      </w:r>
      <w:r>
        <w:rPr>
          <w:spacing w:val="40"/>
        </w:rPr>
        <w:t> </w:t>
      </w:r>
      <w:r>
        <w:rPr/>
        <w:t>employer satisfaction</w:t>
      </w:r>
    </w:p>
    <w:p>
      <w:pPr>
        <w:pStyle w:val="BodyText"/>
        <w:spacing w:before="2"/>
        <w:rPr>
          <w:b/>
          <w:sz w:val="12"/>
        </w:rPr>
      </w:pPr>
      <w:r>
        <w:rPr/>
        <w:drawing>
          <wp:anchor distT="0" distB="0" distL="0" distR="0" allowOverlap="1" layoutInCell="1" locked="0" behindDoc="0" simplePos="0" relativeHeight="36">
            <wp:simplePos x="0" y="0"/>
            <wp:positionH relativeFrom="page">
              <wp:posOffset>1257098</wp:posOffset>
            </wp:positionH>
            <wp:positionV relativeFrom="paragraph">
              <wp:posOffset>109213</wp:posOffset>
            </wp:positionV>
            <wp:extent cx="6062960" cy="2331720"/>
            <wp:effectExtent l="0" t="0" r="0" b="0"/>
            <wp:wrapTopAndBottom/>
            <wp:docPr id="51" name="image26.png" descr="Graph showing logistic regression results of internal factors determining employer satisfation "/>
            <wp:cNvGraphicFramePr>
              <a:graphicFrameLocks noChangeAspect="1"/>
            </wp:cNvGraphicFramePr>
            <a:graphic>
              <a:graphicData uri="http://schemas.openxmlformats.org/drawingml/2006/picture">
                <pic:pic>
                  <pic:nvPicPr>
                    <pic:cNvPr id="52" name="image26.png"/>
                    <pic:cNvPicPr/>
                  </pic:nvPicPr>
                  <pic:blipFill>
                    <a:blip r:embed="rId38" cstate="print"/>
                    <a:stretch>
                      <a:fillRect/>
                    </a:stretch>
                  </pic:blipFill>
                  <pic:spPr>
                    <a:xfrm>
                      <a:off x="0" y="0"/>
                      <a:ext cx="6062960" cy="2331720"/>
                    </a:xfrm>
                    <a:prstGeom prst="rect">
                      <a:avLst/>
                    </a:prstGeom>
                  </pic:spPr>
                </pic:pic>
              </a:graphicData>
            </a:graphic>
          </wp:anchor>
        </w:drawing>
      </w:r>
    </w:p>
    <w:p>
      <w:pPr>
        <w:pStyle w:val="BodyText"/>
        <w:spacing w:before="2"/>
        <w:rPr>
          <w:b/>
          <w:sz w:val="30"/>
        </w:rPr>
      </w:pPr>
    </w:p>
    <w:p>
      <w:pPr>
        <w:pStyle w:val="Heading4"/>
        <w:spacing w:line="243" w:lineRule="exact"/>
        <w:jc w:val="left"/>
        <w:rPr>
          <w:i/>
        </w:rPr>
      </w:pPr>
      <w:bookmarkStart w:name="Among employers – external factors" w:id="115"/>
      <w:bookmarkEnd w:id="115"/>
      <w:r>
        <w:rPr>
          <w:b w:val="0"/>
          <w:i w:val="0"/>
        </w:rPr>
      </w:r>
      <w:r>
        <w:rPr>
          <w:i/>
        </w:rPr>
        <w:t>Among</w:t>
      </w:r>
      <w:r>
        <w:rPr>
          <w:i/>
          <w:spacing w:val="-4"/>
        </w:rPr>
        <w:t> </w:t>
      </w:r>
      <w:r>
        <w:rPr>
          <w:i/>
        </w:rPr>
        <w:t>employers</w:t>
      </w:r>
      <w:r>
        <w:rPr>
          <w:i/>
          <w:spacing w:val="-5"/>
        </w:rPr>
        <w:t> </w:t>
      </w:r>
      <w:r>
        <w:rPr>
          <w:i/>
        </w:rPr>
        <w:t>–</w:t>
      </w:r>
      <w:r>
        <w:rPr>
          <w:i/>
          <w:spacing w:val="-4"/>
        </w:rPr>
        <w:t> </w:t>
      </w:r>
      <w:r>
        <w:rPr>
          <w:i/>
        </w:rPr>
        <w:t>external</w:t>
      </w:r>
      <w:r>
        <w:rPr>
          <w:i/>
          <w:spacing w:val="-4"/>
        </w:rPr>
        <w:t> </w:t>
      </w:r>
      <w:r>
        <w:rPr>
          <w:i/>
          <w:spacing w:val="-2"/>
        </w:rPr>
        <w:t>factors</w:t>
      </w:r>
    </w:p>
    <w:p>
      <w:pPr>
        <w:pStyle w:val="BodyText"/>
        <w:ind w:left="1337" w:right="1472"/>
      </w:pPr>
      <w:r>
        <w:rPr/>
        <w:t>The independent external variables which were found to be determinants of whether</w:t>
      </w:r>
      <w:r>
        <w:rPr>
          <w:spacing w:val="-3"/>
        </w:rPr>
        <w:t> </w:t>
      </w:r>
      <w:r>
        <w:rPr/>
        <w:t>employers</w:t>
      </w:r>
      <w:r>
        <w:rPr>
          <w:spacing w:val="-3"/>
        </w:rPr>
        <w:t> </w:t>
      </w:r>
      <w:r>
        <w:rPr/>
        <w:t>successfully</w:t>
      </w:r>
      <w:r>
        <w:rPr>
          <w:spacing w:val="-3"/>
        </w:rPr>
        <w:t> </w:t>
      </w:r>
      <w:r>
        <w:rPr/>
        <w:t>settled</w:t>
      </w:r>
      <w:r>
        <w:rPr>
          <w:spacing w:val="-3"/>
        </w:rPr>
        <w:t> </w:t>
      </w:r>
      <w:r>
        <w:rPr/>
        <w:t>their</w:t>
      </w:r>
      <w:r>
        <w:rPr>
          <w:spacing w:val="-3"/>
        </w:rPr>
        <w:t> </w:t>
      </w:r>
      <w:r>
        <w:rPr/>
        <w:t>EC</w:t>
      </w:r>
      <w:r>
        <w:rPr>
          <w:spacing w:val="-3"/>
        </w:rPr>
        <w:t> </w:t>
      </w:r>
      <w:r>
        <w:rPr/>
        <w:t>case</w:t>
      </w:r>
      <w:r>
        <w:rPr>
          <w:spacing w:val="-3"/>
        </w:rPr>
        <w:t> </w:t>
      </w:r>
      <w:r>
        <w:rPr/>
        <w:t>are</w:t>
      </w:r>
      <w:r>
        <w:rPr>
          <w:spacing w:val="-3"/>
        </w:rPr>
        <w:t> </w:t>
      </w:r>
      <w:r>
        <w:rPr/>
        <w:t>listed</w:t>
      </w:r>
      <w:r>
        <w:rPr>
          <w:spacing w:val="-3"/>
        </w:rPr>
        <w:t> </w:t>
      </w:r>
      <w:r>
        <w:rPr/>
        <w:t>below</w:t>
      </w:r>
      <w:r>
        <w:rPr>
          <w:spacing w:val="-3"/>
        </w:rPr>
        <w:t> </w:t>
      </w:r>
      <w:r>
        <w:rPr/>
        <w:t>in</w:t>
      </w:r>
      <w:r>
        <w:rPr>
          <w:spacing w:val="-3"/>
        </w:rPr>
        <w:t> </w:t>
      </w:r>
      <w:r>
        <w:rPr/>
        <w:t>order</w:t>
      </w:r>
      <w:r>
        <w:rPr>
          <w:spacing w:val="-3"/>
        </w:rPr>
        <w:t> </w:t>
      </w:r>
      <w:r>
        <w:rPr/>
        <w:t>of predictive strength (See Figure 21):</w:t>
      </w:r>
    </w:p>
    <w:p>
      <w:pPr>
        <w:pStyle w:val="BodyText"/>
      </w:pPr>
    </w:p>
    <w:p>
      <w:pPr>
        <w:pStyle w:val="ListParagraph"/>
        <w:numPr>
          <w:ilvl w:val="3"/>
          <w:numId w:val="27"/>
        </w:numPr>
        <w:tabs>
          <w:tab w:pos="2058" w:val="left" w:leader="none"/>
        </w:tabs>
        <w:spacing w:line="240" w:lineRule="auto" w:before="0" w:after="0"/>
        <w:ind w:left="2057" w:right="1473" w:hanging="360"/>
        <w:jc w:val="both"/>
        <w:rPr>
          <w:sz w:val="20"/>
        </w:rPr>
      </w:pPr>
      <w:r>
        <w:rPr>
          <w:i/>
          <w:sz w:val="20"/>
        </w:rPr>
        <w:t>Number</w:t>
      </w:r>
      <w:r>
        <w:rPr>
          <w:i/>
          <w:spacing w:val="-12"/>
          <w:sz w:val="20"/>
        </w:rPr>
        <w:t> </w:t>
      </w:r>
      <w:r>
        <w:rPr>
          <w:i/>
          <w:sz w:val="20"/>
        </w:rPr>
        <w:t>of</w:t>
      </w:r>
      <w:r>
        <w:rPr>
          <w:i/>
          <w:spacing w:val="-13"/>
          <w:sz w:val="20"/>
        </w:rPr>
        <w:t> </w:t>
      </w:r>
      <w:r>
        <w:rPr>
          <w:i/>
          <w:sz w:val="20"/>
        </w:rPr>
        <w:t>UK</w:t>
      </w:r>
      <w:r>
        <w:rPr>
          <w:i/>
          <w:spacing w:val="-12"/>
          <w:sz w:val="20"/>
        </w:rPr>
        <w:t> </w:t>
      </w:r>
      <w:r>
        <w:rPr>
          <w:i/>
          <w:sz w:val="20"/>
        </w:rPr>
        <w:t>workplaces:</w:t>
      </w:r>
      <w:r>
        <w:rPr>
          <w:i/>
          <w:spacing w:val="-11"/>
          <w:sz w:val="20"/>
        </w:rPr>
        <w:t> </w:t>
      </w:r>
      <w:r>
        <w:rPr>
          <w:sz w:val="20"/>
        </w:rPr>
        <w:t>Larger</w:t>
      </w:r>
      <w:r>
        <w:rPr>
          <w:spacing w:val="-13"/>
          <w:sz w:val="20"/>
        </w:rPr>
        <w:t> </w:t>
      </w:r>
      <w:r>
        <w:rPr>
          <w:sz w:val="20"/>
        </w:rPr>
        <w:t>organisations</w:t>
      </w:r>
      <w:r>
        <w:rPr>
          <w:spacing w:val="-12"/>
          <w:sz w:val="20"/>
        </w:rPr>
        <w:t> </w:t>
      </w:r>
      <w:r>
        <w:rPr>
          <w:sz w:val="20"/>
        </w:rPr>
        <w:t>–</w:t>
      </w:r>
      <w:r>
        <w:rPr>
          <w:spacing w:val="-13"/>
          <w:sz w:val="20"/>
        </w:rPr>
        <w:t> </w:t>
      </w:r>
      <w:r>
        <w:rPr>
          <w:sz w:val="20"/>
        </w:rPr>
        <w:t>those</w:t>
      </w:r>
      <w:r>
        <w:rPr>
          <w:spacing w:val="-13"/>
          <w:sz w:val="20"/>
        </w:rPr>
        <w:t> </w:t>
      </w:r>
      <w:r>
        <w:rPr>
          <w:sz w:val="20"/>
        </w:rPr>
        <w:t>with</w:t>
      </w:r>
      <w:r>
        <w:rPr>
          <w:spacing w:val="-11"/>
          <w:sz w:val="20"/>
        </w:rPr>
        <w:t> </w:t>
      </w:r>
      <w:r>
        <w:rPr>
          <w:sz w:val="20"/>
        </w:rPr>
        <w:t>more</w:t>
      </w:r>
      <w:r>
        <w:rPr>
          <w:spacing w:val="-12"/>
          <w:sz w:val="20"/>
        </w:rPr>
        <w:t> </w:t>
      </w:r>
      <w:r>
        <w:rPr>
          <w:sz w:val="20"/>
        </w:rPr>
        <w:t>than</w:t>
      </w:r>
      <w:r>
        <w:rPr>
          <w:spacing w:val="-11"/>
          <w:sz w:val="20"/>
        </w:rPr>
        <w:t> </w:t>
      </w:r>
      <w:r>
        <w:rPr>
          <w:sz w:val="20"/>
        </w:rPr>
        <w:t>one workplace</w:t>
      </w:r>
      <w:r>
        <w:rPr>
          <w:spacing w:val="-4"/>
          <w:sz w:val="20"/>
        </w:rPr>
        <w:t> </w:t>
      </w:r>
      <w:r>
        <w:rPr>
          <w:sz w:val="20"/>
        </w:rPr>
        <w:t>in</w:t>
      </w:r>
      <w:r>
        <w:rPr>
          <w:spacing w:val="-3"/>
          <w:sz w:val="20"/>
        </w:rPr>
        <w:t> </w:t>
      </w:r>
      <w:r>
        <w:rPr>
          <w:sz w:val="20"/>
        </w:rPr>
        <w:t>the</w:t>
      </w:r>
      <w:r>
        <w:rPr>
          <w:spacing w:val="-4"/>
          <w:sz w:val="20"/>
        </w:rPr>
        <w:t> </w:t>
      </w:r>
      <w:r>
        <w:rPr>
          <w:sz w:val="20"/>
        </w:rPr>
        <w:t>UK</w:t>
      </w:r>
      <w:r>
        <w:rPr>
          <w:spacing w:val="-4"/>
          <w:sz w:val="20"/>
        </w:rPr>
        <w:t> </w:t>
      </w:r>
      <w:r>
        <w:rPr>
          <w:sz w:val="20"/>
        </w:rPr>
        <w:t>–</w:t>
      </w:r>
      <w:r>
        <w:rPr>
          <w:spacing w:val="-4"/>
          <w:sz w:val="20"/>
        </w:rPr>
        <w:t> </w:t>
      </w:r>
      <w:r>
        <w:rPr>
          <w:sz w:val="20"/>
        </w:rPr>
        <w:t>were</w:t>
      </w:r>
      <w:r>
        <w:rPr>
          <w:spacing w:val="-4"/>
          <w:sz w:val="20"/>
        </w:rPr>
        <w:t> </w:t>
      </w:r>
      <w:r>
        <w:rPr>
          <w:sz w:val="20"/>
        </w:rPr>
        <w:t>correlated</w:t>
      </w:r>
      <w:r>
        <w:rPr>
          <w:spacing w:val="-3"/>
          <w:sz w:val="20"/>
        </w:rPr>
        <w:t> </w:t>
      </w:r>
      <w:r>
        <w:rPr>
          <w:sz w:val="20"/>
        </w:rPr>
        <w:t>with</w:t>
      </w:r>
      <w:r>
        <w:rPr>
          <w:spacing w:val="-4"/>
          <w:sz w:val="20"/>
        </w:rPr>
        <w:t> </w:t>
      </w:r>
      <w:r>
        <w:rPr>
          <w:sz w:val="20"/>
        </w:rPr>
        <w:t>an</w:t>
      </w:r>
      <w:r>
        <w:rPr>
          <w:spacing w:val="-3"/>
          <w:sz w:val="20"/>
        </w:rPr>
        <w:t> </w:t>
      </w:r>
      <w:r>
        <w:rPr>
          <w:sz w:val="20"/>
        </w:rPr>
        <w:t>increased</w:t>
      </w:r>
      <w:r>
        <w:rPr>
          <w:spacing w:val="-4"/>
          <w:sz w:val="20"/>
        </w:rPr>
        <w:t> </w:t>
      </w:r>
      <w:r>
        <w:rPr>
          <w:sz w:val="20"/>
        </w:rPr>
        <w:t>likelihood</w:t>
      </w:r>
      <w:r>
        <w:rPr>
          <w:spacing w:val="-3"/>
          <w:sz w:val="20"/>
        </w:rPr>
        <w:t> </w:t>
      </w:r>
      <w:r>
        <w:rPr>
          <w:sz w:val="20"/>
        </w:rPr>
        <w:t>of</w:t>
      </w:r>
      <w:r>
        <w:rPr>
          <w:spacing w:val="-3"/>
          <w:sz w:val="20"/>
        </w:rPr>
        <w:t> </w:t>
      </w:r>
      <w:r>
        <w:rPr>
          <w:sz w:val="20"/>
        </w:rPr>
        <w:t>being satisfied with the service provided by Acas.</w:t>
      </w:r>
    </w:p>
    <w:p>
      <w:pPr>
        <w:pStyle w:val="ListParagraph"/>
        <w:numPr>
          <w:ilvl w:val="3"/>
          <w:numId w:val="27"/>
        </w:numPr>
        <w:tabs>
          <w:tab w:pos="2058" w:val="left" w:leader="none"/>
        </w:tabs>
        <w:spacing w:line="240" w:lineRule="auto" w:before="0" w:after="0"/>
        <w:ind w:left="2057" w:right="1473" w:hanging="360"/>
        <w:jc w:val="both"/>
        <w:rPr>
          <w:sz w:val="20"/>
        </w:rPr>
      </w:pPr>
      <w:r>
        <w:rPr>
          <w:i/>
          <w:sz w:val="20"/>
        </w:rPr>
        <w:t>Whether the claimant works with them now: </w:t>
      </w:r>
      <w:r>
        <w:rPr>
          <w:sz w:val="20"/>
        </w:rPr>
        <w:t>A lower likelihood of satisfaction</w:t>
      </w:r>
      <w:r>
        <w:rPr>
          <w:spacing w:val="-6"/>
          <w:sz w:val="20"/>
        </w:rPr>
        <w:t> </w:t>
      </w:r>
      <w:r>
        <w:rPr>
          <w:sz w:val="20"/>
        </w:rPr>
        <w:t>was</w:t>
      </w:r>
      <w:r>
        <w:rPr>
          <w:spacing w:val="-7"/>
          <w:sz w:val="20"/>
        </w:rPr>
        <w:t> </w:t>
      </w:r>
      <w:r>
        <w:rPr>
          <w:sz w:val="20"/>
        </w:rPr>
        <w:t>correlated</w:t>
      </w:r>
      <w:r>
        <w:rPr>
          <w:spacing w:val="-7"/>
          <w:sz w:val="20"/>
        </w:rPr>
        <w:t> </w:t>
      </w:r>
      <w:r>
        <w:rPr>
          <w:sz w:val="20"/>
        </w:rPr>
        <w:t>with</w:t>
      </w:r>
      <w:r>
        <w:rPr>
          <w:spacing w:val="-6"/>
          <w:sz w:val="20"/>
        </w:rPr>
        <w:t> </w:t>
      </w:r>
      <w:r>
        <w:rPr>
          <w:sz w:val="20"/>
        </w:rPr>
        <w:t>cases</w:t>
      </w:r>
      <w:r>
        <w:rPr>
          <w:spacing w:val="-7"/>
          <w:sz w:val="20"/>
        </w:rPr>
        <w:t> </w:t>
      </w:r>
      <w:r>
        <w:rPr>
          <w:sz w:val="20"/>
        </w:rPr>
        <w:t>where</w:t>
      </w:r>
      <w:r>
        <w:rPr>
          <w:spacing w:val="-7"/>
          <w:sz w:val="20"/>
        </w:rPr>
        <w:t> </w:t>
      </w:r>
      <w:r>
        <w:rPr>
          <w:sz w:val="20"/>
        </w:rPr>
        <w:t>the</w:t>
      </w:r>
      <w:r>
        <w:rPr>
          <w:spacing w:val="-7"/>
          <w:sz w:val="20"/>
        </w:rPr>
        <w:t> </w:t>
      </w:r>
      <w:r>
        <w:rPr>
          <w:sz w:val="20"/>
        </w:rPr>
        <w:t>claimant</w:t>
      </w:r>
      <w:r>
        <w:rPr>
          <w:spacing w:val="-6"/>
          <w:sz w:val="20"/>
        </w:rPr>
        <w:t> </w:t>
      </w:r>
      <w:r>
        <w:rPr>
          <w:sz w:val="20"/>
        </w:rPr>
        <w:t>no</w:t>
      </w:r>
      <w:r>
        <w:rPr>
          <w:spacing w:val="-8"/>
          <w:sz w:val="20"/>
        </w:rPr>
        <w:t> </w:t>
      </w:r>
      <w:r>
        <w:rPr>
          <w:sz w:val="20"/>
        </w:rPr>
        <w:t>longer</w:t>
      </w:r>
      <w:r>
        <w:rPr>
          <w:spacing w:val="-7"/>
          <w:sz w:val="20"/>
        </w:rPr>
        <w:t> </w:t>
      </w:r>
      <w:r>
        <w:rPr>
          <w:sz w:val="20"/>
        </w:rPr>
        <w:t>worked with</w:t>
      </w:r>
      <w:r>
        <w:rPr>
          <w:spacing w:val="-5"/>
          <w:sz w:val="20"/>
        </w:rPr>
        <w:t> </w:t>
      </w:r>
      <w:r>
        <w:rPr>
          <w:sz w:val="20"/>
        </w:rPr>
        <w:t>the</w:t>
      </w:r>
      <w:r>
        <w:rPr>
          <w:spacing w:val="-6"/>
          <w:sz w:val="20"/>
        </w:rPr>
        <w:t> </w:t>
      </w:r>
      <w:r>
        <w:rPr>
          <w:sz w:val="20"/>
        </w:rPr>
        <w:t>employer</w:t>
      </w:r>
      <w:r>
        <w:rPr>
          <w:spacing w:val="-5"/>
          <w:sz w:val="20"/>
        </w:rPr>
        <w:t> </w:t>
      </w:r>
      <w:r>
        <w:rPr>
          <w:sz w:val="20"/>
        </w:rPr>
        <w:t>in</w:t>
      </w:r>
      <w:r>
        <w:rPr>
          <w:spacing w:val="-5"/>
          <w:sz w:val="20"/>
        </w:rPr>
        <w:t> </w:t>
      </w:r>
      <w:r>
        <w:rPr>
          <w:sz w:val="20"/>
        </w:rPr>
        <w:t>the</w:t>
      </w:r>
      <w:r>
        <w:rPr>
          <w:spacing w:val="-6"/>
          <w:sz w:val="20"/>
        </w:rPr>
        <w:t> </w:t>
      </w:r>
      <w:r>
        <w:rPr>
          <w:sz w:val="20"/>
        </w:rPr>
        <w:t>dispute.</w:t>
      </w:r>
      <w:r>
        <w:rPr>
          <w:spacing w:val="-5"/>
          <w:sz w:val="20"/>
        </w:rPr>
        <w:t> </w:t>
      </w:r>
      <w:r>
        <w:rPr>
          <w:sz w:val="20"/>
        </w:rPr>
        <w:t>It</w:t>
      </w:r>
      <w:r>
        <w:rPr>
          <w:spacing w:val="-7"/>
          <w:sz w:val="20"/>
        </w:rPr>
        <w:t> </w:t>
      </w:r>
      <w:r>
        <w:rPr>
          <w:sz w:val="20"/>
        </w:rPr>
        <w:t>should</w:t>
      </w:r>
      <w:r>
        <w:rPr>
          <w:spacing w:val="-6"/>
          <w:sz w:val="20"/>
        </w:rPr>
        <w:t> </w:t>
      </w:r>
      <w:r>
        <w:rPr>
          <w:sz w:val="20"/>
        </w:rPr>
        <w:t>be</w:t>
      </w:r>
      <w:r>
        <w:rPr>
          <w:spacing w:val="-6"/>
          <w:sz w:val="20"/>
        </w:rPr>
        <w:t> </w:t>
      </w:r>
      <w:r>
        <w:rPr>
          <w:sz w:val="20"/>
        </w:rPr>
        <w:t>noted</w:t>
      </w:r>
      <w:r>
        <w:rPr>
          <w:spacing w:val="-6"/>
          <w:sz w:val="20"/>
        </w:rPr>
        <w:t> </w:t>
      </w:r>
      <w:r>
        <w:rPr>
          <w:sz w:val="20"/>
        </w:rPr>
        <w:t>that</w:t>
      </w:r>
      <w:r>
        <w:rPr>
          <w:spacing w:val="-5"/>
          <w:sz w:val="20"/>
        </w:rPr>
        <w:t> </w:t>
      </w:r>
      <w:r>
        <w:rPr>
          <w:sz w:val="20"/>
        </w:rPr>
        <w:t>the</w:t>
      </w:r>
      <w:r>
        <w:rPr>
          <w:spacing w:val="-6"/>
          <w:sz w:val="20"/>
        </w:rPr>
        <w:t> </w:t>
      </w:r>
      <w:r>
        <w:rPr>
          <w:sz w:val="20"/>
        </w:rPr>
        <w:t>significance</w:t>
      </w:r>
      <w:r>
        <w:rPr>
          <w:spacing w:val="-6"/>
          <w:sz w:val="20"/>
        </w:rPr>
        <w:t> </w:t>
      </w:r>
      <w:r>
        <w:rPr>
          <w:sz w:val="20"/>
        </w:rPr>
        <w:t>of this relationship does not quite meet the 95% probability threshold and so should be considered more carefully.</w:t>
      </w:r>
    </w:p>
    <w:p>
      <w:pPr>
        <w:spacing w:after="0" w:line="240" w:lineRule="auto"/>
        <w:jc w:val="both"/>
        <w:rPr>
          <w:sz w:val="20"/>
        </w:rPr>
        <w:sectPr>
          <w:pgSz w:w="11910" w:h="16840"/>
          <w:pgMar w:header="0" w:footer="996" w:top="1600" w:bottom="1180" w:left="460" w:right="320"/>
        </w:sectPr>
      </w:pPr>
    </w:p>
    <w:p>
      <w:pPr>
        <w:pStyle w:val="Heading3"/>
        <w:spacing w:before="82"/>
        <w:ind w:right="1475"/>
      </w:pPr>
      <w:r>
        <w:rPr/>
        <w:t>Figure 21. Logistic regression results of external factors determining employer satisfaction</w:t>
      </w:r>
    </w:p>
    <w:p>
      <w:pPr>
        <w:pStyle w:val="BodyText"/>
        <w:spacing w:before="9"/>
        <w:rPr>
          <w:b/>
          <w:sz w:val="6"/>
        </w:rPr>
      </w:pPr>
      <w:r>
        <w:rPr/>
        <w:drawing>
          <wp:anchor distT="0" distB="0" distL="0" distR="0" allowOverlap="1" layoutInCell="1" locked="0" behindDoc="0" simplePos="0" relativeHeight="37">
            <wp:simplePos x="0" y="0"/>
            <wp:positionH relativeFrom="page">
              <wp:posOffset>1444121</wp:posOffset>
            </wp:positionH>
            <wp:positionV relativeFrom="paragraph">
              <wp:posOffset>67672</wp:posOffset>
            </wp:positionV>
            <wp:extent cx="4513122" cy="2084927"/>
            <wp:effectExtent l="0" t="0" r="0" b="0"/>
            <wp:wrapTopAndBottom/>
            <wp:docPr id="53" name="image27.png" descr="Graph showing logistic regression results of external factors determining employer satisfaction"/>
            <wp:cNvGraphicFramePr>
              <a:graphicFrameLocks noChangeAspect="1"/>
            </wp:cNvGraphicFramePr>
            <a:graphic>
              <a:graphicData uri="http://schemas.openxmlformats.org/drawingml/2006/picture">
                <pic:pic>
                  <pic:nvPicPr>
                    <pic:cNvPr id="54" name="image27.png"/>
                    <pic:cNvPicPr/>
                  </pic:nvPicPr>
                  <pic:blipFill>
                    <a:blip r:embed="rId39" cstate="print"/>
                    <a:stretch>
                      <a:fillRect/>
                    </a:stretch>
                  </pic:blipFill>
                  <pic:spPr>
                    <a:xfrm>
                      <a:off x="0" y="0"/>
                      <a:ext cx="4513122" cy="2084927"/>
                    </a:xfrm>
                    <a:prstGeom prst="rect">
                      <a:avLst/>
                    </a:prstGeom>
                  </pic:spPr>
                </pic:pic>
              </a:graphicData>
            </a:graphic>
          </wp:anchor>
        </w:drawing>
      </w:r>
    </w:p>
    <w:p>
      <w:pPr>
        <w:pStyle w:val="BodyText"/>
        <w:rPr>
          <w:b/>
          <w:sz w:val="24"/>
        </w:rPr>
      </w:pPr>
    </w:p>
    <w:p>
      <w:pPr>
        <w:pStyle w:val="BodyText"/>
        <w:spacing w:before="200"/>
        <w:ind w:left="1337" w:right="1473"/>
        <w:jc w:val="both"/>
      </w:pPr>
      <w:r>
        <w:rPr/>
        <w:t>Internal factors associated</w:t>
      </w:r>
      <w:r>
        <w:rPr>
          <w:spacing w:val="-1"/>
        </w:rPr>
        <w:t> </w:t>
      </w:r>
      <w:r>
        <w:rPr/>
        <w:t>with</w:t>
      </w:r>
      <w:r>
        <w:rPr>
          <w:spacing w:val="-1"/>
        </w:rPr>
        <w:t> </w:t>
      </w:r>
      <w:r>
        <w:rPr/>
        <w:t>higher</w:t>
      </w:r>
      <w:r>
        <w:rPr>
          <w:spacing w:val="-3"/>
        </w:rPr>
        <w:t> </w:t>
      </w:r>
      <w:r>
        <w:rPr/>
        <w:t>satisfaction</w:t>
      </w:r>
      <w:r>
        <w:rPr>
          <w:spacing w:val="-1"/>
        </w:rPr>
        <w:t> </w:t>
      </w:r>
      <w:r>
        <w:rPr/>
        <w:t>among employers were related to two concepts – the first was the ability of Acas to broker a resolution between the</w:t>
      </w:r>
      <w:r>
        <w:rPr>
          <w:spacing w:val="-7"/>
        </w:rPr>
        <w:t> </w:t>
      </w:r>
      <w:r>
        <w:rPr/>
        <w:t>two</w:t>
      </w:r>
      <w:r>
        <w:rPr>
          <w:spacing w:val="-7"/>
        </w:rPr>
        <w:t> </w:t>
      </w:r>
      <w:r>
        <w:rPr/>
        <w:t>sides</w:t>
      </w:r>
      <w:r>
        <w:rPr>
          <w:spacing w:val="-6"/>
        </w:rPr>
        <w:t> </w:t>
      </w:r>
      <w:r>
        <w:rPr/>
        <w:t>while</w:t>
      </w:r>
      <w:r>
        <w:rPr>
          <w:spacing w:val="-7"/>
        </w:rPr>
        <w:t> </w:t>
      </w:r>
      <w:r>
        <w:rPr/>
        <w:t>the</w:t>
      </w:r>
      <w:r>
        <w:rPr>
          <w:spacing w:val="-7"/>
        </w:rPr>
        <w:t> </w:t>
      </w:r>
      <w:r>
        <w:rPr/>
        <w:t>second</w:t>
      </w:r>
      <w:r>
        <w:rPr>
          <w:spacing w:val="-5"/>
        </w:rPr>
        <w:t> </w:t>
      </w:r>
      <w:r>
        <w:rPr/>
        <w:t>relates</w:t>
      </w:r>
      <w:r>
        <w:rPr>
          <w:spacing w:val="-6"/>
        </w:rPr>
        <w:t> </w:t>
      </w:r>
      <w:r>
        <w:rPr/>
        <w:t>to</w:t>
      </w:r>
      <w:r>
        <w:rPr>
          <w:spacing w:val="-7"/>
        </w:rPr>
        <w:t> </w:t>
      </w:r>
      <w:r>
        <w:rPr/>
        <w:t>the</w:t>
      </w:r>
      <w:r>
        <w:rPr>
          <w:spacing w:val="-4"/>
        </w:rPr>
        <w:t> </w:t>
      </w:r>
      <w:r>
        <w:rPr/>
        <w:t>service</w:t>
      </w:r>
      <w:r>
        <w:rPr>
          <w:spacing w:val="-7"/>
        </w:rPr>
        <w:t> </w:t>
      </w:r>
      <w:r>
        <w:rPr/>
        <w:t>provided</w:t>
      </w:r>
      <w:r>
        <w:rPr>
          <w:spacing w:val="-5"/>
        </w:rPr>
        <w:t> </w:t>
      </w:r>
      <w:r>
        <w:rPr/>
        <w:t>by</w:t>
      </w:r>
      <w:r>
        <w:rPr>
          <w:spacing w:val="-6"/>
        </w:rPr>
        <w:t> </w:t>
      </w:r>
      <w:r>
        <w:rPr/>
        <w:t>the</w:t>
      </w:r>
      <w:r>
        <w:rPr>
          <w:spacing w:val="-7"/>
        </w:rPr>
        <w:t> </w:t>
      </w:r>
      <w:r>
        <w:rPr/>
        <w:t>conciliator,</w:t>
      </w:r>
      <w:r>
        <w:rPr>
          <w:spacing w:val="-6"/>
        </w:rPr>
        <w:t> </w:t>
      </w:r>
      <w:r>
        <w:rPr/>
        <w:t>in particular</w:t>
      </w:r>
      <w:r>
        <w:rPr>
          <w:spacing w:val="-6"/>
        </w:rPr>
        <w:t> </w:t>
      </w:r>
      <w:r>
        <w:rPr/>
        <w:t>the</w:t>
      </w:r>
      <w:r>
        <w:rPr>
          <w:spacing w:val="-6"/>
        </w:rPr>
        <w:t> </w:t>
      </w:r>
      <w:r>
        <w:rPr/>
        <w:t>availability</w:t>
      </w:r>
      <w:r>
        <w:rPr>
          <w:spacing w:val="-5"/>
        </w:rPr>
        <w:t> </w:t>
      </w:r>
      <w:r>
        <w:rPr/>
        <w:t>of</w:t>
      </w:r>
      <w:r>
        <w:rPr>
          <w:spacing w:val="-5"/>
        </w:rPr>
        <w:t> </w:t>
      </w:r>
      <w:r>
        <w:rPr/>
        <w:t>the</w:t>
      </w:r>
      <w:r>
        <w:rPr>
          <w:spacing w:val="-3"/>
        </w:rPr>
        <w:t> </w:t>
      </w:r>
      <w:r>
        <w:rPr/>
        <w:t>conciliator</w:t>
      </w:r>
      <w:r>
        <w:rPr>
          <w:spacing w:val="-6"/>
        </w:rPr>
        <w:t> </w:t>
      </w:r>
      <w:r>
        <w:rPr/>
        <w:t>and</w:t>
      </w:r>
      <w:r>
        <w:rPr>
          <w:spacing w:val="-4"/>
        </w:rPr>
        <w:t> </w:t>
      </w:r>
      <w:r>
        <w:rPr/>
        <w:t>the</w:t>
      </w:r>
      <w:r>
        <w:rPr>
          <w:spacing w:val="-6"/>
        </w:rPr>
        <w:t> </w:t>
      </w:r>
      <w:r>
        <w:rPr/>
        <w:t>main</w:t>
      </w:r>
      <w:r>
        <w:rPr>
          <w:spacing w:val="-3"/>
        </w:rPr>
        <w:t> </w:t>
      </w:r>
      <w:r>
        <w:rPr/>
        <w:t>method</w:t>
      </w:r>
      <w:r>
        <w:rPr>
          <w:spacing w:val="-2"/>
        </w:rPr>
        <w:t> </w:t>
      </w:r>
      <w:r>
        <w:rPr/>
        <w:t>of</w:t>
      </w:r>
      <w:r>
        <w:rPr>
          <w:spacing w:val="-3"/>
        </w:rPr>
        <w:t> </w:t>
      </w:r>
      <w:r>
        <w:rPr/>
        <w:t>contact.</w:t>
      </w:r>
      <w:r>
        <w:rPr>
          <w:spacing w:val="-3"/>
        </w:rPr>
        <w:t> </w:t>
      </w:r>
      <w:r>
        <w:rPr/>
        <w:t>This</w:t>
      </w:r>
      <w:r>
        <w:rPr>
          <w:spacing w:val="-5"/>
        </w:rPr>
        <w:t> </w:t>
      </w:r>
      <w:r>
        <w:rPr/>
        <w:t>is similar to the 2015, which found a series of conciliator skills (proactivity, even- handedness, understanding and knowledge) to be important, alongside Acas’ role in bringing the sides closer together.</w:t>
      </w:r>
    </w:p>
    <w:p>
      <w:pPr>
        <w:pStyle w:val="BodyText"/>
      </w:pPr>
    </w:p>
    <w:p>
      <w:pPr>
        <w:pStyle w:val="BodyText"/>
        <w:ind w:left="1337" w:right="1473"/>
        <w:jc w:val="both"/>
      </w:pPr>
      <w:r>
        <w:rPr/>
        <w:t>The final factor in this year’s model – method of contact – highlights competing employer demands on the service; while phone contact is associated with higher satisfaction in the model, when asked directly employers want more email communication from conciliators.</w:t>
      </w:r>
    </w:p>
    <w:p>
      <w:pPr>
        <w:pStyle w:val="BodyText"/>
        <w:spacing w:before="11"/>
        <w:rPr>
          <w:sz w:val="19"/>
        </w:rPr>
      </w:pPr>
    </w:p>
    <w:p>
      <w:pPr>
        <w:pStyle w:val="BodyText"/>
        <w:ind w:left="1337" w:right="1472"/>
        <w:jc w:val="both"/>
      </w:pPr>
      <w:r>
        <w:rPr/>
        <w:t>Only</w:t>
      </w:r>
      <w:r>
        <w:rPr>
          <w:spacing w:val="-8"/>
        </w:rPr>
        <w:t> </w:t>
      </w:r>
      <w:r>
        <w:rPr/>
        <w:t>one</w:t>
      </w:r>
      <w:r>
        <w:rPr>
          <w:spacing w:val="-7"/>
        </w:rPr>
        <w:t> </w:t>
      </w:r>
      <w:r>
        <w:rPr/>
        <w:t>external</w:t>
      </w:r>
      <w:r>
        <w:rPr>
          <w:spacing w:val="-5"/>
        </w:rPr>
        <w:t> </w:t>
      </w:r>
      <w:r>
        <w:rPr/>
        <w:t>factor</w:t>
      </w:r>
      <w:r>
        <w:rPr>
          <w:spacing w:val="-7"/>
        </w:rPr>
        <w:t> </w:t>
      </w:r>
      <w:r>
        <w:rPr/>
        <w:t>was</w:t>
      </w:r>
      <w:r>
        <w:rPr>
          <w:spacing w:val="-9"/>
        </w:rPr>
        <w:t> </w:t>
      </w:r>
      <w:r>
        <w:rPr/>
        <w:t>found</w:t>
      </w:r>
      <w:r>
        <w:rPr>
          <w:spacing w:val="-7"/>
        </w:rPr>
        <w:t> </w:t>
      </w:r>
      <w:r>
        <w:rPr/>
        <w:t>to</w:t>
      </w:r>
      <w:r>
        <w:rPr>
          <w:spacing w:val="-9"/>
        </w:rPr>
        <w:t> </w:t>
      </w:r>
      <w:r>
        <w:rPr/>
        <w:t>have</w:t>
      </w:r>
      <w:r>
        <w:rPr>
          <w:spacing w:val="-9"/>
        </w:rPr>
        <w:t> </w:t>
      </w:r>
      <w:r>
        <w:rPr/>
        <w:t>a</w:t>
      </w:r>
      <w:r>
        <w:rPr>
          <w:spacing w:val="-5"/>
        </w:rPr>
        <w:t> </w:t>
      </w:r>
      <w:r>
        <w:rPr/>
        <w:t>bearing</w:t>
      </w:r>
      <w:r>
        <w:rPr>
          <w:spacing w:val="-7"/>
        </w:rPr>
        <w:t> </w:t>
      </w:r>
      <w:r>
        <w:rPr/>
        <w:t>on</w:t>
      </w:r>
      <w:r>
        <w:rPr>
          <w:spacing w:val="-7"/>
        </w:rPr>
        <w:t> </w:t>
      </w:r>
      <w:r>
        <w:rPr/>
        <w:t>the</w:t>
      </w:r>
      <w:r>
        <w:rPr>
          <w:spacing w:val="-9"/>
        </w:rPr>
        <w:t> </w:t>
      </w:r>
      <w:r>
        <w:rPr/>
        <w:t>likelihood</w:t>
      </w:r>
      <w:r>
        <w:rPr>
          <w:spacing w:val="-7"/>
        </w:rPr>
        <w:t> </w:t>
      </w:r>
      <w:r>
        <w:rPr/>
        <w:t>of</w:t>
      </w:r>
      <w:r>
        <w:rPr>
          <w:spacing w:val="-8"/>
        </w:rPr>
        <w:t> </w:t>
      </w:r>
      <w:r>
        <w:rPr/>
        <w:t>employer satisfaction – whether the organisation had more than one workplace in the country. This differs from 2015, when the only relevant factor was whether the employer was part of an Employers or Trade federation.</w:t>
      </w:r>
    </w:p>
    <w:p>
      <w:pPr>
        <w:pStyle w:val="BodyText"/>
        <w:spacing w:before="2"/>
      </w:pPr>
    </w:p>
    <w:p>
      <w:pPr>
        <w:pStyle w:val="Heading3"/>
        <w:numPr>
          <w:ilvl w:val="1"/>
          <w:numId w:val="2"/>
        </w:numPr>
        <w:tabs>
          <w:tab w:pos="1972" w:val="left" w:leader="none"/>
        </w:tabs>
        <w:spacing w:line="240" w:lineRule="auto" w:before="0" w:after="0"/>
        <w:ind w:left="1971" w:right="0" w:hanging="635"/>
        <w:jc w:val="both"/>
      </w:pPr>
      <w:bookmarkStart w:name="_TOC_250006" w:id="116"/>
      <w:bookmarkStart w:name="10.8  Perceived benefits of EC" w:id="117"/>
      <w:r>
        <w:rPr/>
        <w:t>P</w:t>
      </w:r>
      <w:r>
        <w:rPr/>
        <w:t>erceived</w:t>
      </w:r>
      <w:r>
        <w:rPr>
          <w:spacing w:val="-8"/>
        </w:rPr>
        <w:t> </w:t>
      </w:r>
      <w:r>
        <w:rPr/>
        <w:t>benefits</w:t>
      </w:r>
      <w:r>
        <w:rPr>
          <w:spacing w:val="-8"/>
        </w:rPr>
        <w:t> </w:t>
      </w:r>
      <w:r>
        <w:rPr/>
        <w:t>of</w:t>
      </w:r>
      <w:r>
        <w:rPr>
          <w:spacing w:val="-8"/>
        </w:rPr>
        <w:t> </w:t>
      </w:r>
      <w:bookmarkEnd w:id="116"/>
      <w:r>
        <w:rPr>
          <w:spacing w:val="-5"/>
        </w:rPr>
        <w:t>EC</w:t>
      </w:r>
    </w:p>
    <w:p>
      <w:pPr>
        <w:pStyle w:val="BodyText"/>
        <w:spacing w:before="119"/>
        <w:ind w:left="1337" w:right="1475" w:hanging="1"/>
        <w:jc w:val="both"/>
      </w:pPr>
      <w:r>
        <w:rPr/>
        <w:t>All claimant and employer-side participants were asked to say what they thought the</w:t>
      </w:r>
      <w:r>
        <w:rPr>
          <w:spacing w:val="-18"/>
        </w:rPr>
        <w:t> </w:t>
      </w:r>
      <w:r>
        <w:rPr/>
        <w:t>main</w:t>
      </w:r>
      <w:r>
        <w:rPr>
          <w:spacing w:val="-18"/>
        </w:rPr>
        <w:t> </w:t>
      </w:r>
      <w:r>
        <w:rPr/>
        <w:t>benefits</w:t>
      </w:r>
      <w:r>
        <w:rPr>
          <w:spacing w:val="-17"/>
        </w:rPr>
        <w:t> </w:t>
      </w:r>
      <w:r>
        <w:rPr/>
        <w:t>of</w:t>
      </w:r>
      <w:r>
        <w:rPr>
          <w:spacing w:val="-18"/>
        </w:rPr>
        <w:t> </w:t>
      </w:r>
      <w:r>
        <w:rPr/>
        <w:t>taking</w:t>
      </w:r>
      <w:r>
        <w:rPr>
          <w:spacing w:val="-17"/>
        </w:rPr>
        <w:t> </w:t>
      </w:r>
      <w:r>
        <w:rPr/>
        <w:t>part</w:t>
      </w:r>
      <w:r>
        <w:rPr>
          <w:spacing w:val="-18"/>
        </w:rPr>
        <w:t> </w:t>
      </w:r>
      <w:r>
        <w:rPr/>
        <w:t>in</w:t>
      </w:r>
      <w:r>
        <w:rPr>
          <w:spacing w:val="-18"/>
        </w:rPr>
        <w:t> </w:t>
      </w:r>
      <w:r>
        <w:rPr/>
        <w:t>EC</w:t>
      </w:r>
      <w:r>
        <w:rPr>
          <w:spacing w:val="-17"/>
        </w:rPr>
        <w:t> </w:t>
      </w:r>
      <w:r>
        <w:rPr/>
        <w:t>were,</w:t>
      </w:r>
      <w:r>
        <w:rPr>
          <w:spacing w:val="-18"/>
        </w:rPr>
        <w:t> </w:t>
      </w:r>
      <w:r>
        <w:rPr/>
        <w:t>compared</w:t>
      </w:r>
      <w:r>
        <w:rPr>
          <w:spacing w:val="-17"/>
        </w:rPr>
        <w:t> </w:t>
      </w:r>
      <w:r>
        <w:rPr/>
        <w:t>to</w:t>
      </w:r>
      <w:r>
        <w:rPr>
          <w:spacing w:val="-18"/>
        </w:rPr>
        <w:t> </w:t>
      </w:r>
      <w:r>
        <w:rPr/>
        <w:t>submitting</w:t>
      </w:r>
      <w:r>
        <w:rPr>
          <w:spacing w:val="-17"/>
        </w:rPr>
        <w:t> </w:t>
      </w:r>
      <w:r>
        <w:rPr/>
        <w:t>an</w:t>
      </w:r>
      <w:r>
        <w:rPr>
          <w:spacing w:val="-18"/>
        </w:rPr>
        <w:t> </w:t>
      </w:r>
      <w:r>
        <w:rPr/>
        <w:t>Employment Tribunal claim. The responses given are listed in Table 14 below.</w:t>
      </w:r>
    </w:p>
    <w:p>
      <w:pPr>
        <w:spacing w:after="0"/>
        <w:jc w:val="both"/>
        <w:sectPr>
          <w:pgSz w:w="11910" w:h="16840"/>
          <w:pgMar w:header="0" w:footer="996" w:top="1340" w:bottom="1180" w:left="460" w:right="320"/>
        </w:sectPr>
      </w:pPr>
    </w:p>
    <w:p>
      <w:pPr>
        <w:pStyle w:val="Heading3"/>
        <w:spacing w:before="82"/>
      </w:pPr>
      <w:r>
        <w:rPr/>
        <w:drawing>
          <wp:anchor distT="0" distB="0" distL="0" distR="0" allowOverlap="1" layoutInCell="1" locked="0" behindDoc="0" simplePos="0" relativeHeight="38">
            <wp:simplePos x="0" y="0"/>
            <wp:positionH relativeFrom="page">
              <wp:posOffset>1231987</wp:posOffset>
            </wp:positionH>
            <wp:positionV relativeFrom="paragraph">
              <wp:posOffset>233153</wp:posOffset>
            </wp:positionV>
            <wp:extent cx="5078333" cy="2864357"/>
            <wp:effectExtent l="0" t="0" r="0" b="0"/>
            <wp:wrapTopAndBottom/>
            <wp:docPr id="55" name="image28.png" descr="Table showing perceived benefits of EC "/>
            <wp:cNvGraphicFramePr>
              <a:graphicFrameLocks noChangeAspect="1"/>
            </wp:cNvGraphicFramePr>
            <a:graphic>
              <a:graphicData uri="http://schemas.openxmlformats.org/drawingml/2006/picture">
                <pic:pic>
                  <pic:nvPicPr>
                    <pic:cNvPr id="56" name="image28.png"/>
                    <pic:cNvPicPr/>
                  </pic:nvPicPr>
                  <pic:blipFill>
                    <a:blip r:embed="rId40" cstate="print"/>
                    <a:stretch>
                      <a:fillRect/>
                    </a:stretch>
                  </pic:blipFill>
                  <pic:spPr>
                    <a:xfrm>
                      <a:off x="0" y="0"/>
                      <a:ext cx="5078333" cy="2864357"/>
                    </a:xfrm>
                    <a:prstGeom prst="rect">
                      <a:avLst/>
                    </a:prstGeom>
                  </pic:spPr>
                </pic:pic>
              </a:graphicData>
            </a:graphic>
          </wp:anchor>
        </w:drawing>
      </w:r>
      <w:r>
        <w:rPr/>
        <w:t>Table</w:t>
      </w:r>
      <w:r>
        <w:rPr>
          <w:spacing w:val="-3"/>
        </w:rPr>
        <w:t> </w:t>
      </w:r>
      <w:r>
        <w:rPr/>
        <w:t>14.</w:t>
      </w:r>
      <w:r>
        <w:rPr>
          <w:spacing w:val="-5"/>
        </w:rPr>
        <w:t> </w:t>
      </w:r>
      <w:r>
        <w:rPr/>
        <w:t>Perceived</w:t>
      </w:r>
      <w:r>
        <w:rPr>
          <w:spacing w:val="-3"/>
        </w:rPr>
        <w:t> </w:t>
      </w:r>
      <w:r>
        <w:rPr/>
        <w:t>benefits</w:t>
      </w:r>
      <w:r>
        <w:rPr>
          <w:spacing w:val="-5"/>
        </w:rPr>
        <w:t> </w:t>
      </w:r>
      <w:r>
        <w:rPr/>
        <w:t>of</w:t>
      </w:r>
      <w:r>
        <w:rPr>
          <w:spacing w:val="-3"/>
        </w:rPr>
        <w:t> </w:t>
      </w:r>
      <w:r>
        <w:rPr>
          <w:spacing w:val="-5"/>
        </w:rPr>
        <w:t>EC</w:t>
      </w:r>
    </w:p>
    <w:p>
      <w:pPr>
        <w:pStyle w:val="BodyText"/>
        <w:spacing w:before="196"/>
        <w:ind w:left="1337" w:right="1473"/>
        <w:jc w:val="both"/>
      </w:pPr>
      <w:r>
        <w:rPr/>
        <w:t>The</w:t>
      </w:r>
      <w:r>
        <w:rPr>
          <w:spacing w:val="-11"/>
        </w:rPr>
        <w:t> </w:t>
      </w:r>
      <w:r>
        <w:rPr/>
        <w:t>primary</w:t>
      </w:r>
      <w:r>
        <w:rPr>
          <w:spacing w:val="-10"/>
        </w:rPr>
        <w:t> </w:t>
      </w:r>
      <w:r>
        <w:rPr/>
        <w:t>benefit</w:t>
      </w:r>
      <w:r>
        <w:rPr>
          <w:spacing w:val="-10"/>
        </w:rPr>
        <w:t> </w:t>
      </w:r>
      <w:r>
        <w:rPr/>
        <w:t>of</w:t>
      </w:r>
      <w:r>
        <w:rPr>
          <w:spacing w:val="-10"/>
        </w:rPr>
        <w:t> </w:t>
      </w:r>
      <w:r>
        <w:rPr/>
        <w:t>EC</w:t>
      </w:r>
      <w:r>
        <w:rPr>
          <w:spacing w:val="-10"/>
        </w:rPr>
        <w:t> </w:t>
      </w:r>
      <w:r>
        <w:rPr/>
        <w:t>referenced</w:t>
      </w:r>
      <w:r>
        <w:rPr>
          <w:spacing w:val="-10"/>
        </w:rPr>
        <w:t> </w:t>
      </w:r>
      <w:r>
        <w:rPr/>
        <w:t>by</w:t>
      </w:r>
      <w:r>
        <w:rPr>
          <w:spacing w:val="-10"/>
        </w:rPr>
        <w:t> </w:t>
      </w:r>
      <w:r>
        <w:rPr/>
        <w:t>both</w:t>
      </w:r>
      <w:r>
        <w:rPr>
          <w:spacing w:val="-10"/>
        </w:rPr>
        <w:t> </w:t>
      </w:r>
      <w:r>
        <w:rPr/>
        <w:t>audiences</w:t>
      </w:r>
      <w:r>
        <w:rPr>
          <w:spacing w:val="-10"/>
        </w:rPr>
        <w:t> </w:t>
      </w:r>
      <w:r>
        <w:rPr/>
        <w:t>was</w:t>
      </w:r>
      <w:r>
        <w:rPr>
          <w:spacing w:val="-10"/>
        </w:rPr>
        <w:t> </w:t>
      </w:r>
      <w:r>
        <w:rPr/>
        <w:t>that</w:t>
      </w:r>
      <w:r>
        <w:rPr>
          <w:spacing w:val="-10"/>
        </w:rPr>
        <w:t> </w:t>
      </w:r>
      <w:r>
        <w:rPr/>
        <w:t>it</w:t>
      </w:r>
      <w:r>
        <w:rPr>
          <w:spacing w:val="-10"/>
        </w:rPr>
        <w:t> </w:t>
      </w:r>
      <w:r>
        <w:rPr/>
        <w:t>could</w:t>
      </w:r>
      <w:r>
        <w:rPr>
          <w:spacing w:val="-10"/>
        </w:rPr>
        <w:t> </w:t>
      </w:r>
      <w:r>
        <w:rPr/>
        <w:t>save</w:t>
      </w:r>
      <w:r>
        <w:rPr>
          <w:spacing w:val="-11"/>
        </w:rPr>
        <w:t> </w:t>
      </w:r>
      <w:r>
        <w:rPr/>
        <w:t>time –</w:t>
      </w:r>
      <w:r>
        <w:rPr>
          <w:spacing w:val="-11"/>
        </w:rPr>
        <w:t> </w:t>
      </w:r>
      <w:r>
        <w:rPr/>
        <w:t>both</w:t>
      </w:r>
      <w:r>
        <w:rPr>
          <w:spacing w:val="-11"/>
        </w:rPr>
        <w:t> </w:t>
      </w:r>
      <w:r>
        <w:rPr/>
        <w:t>by</w:t>
      </w:r>
      <w:r>
        <w:rPr>
          <w:spacing w:val="-10"/>
        </w:rPr>
        <w:t> </w:t>
      </w:r>
      <w:r>
        <w:rPr/>
        <w:t>resolving</w:t>
      </w:r>
      <w:r>
        <w:rPr>
          <w:spacing w:val="-10"/>
        </w:rPr>
        <w:t> </w:t>
      </w:r>
      <w:r>
        <w:rPr/>
        <w:t>the</w:t>
      </w:r>
      <w:r>
        <w:rPr>
          <w:spacing w:val="-11"/>
        </w:rPr>
        <w:t> </w:t>
      </w:r>
      <w:r>
        <w:rPr/>
        <w:t>issue</w:t>
      </w:r>
      <w:r>
        <w:rPr>
          <w:spacing w:val="-11"/>
        </w:rPr>
        <w:t> </w:t>
      </w:r>
      <w:r>
        <w:rPr/>
        <w:t>more</w:t>
      </w:r>
      <w:r>
        <w:rPr>
          <w:spacing w:val="-11"/>
        </w:rPr>
        <w:t> </w:t>
      </w:r>
      <w:r>
        <w:rPr/>
        <w:t>quickly</w:t>
      </w:r>
      <w:r>
        <w:rPr>
          <w:spacing w:val="-10"/>
        </w:rPr>
        <w:t> </w:t>
      </w:r>
      <w:r>
        <w:rPr/>
        <w:t>(35</w:t>
      </w:r>
      <w:r>
        <w:rPr>
          <w:spacing w:val="-11"/>
        </w:rPr>
        <w:t> </w:t>
      </w:r>
      <w:r>
        <w:rPr/>
        <w:t>per</w:t>
      </w:r>
      <w:r>
        <w:rPr>
          <w:spacing w:val="-11"/>
        </w:rPr>
        <w:t> </w:t>
      </w:r>
      <w:r>
        <w:rPr/>
        <w:t>cent</w:t>
      </w:r>
      <w:r>
        <w:rPr>
          <w:spacing w:val="-10"/>
        </w:rPr>
        <w:t> </w:t>
      </w:r>
      <w:r>
        <w:rPr/>
        <w:t>and</w:t>
      </w:r>
      <w:r>
        <w:rPr>
          <w:spacing w:val="-13"/>
        </w:rPr>
        <w:t> </w:t>
      </w:r>
      <w:r>
        <w:rPr/>
        <w:t>37</w:t>
      </w:r>
      <w:r>
        <w:rPr>
          <w:spacing w:val="-11"/>
        </w:rPr>
        <w:t> </w:t>
      </w:r>
      <w:r>
        <w:rPr/>
        <w:t>per</w:t>
      </w:r>
      <w:r>
        <w:rPr>
          <w:spacing w:val="-11"/>
        </w:rPr>
        <w:t> </w:t>
      </w:r>
      <w:r>
        <w:rPr/>
        <w:t>cent</w:t>
      </w:r>
      <w:r>
        <w:rPr>
          <w:spacing w:val="-11"/>
        </w:rPr>
        <w:t> </w:t>
      </w:r>
      <w:r>
        <w:rPr/>
        <w:t>of</w:t>
      </w:r>
      <w:r>
        <w:rPr>
          <w:spacing w:val="-10"/>
        </w:rPr>
        <w:t> </w:t>
      </w:r>
      <w:r>
        <w:rPr/>
        <w:t>claimant and</w:t>
      </w:r>
      <w:r>
        <w:rPr>
          <w:spacing w:val="-11"/>
        </w:rPr>
        <w:t> </w:t>
      </w:r>
      <w:r>
        <w:rPr/>
        <w:t>employer</w:t>
      </w:r>
      <w:r>
        <w:rPr>
          <w:spacing w:val="-12"/>
        </w:rPr>
        <w:t> </w:t>
      </w:r>
      <w:r>
        <w:rPr/>
        <w:t>side</w:t>
      </w:r>
      <w:r>
        <w:rPr>
          <w:spacing w:val="-12"/>
        </w:rPr>
        <w:t> </w:t>
      </w:r>
      <w:r>
        <w:rPr/>
        <w:t>participants</w:t>
      </w:r>
      <w:r>
        <w:rPr>
          <w:spacing w:val="-11"/>
        </w:rPr>
        <w:t> </w:t>
      </w:r>
      <w:r>
        <w:rPr/>
        <w:t>respectively)</w:t>
      </w:r>
      <w:r>
        <w:rPr>
          <w:spacing w:val="-11"/>
        </w:rPr>
        <w:t> </w:t>
      </w:r>
      <w:r>
        <w:rPr/>
        <w:t>and</w:t>
      </w:r>
      <w:r>
        <w:rPr>
          <w:spacing w:val="-11"/>
        </w:rPr>
        <w:t> </w:t>
      </w:r>
      <w:r>
        <w:rPr/>
        <w:t>preventing</w:t>
      </w:r>
      <w:r>
        <w:rPr>
          <w:spacing w:val="-11"/>
        </w:rPr>
        <w:t> </w:t>
      </w:r>
      <w:r>
        <w:rPr/>
        <w:t>the</w:t>
      </w:r>
      <w:r>
        <w:rPr>
          <w:spacing w:val="-12"/>
        </w:rPr>
        <w:t> </w:t>
      </w:r>
      <w:r>
        <w:rPr/>
        <w:t>case</w:t>
      </w:r>
      <w:r>
        <w:rPr>
          <w:spacing w:val="-12"/>
        </w:rPr>
        <w:t> </w:t>
      </w:r>
      <w:r>
        <w:rPr/>
        <w:t>from</w:t>
      </w:r>
      <w:r>
        <w:rPr>
          <w:spacing w:val="-12"/>
        </w:rPr>
        <w:t> </w:t>
      </w:r>
      <w:r>
        <w:rPr/>
        <w:t>going</w:t>
      </w:r>
      <w:r>
        <w:rPr>
          <w:spacing w:val="-11"/>
        </w:rPr>
        <w:t> </w:t>
      </w:r>
      <w:r>
        <w:rPr/>
        <w:t>to tribunal</w:t>
      </w:r>
      <w:r>
        <w:rPr>
          <w:spacing w:val="-18"/>
        </w:rPr>
        <w:t> </w:t>
      </w:r>
      <w:r>
        <w:rPr/>
        <w:t>(28</w:t>
      </w:r>
      <w:r>
        <w:rPr>
          <w:spacing w:val="-18"/>
        </w:rPr>
        <w:t> </w:t>
      </w:r>
      <w:r>
        <w:rPr/>
        <w:t>per</w:t>
      </w:r>
      <w:r>
        <w:rPr>
          <w:spacing w:val="-17"/>
        </w:rPr>
        <w:t> </w:t>
      </w:r>
      <w:r>
        <w:rPr/>
        <w:t>cent</w:t>
      </w:r>
      <w:r>
        <w:rPr>
          <w:spacing w:val="-18"/>
        </w:rPr>
        <w:t> </w:t>
      </w:r>
      <w:r>
        <w:rPr/>
        <w:t>and</w:t>
      </w:r>
      <w:r>
        <w:rPr>
          <w:spacing w:val="-17"/>
        </w:rPr>
        <w:t> </w:t>
      </w:r>
      <w:r>
        <w:rPr/>
        <w:t>31</w:t>
      </w:r>
      <w:r>
        <w:rPr>
          <w:spacing w:val="-18"/>
        </w:rPr>
        <w:t> </w:t>
      </w:r>
      <w:r>
        <w:rPr/>
        <w:t>per</w:t>
      </w:r>
      <w:r>
        <w:rPr>
          <w:spacing w:val="-18"/>
        </w:rPr>
        <w:t> </w:t>
      </w:r>
      <w:r>
        <w:rPr/>
        <w:t>cent</w:t>
      </w:r>
      <w:r>
        <w:rPr>
          <w:spacing w:val="-17"/>
        </w:rPr>
        <w:t> </w:t>
      </w:r>
      <w:r>
        <w:rPr/>
        <w:t>respectively).</w:t>
      </w:r>
      <w:r>
        <w:rPr>
          <w:spacing w:val="-18"/>
        </w:rPr>
        <w:t> </w:t>
      </w:r>
      <w:r>
        <w:rPr/>
        <w:t>Employer-side</w:t>
      </w:r>
      <w:r>
        <w:rPr>
          <w:spacing w:val="-17"/>
        </w:rPr>
        <w:t> </w:t>
      </w:r>
      <w:r>
        <w:rPr/>
        <w:t>participants</w:t>
      </w:r>
      <w:r>
        <w:rPr>
          <w:spacing w:val="-18"/>
        </w:rPr>
        <w:t> </w:t>
      </w:r>
      <w:r>
        <w:rPr/>
        <w:t>were more likely to say the process was cheaper (28 per cent) while claimant-side participants reported that it was less stressful or traumatic than tribunal (24 per cent). Those employer-side participants who thought EC would make the process cheaper tended to cite legal and time associated costs as</w:t>
      </w:r>
      <w:r>
        <w:rPr>
          <w:spacing w:val="-1"/>
        </w:rPr>
        <w:t> </w:t>
      </w:r>
      <w:r>
        <w:rPr/>
        <w:t>a reason, but a minority still mentioned tribunal fees as a barrier.</w:t>
      </w:r>
    </w:p>
    <w:p>
      <w:pPr>
        <w:pStyle w:val="BodyText"/>
        <w:spacing w:before="1"/>
      </w:pPr>
    </w:p>
    <w:p>
      <w:pPr>
        <w:pStyle w:val="Heading3"/>
        <w:numPr>
          <w:ilvl w:val="1"/>
          <w:numId w:val="2"/>
        </w:numPr>
        <w:tabs>
          <w:tab w:pos="1974" w:val="left" w:leader="none"/>
        </w:tabs>
        <w:spacing w:line="240" w:lineRule="auto" w:before="0" w:after="0"/>
        <w:ind w:left="1973" w:right="0" w:hanging="637"/>
        <w:jc w:val="both"/>
      </w:pPr>
      <w:bookmarkStart w:name="10.9  Non-financial benefits to the empl" w:id="118"/>
      <w:bookmarkEnd w:id="118"/>
      <w:r>
        <w:rPr>
          <w:b w:val="0"/>
        </w:rPr>
      </w:r>
      <w:bookmarkStart w:name="_bookmark29" w:id="119"/>
      <w:bookmarkEnd w:id="119"/>
      <w:r>
        <w:rPr/>
        <w:t>N</w:t>
      </w:r>
      <w:r>
        <w:rPr/>
        <w:t>on-financial</w:t>
      </w:r>
      <w:r>
        <w:rPr>
          <w:spacing w:val="-6"/>
        </w:rPr>
        <w:t> </w:t>
      </w:r>
      <w:r>
        <w:rPr/>
        <w:t>benefits</w:t>
      </w:r>
      <w:r>
        <w:rPr>
          <w:spacing w:val="-6"/>
        </w:rPr>
        <w:t> </w:t>
      </w:r>
      <w:r>
        <w:rPr/>
        <w:t>to</w:t>
      </w:r>
      <w:r>
        <w:rPr>
          <w:spacing w:val="-5"/>
        </w:rPr>
        <w:t> </w:t>
      </w:r>
      <w:r>
        <w:rPr/>
        <w:t>the</w:t>
      </w:r>
      <w:r>
        <w:rPr>
          <w:spacing w:val="-4"/>
        </w:rPr>
        <w:t> </w:t>
      </w:r>
      <w:r>
        <w:rPr>
          <w:spacing w:val="-2"/>
        </w:rPr>
        <w:t>employer</w:t>
      </w:r>
    </w:p>
    <w:p>
      <w:pPr>
        <w:pStyle w:val="BodyText"/>
        <w:spacing w:before="121"/>
        <w:ind w:left="1337" w:right="1474"/>
        <w:jc w:val="both"/>
      </w:pPr>
      <w:r>
        <w:rPr/>
        <w:t>In</w:t>
      </w:r>
      <w:r>
        <w:rPr>
          <w:spacing w:val="-5"/>
        </w:rPr>
        <w:t> </w:t>
      </w:r>
      <w:r>
        <w:rPr/>
        <w:t>response</w:t>
      </w:r>
      <w:r>
        <w:rPr>
          <w:spacing w:val="-7"/>
        </w:rPr>
        <w:t> </w:t>
      </w:r>
      <w:r>
        <w:rPr/>
        <w:t>to</w:t>
      </w:r>
      <w:r>
        <w:rPr>
          <w:spacing w:val="-6"/>
        </w:rPr>
        <w:t> </w:t>
      </w:r>
      <w:r>
        <w:rPr/>
        <w:t>a</w:t>
      </w:r>
      <w:r>
        <w:rPr>
          <w:spacing w:val="-6"/>
        </w:rPr>
        <w:t> </w:t>
      </w:r>
      <w:r>
        <w:rPr/>
        <w:t>separate,</w:t>
      </w:r>
      <w:r>
        <w:rPr>
          <w:spacing w:val="-5"/>
        </w:rPr>
        <w:t> </w:t>
      </w:r>
      <w:r>
        <w:rPr/>
        <w:t>but</w:t>
      </w:r>
      <w:r>
        <w:rPr>
          <w:spacing w:val="-5"/>
        </w:rPr>
        <w:t> </w:t>
      </w:r>
      <w:r>
        <w:rPr/>
        <w:t>related</w:t>
      </w:r>
      <w:r>
        <w:rPr>
          <w:spacing w:val="-6"/>
        </w:rPr>
        <w:t> </w:t>
      </w:r>
      <w:r>
        <w:rPr/>
        <w:t>question,</w:t>
      </w:r>
      <w:r>
        <w:rPr>
          <w:spacing w:val="-5"/>
        </w:rPr>
        <w:t> </w:t>
      </w:r>
      <w:r>
        <w:rPr/>
        <w:t>a</w:t>
      </w:r>
      <w:r>
        <w:rPr>
          <w:spacing w:val="-6"/>
        </w:rPr>
        <w:t> </w:t>
      </w:r>
      <w:r>
        <w:rPr/>
        <w:t>sixth</w:t>
      </w:r>
      <w:r>
        <w:rPr>
          <w:spacing w:val="-5"/>
        </w:rPr>
        <w:t> </w:t>
      </w:r>
      <w:r>
        <w:rPr/>
        <w:t>(17</w:t>
      </w:r>
      <w:r>
        <w:rPr>
          <w:spacing w:val="-7"/>
        </w:rPr>
        <w:t> </w:t>
      </w:r>
      <w:r>
        <w:rPr/>
        <w:t>per</w:t>
      </w:r>
      <w:r>
        <w:rPr>
          <w:spacing w:val="-6"/>
        </w:rPr>
        <w:t> </w:t>
      </w:r>
      <w:r>
        <w:rPr/>
        <w:t>cent)</w:t>
      </w:r>
      <w:r>
        <w:rPr>
          <w:spacing w:val="-5"/>
        </w:rPr>
        <w:t> </w:t>
      </w:r>
      <w:r>
        <w:rPr/>
        <w:t>of</w:t>
      </w:r>
      <w:r>
        <w:rPr>
          <w:spacing w:val="-5"/>
        </w:rPr>
        <w:t> </w:t>
      </w:r>
      <w:r>
        <w:rPr/>
        <w:t>employers reported that the Acas conciliator had provided them with information or advice that would help them avoid having to deal with a similar case in the future. This compares to 14 per cent in 2015.</w:t>
      </w:r>
    </w:p>
    <w:p>
      <w:pPr>
        <w:pStyle w:val="BodyText"/>
        <w:spacing w:before="11"/>
        <w:rPr>
          <w:sz w:val="19"/>
        </w:rPr>
      </w:pPr>
    </w:p>
    <w:p>
      <w:pPr>
        <w:pStyle w:val="BodyText"/>
        <w:ind w:left="1337" w:right="1474"/>
        <w:jc w:val="both"/>
      </w:pPr>
      <w:r>
        <w:rPr/>
        <w:t>Those who reported this were asked whether they had made any changes in the organisation following the dispute as a result of advice or information provided by the Acas conciliator. As in 2015, this group was most likely to report that they would</w:t>
      </w:r>
      <w:r>
        <w:rPr>
          <w:spacing w:val="-13"/>
        </w:rPr>
        <w:t> </w:t>
      </w:r>
      <w:r>
        <w:rPr/>
        <w:t>ensure</w:t>
      </w:r>
      <w:r>
        <w:rPr>
          <w:spacing w:val="-13"/>
        </w:rPr>
        <w:t> </w:t>
      </w:r>
      <w:r>
        <w:rPr/>
        <w:t>procedures</w:t>
      </w:r>
      <w:r>
        <w:rPr>
          <w:spacing w:val="-13"/>
        </w:rPr>
        <w:t> </w:t>
      </w:r>
      <w:r>
        <w:rPr/>
        <w:t>already</w:t>
      </w:r>
      <w:r>
        <w:rPr>
          <w:spacing w:val="-12"/>
        </w:rPr>
        <w:t> </w:t>
      </w:r>
      <w:r>
        <w:rPr/>
        <w:t>in</w:t>
      </w:r>
      <w:r>
        <w:rPr>
          <w:spacing w:val="-15"/>
        </w:rPr>
        <w:t> </w:t>
      </w:r>
      <w:r>
        <w:rPr/>
        <w:t>place</w:t>
      </w:r>
      <w:r>
        <w:rPr>
          <w:spacing w:val="-13"/>
        </w:rPr>
        <w:t> </w:t>
      </w:r>
      <w:r>
        <w:rPr/>
        <w:t>were</w:t>
      </w:r>
      <w:r>
        <w:rPr>
          <w:spacing w:val="-13"/>
        </w:rPr>
        <w:t> </w:t>
      </w:r>
      <w:r>
        <w:rPr/>
        <w:t>followed</w:t>
      </w:r>
      <w:r>
        <w:rPr>
          <w:spacing w:val="-13"/>
        </w:rPr>
        <w:t> </w:t>
      </w:r>
      <w:r>
        <w:rPr/>
        <w:t>in</w:t>
      </w:r>
      <w:r>
        <w:rPr>
          <w:spacing w:val="-13"/>
        </w:rPr>
        <w:t> </w:t>
      </w:r>
      <w:r>
        <w:rPr/>
        <w:t>the</w:t>
      </w:r>
      <w:r>
        <w:rPr>
          <w:spacing w:val="-14"/>
        </w:rPr>
        <w:t> </w:t>
      </w:r>
      <w:r>
        <w:rPr/>
        <w:t>future</w:t>
      </w:r>
      <w:r>
        <w:rPr>
          <w:spacing w:val="-14"/>
        </w:rPr>
        <w:t> </w:t>
      </w:r>
      <w:r>
        <w:rPr/>
        <w:t>(71</w:t>
      </w:r>
      <w:r>
        <w:rPr>
          <w:spacing w:val="-13"/>
        </w:rPr>
        <w:t> </w:t>
      </w:r>
      <w:r>
        <w:rPr/>
        <w:t>per</w:t>
      </w:r>
      <w:r>
        <w:rPr>
          <w:spacing w:val="-14"/>
        </w:rPr>
        <w:t> </w:t>
      </w:r>
      <w:r>
        <w:rPr/>
        <w:t>cent). Half (52 per cent) said they were reviewing or improving the training provided to managers,</w:t>
      </w:r>
      <w:r>
        <w:rPr>
          <w:spacing w:val="-10"/>
        </w:rPr>
        <w:t> </w:t>
      </w:r>
      <w:r>
        <w:rPr/>
        <w:t>and</w:t>
      </w:r>
      <w:r>
        <w:rPr>
          <w:spacing w:val="-9"/>
        </w:rPr>
        <w:t> </w:t>
      </w:r>
      <w:r>
        <w:rPr/>
        <w:t>a</w:t>
      </w:r>
      <w:r>
        <w:rPr>
          <w:spacing w:val="-9"/>
        </w:rPr>
        <w:t> </w:t>
      </w:r>
      <w:r>
        <w:rPr/>
        <w:t>third</w:t>
      </w:r>
      <w:r>
        <w:rPr>
          <w:spacing w:val="-10"/>
        </w:rPr>
        <w:t> </w:t>
      </w:r>
      <w:r>
        <w:rPr/>
        <w:t>that</w:t>
      </w:r>
      <w:r>
        <w:rPr>
          <w:spacing w:val="-9"/>
        </w:rPr>
        <w:t> </w:t>
      </w:r>
      <w:r>
        <w:rPr/>
        <w:t>they</w:t>
      </w:r>
      <w:r>
        <w:rPr>
          <w:spacing w:val="-9"/>
        </w:rPr>
        <w:t> </w:t>
      </w:r>
      <w:r>
        <w:rPr/>
        <w:t>planned</w:t>
      </w:r>
      <w:r>
        <w:rPr>
          <w:spacing w:val="-9"/>
        </w:rPr>
        <w:t> </w:t>
      </w:r>
      <w:r>
        <w:rPr/>
        <w:t>to</w:t>
      </w:r>
      <w:r>
        <w:rPr>
          <w:spacing w:val="-9"/>
        </w:rPr>
        <w:t> </w:t>
      </w:r>
      <w:r>
        <w:rPr/>
        <w:t>introduce</w:t>
      </w:r>
      <w:r>
        <w:rPr>
          <w:spacing w:val="-10"/>
        </w:rPr>
        <w:t> </w:t>
      </w:r>
      <w:r>
        <w:rPr/>
        <w:t>or</w:t>
      </w:r>
      <w:r>
        <w:rPr>
          <w:spacing w:val="-9"/>
        </w:rPr>
        <w:t> </w:t>
      </w:r>
      <w:r>
        <w:rPr/>
        <w:t>review</w:t>
      </w:r>
      <w:r>
        <w:rPr>
          <w:spacing w:val="-9"/>
        </w:rPr>
        <w:t> </w:t>
      </w:r>
      <w:r>
        <w:rPr/>
        <w:t>current</w:t>
      </w:r>
      <w:r>
        <w:rPr>
          <w:spacing w:val="-9"/>
        </w:rPr>
        <w:t> </w:t>
      </w:r>
      <w:r>
        <w:rPr/>
        <w:t>disciplinary or grievance processes (36 per cent). There was no significant variation by case track or outcome.</w:t>
      </w:r>
    </w:p>
    <w:p>
      <w:pPr>
        <w:pStyle w:val="BodyText"/>
        <w:spacing w:before="2"/>
      </w:pPr>
    </w:p>
    <w:p>
      <w:pPr>
        <w:pStyle w:val="Heading3"/>
        <w:numPr>
          <w:ilvl w:val="1"/>
          <w:numId w:val="2"/>
        </w:numPr>
        <w:tabs>
          <w:tab w:pos="2058" w:val="left" w:leader="none"/>
        </w:tabs>
        <w:spacing w:line="240" w:lineRule="auto" w:before="0" w:after="0"/>
        <w:ind w:left="2057" w:right="0" w:hanging="721"/>
        <w:jc w:val="both"/>
      </w:pPr>
      <w:bookmarkStart w:name="10.10 Future use of Acas" w:id="120"/>
      <w:bookmarkEnd w:id="120"/>
      <w:r>
        <w:rPr>
          <w:b w:val="0"/>
        </w:rPr>
      </w:r>
      <w:bookmarkStart w:name="_bookmark30" w:id="121"/>
      <w:bookmarkEnd w:id="121"/>
      <w:r>
        <w:rPr/>
        <w:t>Fu</w:t>
      </w:r>
      <w:r>
        <w:rPr/>
        <w:t>ture</w:t>
      </w:r>
      <w:r>
        <w:rPr>
          <w:spacing w:val="-2"/>
        </w:rPr>
        <w:t> </w:t>
      </w:r>
      <w:r>
        <w:rPr/>
        <w:t>use</w:t>
      </w:r>
      <w:r>
        <w:rPr>
          <w:spacing w:val="-4"/>
        </w:rPr>
        <w:t> </w:t>
      </w:r>
      <w:r>
        <w:rPr/>
        <w:t>of</w:t>
      </w:r>
      <w:r>
        <w:rPr>
          <w:spacing w:val="-2"/>
        </w:rPr>
        <w:t> </w:t>
      </w:r>
      <w:r>
        <w:rPr>
          <w:spacing w:val="-4"/>
        </w:rPr>
        <w:t>Acas</w:t>
      </w:r>
    </w:p>
    <w:p>
      <w:pPr>
        <w:pStyle w:val="BodyText"/>
        <w:spacing w:before="119"/>
        <w:ind w:left="1337" w:right="1472"/>
        <w:jc w:val="both"/>
      </w:pPr>
      <w:r>
        <w:rPr/>
        <w:t>Survey participants were asked whether they would use Acas again if they found themselves in a similar situation. Agreement was high across almost all user and outcome groups, as was the case in 2015.</w:t>
      </w:r>
    </w:p>
    <w:p>
      <w:pPr>
        <w:pStyle w:val="BodyText"/>
      </w:pPr>
    </w:p>
    <w:p>
      <w:pPr>
        <w:pStyle w:val="BodyText"/>
        <w:ind w:left="1337" w:right="1473"/>
        <w:jc w:val="both"/>
      </w:pPr>
      <w:r>
        <w:rPr/>
        <w:t>Nine</w:t>
      </w:r>
      <w:r>
        <w:rPr>
          <w:spacing w:val="-4"/>
        </w:rPr>
        <w:t> </w:t>
      </w:r>
      <w:r>
        <w:rPr/>
        <w:t>in</w:t>
      </w:r>
      <w:r>
        <w:rPr>
          <w:spacing w:val="-3"/>
        </w:rPr>
        <w:t> </w:t>
      </w:r>
      <w:r>
        <w:rPr/>
        <w:t>ten</w:t>
      </w:r>
      <w:r>
        <w:rPr>
          <w:spacing w:val="-4"/>
        </w:rPr>
        <w:t> </w:t>
      </w:r>
      <w:r>
        <w:rPr/>
        <w:t>claimant-side</w:t>
      </w:r>
      <w:r>
        <w:rPr>
          <w:spacing w:val="-3"/>
        </w:rPr>
        <w:t> </w:t>
      </w:r>
      <w:r>
        <w:rPr/>
        <w:t>and</w:t>
      </w:r>
      <w:r>
        <w:rPr>
          <w:spacing w:val="-3"/>
        </w:rPr>
        <w:t> </w:t>
      </w:r>
      <w:r>
        <w:rPr/>
        <w:t>employer-side</w:t>
      </w:r>
      <w:r>
        <w:rPr>
          <w:spacing w:val="-4"/>
        </w:rPr>
        <w:t> </w:t>
      </w:r>
      <w:r>
        <w:rPr/>
        <w:t>participants</w:t>
      </w:r>
      <w:r>
        <w:rPr>
          <w:spacing w:val="-3"/>
        </w:rPr>
        <w:t> </w:t>
      </w:r>
      <w:r>
        <w:rPr/>
        <w:t>said</w:t>
      </w:r>
      <w:r>
        <w:rPr>
          <w:spacing w:val="-3"/>
        </w:rPr>
        <w:t> </w:t>
      </w:r>
      <w:r>
        <w:rPr/>
        <w:t>they</w:t>
      </w:r>
      <w:r>
        <w:rPr>
          <w:spacing w:val="-3"/>
        </w:rPr>
        <w:t> </w:t>
      </w:r>
      <w:r>
        <w:rPr/>
        <w:t>would</w:t>
      </w:r>
      <w:r>
        <w:rPr>
          <w:spacing w:val="-3"/>
        </w:rPr>
        <w:t> </w:t>
      </w:r>
      <w:r>
        <w:rPr/>
        <w:t>use</w:t>
      </w:r>
      <w:r>
        <w:rPr>
          <w:spacing w:val="-4"/>
        </w:rPr>
        <w:t> </w:t>
      </w:r>
      <w:r>
        <w:rPr/>
        <w:t>Acas again (90% and 87% respectively), with a majority saying that they ‘definitely’ would use Acas again (73 per cent and 56 per cent). Few participants from either group said that they would not use Acas again (nine per cent and ten per cent </w:t>
      </w:r>
      <w:r>
        <w:rPr>
          <w:spacing w:val="-2"/>
        </w:rPr>
        <w:t>respectively).</w:t>
      </w:r>
    </w:p>
    <w:p>
      <w:pPr>
        <w:spacing w:after="0"/>
        <w:jc w:val="both"/>
        <w:sectPr>
          <w:pgSz w:w="11910" w:h="16840"/>
          <w:pgMar w:header="0" w:footer="996" w:top="1340" w:bottom="1180" w:left="460" w:right="320"/>
        </w:sectPr>
      </w:pPr>
    </w:p>
    <w:p>
      <w:pPr>
        <w:pStyle w:val="BodyText"/>
        <w:spacing w:before="84"/>
        <w:ind w:left="1337" w:right="1472"/>
        <w:jc w:val="both"/>
      </w:pPr>
      <w:r>
        <w:rPr/>
        <w:t>Openness to repeat usage of Acas was highest among claimant-side participants who reached a settlement via EC: 97 per cent would do so, compared with 86 per cent of those who did not reach settlement. This trend was also found among employer-side participants: 93 per</w:t>
      </w:r>
      <w:r>
        <w:rPr>
          <w:spacing w:val="-1"/>
        </w:rPr>
        <w:t> </w:t>
      </w:r>
      <w:r>
        <w:rPr/>
        <w:t>cent of those who reached a settlement via EC reported that they would use Acas again, as would 86 per cent of those who did not reach a settlement.</w:t>
      </w:r>
    </w:p>
    <w:p>
      <w:pPr>
        <w:pStyle w:val="BodyText"/>
        <w:spacing w:before="1"/>
      </w:pPr>
    </w:p>
    <w:p>
      <w:pPr>
        <w:pStyle w:val="BodyText"/>
        <w:ind w:left="1337" w:right="1474"/>
        <w:jc w:val="both"/>
      </w:pPr>
      <w:r>
        <w:rPr/>
        <w:t>Although re-use scores were high across all case track types, claimant-side participants</w:t>
      </w:r>
      <w:r>
        <w:rPr>
          <w:spacing w:val="-5"/>
        </w:rPr>
        <w:t> </w:t>
      </w:r>
      <w:r>
        <w:rPr/>
        <w:t>involved</w:t>
      </w:r>
      <w:r>
        <w:rPr>
          <w:spacing w:val="-5"/>
        </w:rPr>
        <w:t> </w:t>
      </w:r>
      <w:r>
        <w:rPr/>
        <w:t>in</w:t>
      </w:r>
      <w:r>
        <w:rPr>
          <w:spacing w:val="-7"/>
        </w:rPr>
        <w:t> </w:t>
      </w:r>
      <w:r>
        <w:rPr/>
        <w:t>fast</w:t>
      </w:r>
      <w:r>
        <w:rPr>
          <w:spacing w:val="-6"/>
        </w:rPr>
        <w:t> </w:t>
      </w:r>
      <w:r>
        <w:rPr/>
        <w:t>track</w:t>
      </w:r>
      <w:r>
        <w:rPr>
          <w:spacing w:val="-6"/>
        </w:rPr>
        <w:t> </w:t>
      </w:r>
      <w:r>
        <w:rPr/>
        <w:t>disputes</w:t>
      </w:r>
      <w:r>
        <w:rPr>
          <w:spacing w:val="-7"/>
        </w:rPr>
        <w:t> </w:t>
      </w:r>
      <w:r>
        <w:rPr/>
        <w:t>reported</w:t>
      </w:r>
      <w:r>
        <w:rPr>
          <w:spacing w:val="-7"/>
        </w:rPr>
        <w:t> </w:t>
      </w:r>
      <w:r>
        <w:rPr/>
        <w:t>were</w:t>
      </w:r>
      <w:r>
        <w:rPr>
          <w:spacing w:val="-6"/>
        </w:rPr>
        <w:t> </w:t>
      </w:r>
      <w:r>
        <w:rPr/>
        <w:t>more</w:t>
      </w:r>
      <w:r>
        <w:rPr>
          <w:spacing w:val="-6"/>
        </w:rPr>
        <w:t> </w:t>
      </w:r>
      <w:r>
        <w:rPr/>
        <w:t>likely</w:t>
      </w:r>
      <w:r>
        <w:rPr>
          <w:spacing w:val="-5"/>
        </w:rPr>
        <w:t> </w:t>
      </w:r>
      <w:r>
        <w:rPr/>
        <w:t>to</w:t>
      </w:r>
      <w:r>
        <w:rPr>
          <w:spacing w:val="-7"/>
        </w:rPr>
        <w:t> </w:t>
      </w:r>
      <w:r>
        <w:rPr/>
        <w:t>be</w:t>
      </w:r>
      <w:r>
        <w:rPr>
          <w:spacing w:val="-7"/>
        </w:rPr>
        <w:t> </w:t>
      </w:r>
      <w:r>
        <w:rPr/>
        <w:t>open</w:t>
      </w:r>
      <w:r>
        <w:rPr>
          <w:spacing w:val="-6"/>
        </w:rPr>
        <w:t> </w:t>
      </w:r>
      <w:r>
        <w:rPr/>
        <w:t>to using Acas again (92 per cent) than those involved in open track cases (86 per cent). Among employer-side participants this trend was reversed: those involved in open (89</w:t>
      </w:r>
      <w:r>
        <w:rPr>
          <w:spacing w:val="-1"/>
        </w:rPr>
        <w:t> </w:t>
      </w:r>
      <w:r>
        <w:rPr/>
        <w:t>per cent)</w:t>
      </w:r>
      <w:r>
        <w:rPr>
          <w:spacing w:val="-1"/>
        </w:rPr>
        <w:t> </w:t>
      </w:r>
      <w:r>
        <w:rPr/>
        <w:t>or standard (92 per cent) track disputes</w:t>
      </w:r>
      <w:r>
        <w:rPr>
          <w:spacing w:val="-1"/>
        </w:rPr>
        <w:t> </w:t>
      </w:r>
      <w:r>
        <w:rPr/>
        <w:t>were</w:t>
      </w:r>
      <w:r>
        <w:rPr>
          <w:spacing w:val="-1"/>
        </w:rPr>
        <w:t> </w:t>
      </w:r>
      <w:r>
        <w:rPr/>
        <w:t>more likely to report they would be open to using Acas again than those involved in fast track disputes (81 per cent).</w:t>
      </w:r>
    </w:p>
    <w:p>
      <w:pPr>
        <w:spacing w:after="0"/>
        <w:jc w:val="both"/>
        <w:sectPr>
          <w:pgSz w:w="11910" w:h="16840"/>
          <w:pgMar w:header="0" w:footer="996" w:top="1580" w:bottom="1180" w:left="460" w:right="320"/>
        </w:sectPr>
      </w:pPr>
    </w:p>
    <w:p>
      <w:pPr>
        <w:pStyle w:val="Heading2"/>
        <w:numPr>
          <w:ilvl w:val="0"/>
          <w:numId w:val="2"/>
        </w:numPr>
        <w:tabs>
          <w:tab w:pos="2058" w:val="left" w:leader="none"/>
          <w:tab w:pos="4569" w:val="left" w:leader="none"/>
          <w:tab w:pos="6549" w:val="left" w:leader="none"/>
          <w:tab w:pos="7910" w:val="left" w:leader="none"/>
        </w:tabs>
        <w:spacing w:line="240" w:lineRule="auto" w:before="80" w:after="0"/>
        <w:ind w:left="1695" w:right="1473" w:hanging="358"/>
        <w:jc w:val="left"/>
      </w:pPr>
      <w:bookmarkStart w:name="_TOC_250005" w:id="122"/>
      <w:r>
        <w:rPr>
          <w:spacing w:val="-2"/>
        </w:rPr>
        <w:t>EMPLOYMENT</w:t>
      </w:r>
      <w:r>
        <w:rPr/>
        <w:tab/>
      </w:r>
      <w:r>
        <w:rPr>
          <w:spacing w:val="-2"/>
        </w:rPr>
        <w:t>TRIBUNAL</w:t>
      </w:r>
      <w:r>
        <w:rPr/>
        <w:tab/>
      </w:r>
      <w:r>
        <w:rPr>
          <w:spacing w:val="-2"/>
        </w:rPr>
        <w:t>CLAIM</w:t>
      </w:r>
      <w:r>
        <w:rPr/>
        <w:tab/>
      </w:r>
      <w:r>
        <w:rPr>
          <w:spacing w:val="-2"/>
        </w:rPr>
        <w:t>DECISION</w:t>
      </w:r>
      <w:r>
        <w:rPr>
          <w:spacing w:val="-2"/>
        </w:rPr>
        <w:t>-</w:t>
      </w:r>
      <w:bookmarkEnd w:id="122"/>
      <w:r>
        <w:rPr>
          <w:spacing w:val="-2"/>
        </w:rPr>
        <w:t> MAKING</w:t>
      </w:r>
    </w:p>
    <w:p>
      <w:pPr>
        <w:pStyle w:val="BodyText"/>
        <w:rPr>
          <w:b/>
          <w:sz w:val="34"/>
        </w:rPr>
      </w:pPr>
    </w:p>
    <w:p>
      <w:pPr>
        <w:pStyle w:val="BodyText"/>
        <w:spacing w:before="3"/>
        <w:rPr>
          <w:b/>
          <w:sz w:val="37"/>
        </w:rPr>
      </w:pPr>
    </w:p>
    <w:p>
      <w:pPr>
        <w:pStyle w:val="BodyText"/>
        <w:spacing w:before="1"/>
        <w:ind w:left="1337" w:right="1473"/>
        <w:jc w:val="both"/>
      </w:pPr>
      <w:r>
        <w:rPr>
          <w:b/>
        </w:rPr>
        <w:t>Synopsis: </w:t>
      </w:r>
      <w:r>
        <w:rPr/>
        <w:t>This chapter explores the decision-making process for the submission of an ET claim, both among those whose EC cases did not culminate in a formal settlement,</w:t>
      </w:r>
      <w:r>
        <w:rPr>
          <w:spacing w:val="-9"/>
        </w:rPr>
        <w:t> </w:t>
      </w:r>
      <w:r>
        <w:rPr/>
        <w:t>as</w:t>
      </w:r>
      <w:r>
        <w:rPr>
          <w:spacing w:val="-8"/>
        </w:rPr>
        <w:t> </w:t>
      </w:r>
      <w:r>
        <w:rPr/>
        <w:t>well</w:t>
      </w:r>
      <w:r>
        <w:rPr>
          <w:spacing w:val="-9"/>
        </w:rPr>
        <w:t> </w:t>
      </w:r>
      <w:r>
        <w:rPr/>
        <w:t>as</w:t>
      </w:r>
      <w:r>
        <w:rPr>
          <w:spacing w:val="-8"/>
        </w:rPr>
        <w:t> </w:t>
      </w:r>
      <w:r>
        <w:rPr/>
        <w:t>those</w:t>
      </w:r>
      <w:r>
        <w:rPr>
          <w:spacing w:val="-8"/>
        </w:rPr>
        <w:t> </w:t>
      </w:r>
      <w:r>
        <w:rPr/>
        <w:t>who</w:t>
      </w:r>
      <w:r>
        <w:rPr>
          <w:spacing w:val="-8"/>
        </w:rPr>
        <w:t> </w:t>
      </w:r>
      <w:r>
        <w:rPr/>
        <w:t>did</w:t>
      </w:r>
      <w:r>
        <w:rPr>
          <w:spacing w:val="-8"/>
        </w:rPr>
        <w:t> </w:t>
      </w:r>
      <w:r>
        <w:rPr/>
        <w:t>not</w:t>
      </w:r>
      <w:r>
        <w:rPr>
          <w:spacing w:val="-9"/>
        </w:rPr>
        <w:t> </w:t>
      </w:r>
      <w:r>
        <w:rPr/>
        <w:t>take</w:t>
      </w:r>
      <w:r>
        <w:rPr>
          <w:spacing w:val="-11"/>
        </w:rPr>
        <w:t> </w:t>
      </w:r>
      <w:r>
        <w:rPr/>
        <w:t>part</w:t>
      </w:r>
      <w:r>
        <w:rPr>
          <w:spacing w:val="-8"/>
        </w:rPr>
        <w:t> </w:t>
      </w:r>
      <w:r>
        <w:rPr/>
        <w:t>in</w:t>
      </w:r>
      <w:r>
        <w:rPr>
          <w:spacing w:val="-8"/>
        </w:rPr>
        <w:t> </w:t>
      </w:r>
      <w:r>
        <w:rPr/>
        <w:t>EC</w:t>
      </w:r>
      <w:r>
        <w:rPr>
          <w:spacing w:val="-8"/>
        </w:rPr>
        <w:t> </w:t>
      </w:r>
      <w:r>
        <w:rPr/>
        <w:t>at</w:t>
      </w:r>
      <w:r>
        <w:rPr>
          <w:spacing w:val="-9"/>
        </w:rPr>
        <w:t> </w:t>
      </w:r>
      <w:r>
        <w:rPr/>
        <w:t>all.</w:t>
      </w:r>
      <w:r>
        <w:rPr>
          <w:spacing w:val="-8"/>
        </w:rPr>
        <w:t> </w:t>
      </w:r>
      <w:r>
        <w:rPr/>
        <w:t>It</w:t>
      </w:r>
      <w:r>
        <w:rPr>
          <w:spacing w:val="-8"/>
        </w:rPr>
        <w:t> </w:t>
      </w:r>
      <w:r>
        <w:rPr/>
        <w:t>also</w:t>
      </w:r>
      <w:r>
        <w:rPr>
          <w:spacing w:val="-8"/>
        </w:rPr>
        <w:t> </w:t>
      </w:r>
      <w:r>
        <w:rPr/>
        <w:t>examines</w:t>
      </w:r>
      <w:r>
        <w:rPr>
          <w:spacing w:val="-8"/>
        </w:rPr>
        <w:t> </w:t>
      </w:r>
      <w:r>
        <w:rPr/>
        <w:t>the causes of non-submission, and the extent to which Acas affected this decision.</w:t>
      </w:r>
    </w:p>
    <w:p>
      <w:pPr>
        <w:pStyle w:val="BodyText"/>
      </w:pPr>
    </w:p>
    <w:p>
      <w:pPr>
        <w:pStyle w:val="BodyText"/>
        <w:spacing w:before="5"/>
        <w:rPr>
          <w:sz w:val="22"/>
        </w:rPr>
      </w:pPr>
    </w:p>
    <w:p>
      <w:pPr>
        <w:pStyle w:val="Heading3"/>
        <w:ind w:left="1414"/>
      </w:pPr>
      <w:r>
        <w:rPr/>
        <w:pict>
          <v:group style="position:absolute;margin-left:83.099998pt;margin-top:-13.645991pt;width:444.8pt;height:343.35pt;mso-position-horizontal-relative:page;mso-position-vertical-relative:paragraph;z-index:-18107392" id="docshapegroup40" coordorigin="1662,-273" coordsize="8896,6867">
            <v:rect style="position:absolute;left:1690;top:-243;width:8837;height:6807" id="docshape41" filled="true" fillcolor="#f1f1f1" stroked="false">
              <v:fill type="solid"/>
            </v:rect>
            <v:shape style="position:absolute;left:1662;top:-273;width:8867;height:30" id="docshape42" coordorigin="1662,-273" coordsize="8867,30" path="m1691,-273l1672,-273,1662,-273,1662,-263,1662,-243,1672,-243,1672,-263,1691,-263,1691,-273xm10529,-254l1691,-254,1681,-254,1681,-244,1681,-243,1691,-243,1691,-244,10529,-244,10529,-254xm10529,-273l1691,-273,1691,-263,10529,-263,10529,-273xe" filled="true" fillcolor="#000000" stroked="false">
              <v:path arrowok="t"/>
              <v:fill type="solid"/>
            </v:shape>
            <v:rect style="position:absolute;left:1690;top:-245;width:8838;height:2" id="docshape43" filled="true" fillcolor="#f1f1f1" stroked="false">
              <v:fill type="solid"/>
            </v:rect>
            <v:shape style="position:absolute;left:10528;top:-273;width:29;height:30" id="docshape44" coordorigin="10529,-273" coordsize="29,30" path="m10538,-254l10529,-254,10529,-244,10529,-243,10538,-243,10538,-244,10538,-254xm10558,-273l10548,-273,10529,-273,10529,-263,10548,-263,10548,-243,10558,-243,10558,-263,10558,-273xe" filled="true" fillcolor="#000000" stroked="false">
              <v:path arrowok="t"/>
              <v:fill type="solid"/>
            </v:shape>
            <v:rect style="position:absolute;left:1676;top:6563;width:8867;height:2" id="docshape45" filled="true" fillcolor="#f1f1f1" stroked="false">
              <v:fill type="solid"/>
            </v:rect>
            <v:shape style="position:absolute;left:1662;top:-243;width:8896;height:6837" id="docshape46" coordorigin="1662,-243" coordsize="8896,6837" path="m1691,6584l1672,6584,1672,-243,1662,-243,1662,6584,1662,6593,1672,6593,1691,6593,1691,6584xm10529,6584l1691,6584,1691,6593,10529,6593,10529,6584xm10529,6565l1691,6565,1691,-243,1681,-243,1681,6565,1681,6574,1691,6574,10529,6574,10529,6565xm10538,-243l10529,-243,10529,6565,10529,6574,10538,6574,10538,6565,10538,-243xm10558,-243l10548,-243,10548,6565,10548,6584,10529,6584,10529,6593,10548,6593,10558,6593,10558,6584,10558,6565,10558,-243xe" filled="true" fillcolor="#000000" stroked="false">
              <v:path arrowok="t"/>
              <v:fill type="solid"/>
            </v:shape>
            <w10:wrap type="none"/>
          </v:group>
        </w:pict>
      </w:r>
      <w:r>
        <w:rPr/>
        <w:t>Key</w:t>
      </w:r>
      <w:r>
        <w:rPr>
          <w:spacing w:val="-5"/>
        </w:rPr>
        <w:t> </w:t>
      </w:r>
      <w:r>
        <w:rPr/>
        <w:t>trends</w:t>
      </w:r>
      <w:r>
        <w:rPr>
          <w:spacing w:val="-5"/>
        </w:rPr>
        <w:t> </w:t>
      </w:r>
      <w:r>
        <w:rPr/>
        <w:t>at-a-</w:t>
      </w:r>
      <w:r>
        <w:rPr>
          <w:spacing w:val="-2"/>
        </w:rPr>
        <w:t>glance</w:t>
      </w:r>
    </w:p>
    <w:p>
      <w:pPr>
        <w:pStyle w:val="BodyText"/>
        <w:spacing w:before="12"/>
        <w:rPr>
          <w:b/>
          <w:sz w:val="19"/>
        </w:rPr>
      </w:pPr>
    </w:p>
    <w:p>
      <w:pPr>
        <w:pStyle w:val="ListParagraph"/>
        <w:numPr>
          <w:ilvl w:val="0"/>
          <w:numId w:val="28"/>
        </w:numPr>
        <w:tabs>
          <w:tab w:pos="2135" w:val="left" w:leader="none"/>
        </w:tabs>
        <w:spacing w:line="240" w:lineRule="auto" w:before="0" w:after="0"/>
        <w:ind w:left="2134" w:right="1181" w:hanging="360"/>
        <w:jc w:val="both"/>
        <w:rPr>
          <w:sz w:val="20"/>
        </w:rPr>
      </w:pPr>
      <w:r>
        <w:rPr>
          <w:sz w:val="20"/>
        </w:rPr>
        <w:t>Almost six in ten of those claimant-side participants who did not reach an agreement through EC (or other means) reported submitting or planning to submit an ET claim this year. This compares to nearly half in 2015.</w:t>
      </w:r>
    </w:p>
    <w:p>
      <w:pPr>
        <w:pStyle w:val="ListParagraph"/>
        <w:numPr>
          <w:ilvl w:val="0"/>
          <w:numId w:val="28"/>
        </w:numPr>
        <w:tabs>
          <w:tab w:pos="2135" w:val="left" w:leader="none"/>
        </w:tabs>
        <w:spacing w:line="237" w:lineRule="auto" w:before="1" w:after="0"/>
        <w:ind w:left="2134" w:right="1183" w:hanging="360"/>
        <w:jc w:val="both"/>
        <w:rPr>
          <w:sz w:val="20"/>
        </w:rPr>
      </w:pPr>
      <w:r>
        <w:rPr>
          <w:sz w:val="20"/>
        </w:rPr>
        <w:t>Two-thirds felt there was nothing more Acas could have done to resolve the situation prior to submission.</w:t>
      </w:r>
    </w:p>
    <w:p>
      <w:pPr>
        <w:pStyle w:val="ListParagraph"/>
        <w:numPr>
          <w:ilvl w:val="0"/>
          <w:numId w:val="28"/>
        </w:numPr>
        <w:tabs>
          <w:tab w:pos="2135" w:val="left" w:leader="none"/>
        </w:tabs>
        <w:spacing w:line="240" w:lineRule="auto" w:before="1" w:after="0"/>
        <w:ind w:left="2134" w:right="1183" w:hanging="360"/>
        <w:jc w:val="both"/>
        <w:rPr>
          <w:sz w:val="20"/>
        </w:rPr>
      </w:pPr>
      <w:r>
        <w:rPr>
          <w:sz w:val="20"/>
        </w:rPr>
        <w:t>Among those claimant-side participants who submitted a claim, the recovery of money owed was a key factor in their decision, as was holding their employer to account.</w:t>
      </w:r>
    </w:p>
    <w:p>
      <w:pPr>
        <w:pStyle w:val="ListParagraph"/>
        <w:numPr>
          <w:ilvl w:val="0"/>
          <w:numId w:val="28"/>
        </w:numPr>
        <w:tabs>
          <w:tab w:pos="2135" w:val="left" w:leader="none"/>
        </w:tabs>
        <w:spacing w:line="240" w:lineRule="auto" w:before="0" w:after="0"/>
        <w:ind w:left="2134" w:right="1183" w:hanging="360"/>
        <w:jc w:val="both"/>
        <w:rPr>
          <w:sz w:val="20"/>
        </w:rPr>
      </w:pPr>
      <w:r>
        <w:rPr>
          <w:sz w:val="20"/>
        </w:rPr>
        <w:t>Financial</w:t>
      </w:r>
      <w:r>
        <w:rPr>
          <w:spacing w:val="-8"/>
          <w:sz w:val="20"/>
        </w:rPr>
        <w:t> </w:t>
      </w:r>
      <w:r>
        <w:rPr>
          <w:sz w:val="20"/>
        </w:rPr>
        <w:t>cost</w:t>
      </w:r>
      <w:r>
        <w:rPr>
          <w:spacing w:val="-8"/>
          <w:sz w:val="20"/>
        </w:rPr>
        <w:t> </w:t>
      </w:r>
      <w:r>
        <w:rPr>
          <w:sz w:val="20"/>
        </w:rPr>
        <w:t>was</w:t>
      </w:r>
      <w:r>
        <w:rPr>
          <w:spacing w:val="-8"/>
          <w:sz w:val="20"/>
        </w:rPr>
        <w:t> </w:t>
      </w:r>
      <w:r>
        <w:rPr>
          <w:sz w:val="20"/>
        </w:rPr>
        <w:t>less</w:t>
      </w:r>
      <w:r>
        <w:rPr>
          <w:spacing w:val="-9"/>
          <w:sz w:val="20"/>
        </w:rPr>
        <w:t> </w:t>
      </w:r>
      <w:r>
        <w:rPr>
          <w:sz w:val="20"/>
        </w:rPr>
        <w:t>often</w:t>
      </w:r>
      <w:r>
        <w:rPr>
          <w:spacing w:val="-8"/>
          <w:sz w:val="20"/>
        </w:rPr>
        <w:t> </w:t>
      </w:r>
      <w:r>
        <w:rPr>
          <w:sz w:val="20"/>
        </w:rPr>
        <w:t>a</w:t>
      </w:r>
      <w:r>
        <w:rPr>
          <w:spacing w:val="-8"/>
          <w:sz w:val="20"/>
        </w:rPr>
        <w:t> </w:t>
      </w:r>
      <w:r>
        <w:rPr>
          <w:sz w:val="20"/>
        </w:rPr>
        <w:t>factor</w:t>
      </w:r>
      <w:r>
        <w:rPr>
          <w:spacing w:val="-8"/>
          <w:sz w:val="20"/>
        </w:rPr>
        <w:t> </w:t>
      </w:r>
      <w:r>
        <w:rPr>
          <w:sz w:val="20"/>
        </w:rPr>
        <w:t>in</w:t>
      </w:r>
      <w:r>
        <w:rPr>
          <w:spacing w:val="-9"/>
          <w:sz w:val="20"/>
        </w:rPr>
        <w:t> </w:t>
      </w:r>
      <w:r>
        <w:rPr>
          <w:sz w:val="20"/>
        </w:rPr>
        <w:t>the</w:t>
      </w:r>
      <w:r>
        <w:rPr>
          <w:spacing w:val="-8"/>
          <w:sz w:val="20"/>
        </w:rPr>
        <w:t> </w:t>
      </w:r>
      <w:r>
        <w:rPr>
          <w:sz w:val="20"/>
        </w:rPr>
        <w:t>decision</w:t>
      </w:r>
      <w:r>
        <w:rPr>
          <w:spacing w:val="-8"/>
          <w:sz w:val="20"/>
        </w:rPr>
        <w:t> </w:t>
      </w:r>
      <w:r>
        <w:rPr>
          <w:sz w:val="20"/>
        </w:rPr>
        <w:t>not</w:t>
      </w:r>
      <w:r>
        <w:rPr>
          <w:spacing w:val="-8"/>
          <w:sz w:val="20"/>
        </w:rPr>
        <w:t> </w:t>
      </w:r>
      <w:r>
        <w:rPr>
          <w:sz w:val="20"/>
        </w:rPr>
        <w:t>to</w:t>
      </w:r>
      <w:r>
        <w:rPr>
          <w:spacing w:val="-8"/>
          <w:sz w:val="20"/>
        </w:rPr>
        <w:t> </w:t>
      </w:r>
      <w:r>
        <w:rPr>
          <w:sz w:val="20"/>
        </w:rPr>
        <w:t>proceed</w:t>
      </w:r>
      <w:r>
        <w:rPr>
          <w:spacing w:val="-8"/>
          <w:sz w:val="20"/>
        </w:rPr>
        <w:t> </w:t>
      </w:r>
      <w:r>
        <w:rPr>
          <w:sz w:val="20"/>
        </w:rPr>
        <w:t>with</w:t>
      </w:r>
      <w:r>
        <w:rPr>
          <w:spacing w:val="-8"/>
          <w:sz w:val="20"/>
        </w:rPr>
        <w:t> </w:t>
      </w:r>
      <w:r>
        <w:rPr>
          <w:sz w:val="20"/>
        </w:rPr>
        <w:t>an</w:t>
      </w:r>
      <w:r>
        <w:rPr>
          <w:spacing w:val="-9"/>
          <w:sz w:val="20"/>
        </w:rPr>
        <w:t> </w:t>
      </w:r>
      <w:r>
        <w:rPr>
          <w:sz w:val="20"/>
        </w:rPr>
        <w:t>ET claim submission than in 2015. It was instead more likely that the issue had been</w:t>
      </w:r>
      <w:r>
        <w:rPr>
          <w:spacing w:val="-5"/>
          <w:sz w:val="20"/>
        </w:rPr>
        <w:t> </w:t>
      </w:r>
      <w:r>
        <w:rPr>
          <w:sz w:val="20"/>
        </w:rPr>
        <w:t>resolved</w:t>
      </w:r>
      <w:r>
        <w:rPr>
          <w:spacing w:val="-6"/>
          <w:sz w:val="20"/>
        </w:rPr>
        <w:t> </w:t>
      </w:r>
      <w:r>
        <w:rPr>
          <w:sz w:val="20"/>
        </w:rPr>
        <w:t>outside</w:t>
      </w:r>
      <w:r>
        <w:rPr>
          <w:spacing w:val="-7"/>
          <w:sz w:val="20"/>
        </w:rPr>
        <w:t> </w:t>
      </w:r>
      <w:r>
        <w:rPr>
          <w:sz w:val="20"/>
        </w:rPr>
        <w:t>of</w:t>
      </w:r>
      <w:r>
        <w:rPr>
          <w:spacing w:val="-5"/>
          <w:sz w:val="20"/>
        </w:rPr>
        <w:t> </w:t>
      </w:r>
      <w:r>
        <w:rPr>
          <w:sz w:val="20"/>
        </w:rPr>
        <w:t>conciliation,</w:t>
      </w:r>
      <w:r>
        <w:rPr>
          <w:spacing w:val="-5"/>
          <w:sz w:val="20"/>
        </w:rPr>
        <w:t> </w:t>
      </w:r>
      <w:r>
        <w:rPr>
          <w:sz w:val="20"/>
        </w:rPr>
        <w:t>and</w:t>
      </w:r>
      <w:r>
        <w:rPr>
          <w:spacing w:val="-6"/>
          <w:sz w:val="20"/>
        </w:rPr>
        <w:t> </w:t>
      </w:r>
      <w:r>
        <w:rPr>
          <w:sz w:val="20"/>
        </w:rPr>
        <w:t>therefore</w:t>
      </w:r>
      <w:r>
        <w:rPr>
          <w:spacing w:val="-6"/>
          <w:sz w:val="20"/>
        </w:rPr>
        <w:t> </w:t>
      </w:r>
      <w:r>
        <w:rPr>
          <w:sz w:val="20"/>
        </w:rPr>
        <w:t>ET</w:t>
      </w:r>
      <w:r>
        <w:rPr>
          <w:spacing w:val="-6"/>
          <w:sz w:val="20"/>
        </w:rPr>
        <w:t> </w:t>
      </w:r>
      <w:r>
        <w:rPr>
          <w:sz w:val="20"/>
        </w:rPr>
        <w:t>was</w:t>
      </w:r>
      <w:r>
        <w:rPr>
          <w:spacing w:val="-6"/>
          <w:sz w:val="20"/>
        </w:rPr>
        <w:t> </w:t>
      </w:r>
      <w:r>
        <w:rPr>
          <w:sz w:val="20"/>
        </w:rPr>
        <w:t>now</w:t>
      </w:r>
      <w:r>
        <w:rPr>
          <w:spacing w:val="-6"/>
          <w:sz w:val="20"/>
        </w:rPr>
        <w:t> </w:t>
      </w:r>
      <w:r>
        <w:rPr>
          <w:sz w:val="20"/>
        </w:rPr>
        <w:t>unnecessary.</w:t>
      </w:r>
    </w:p>
    <w:p>
      <w:pPr>
        <w:pStyle w:val="ListParagraph"/>
        <w:numPr>
          <w:ilvl w:val="0"/>
          <w:numId w:val="28"/>
        </w:numPr>
        <w:tabs>
          <w:tab w:pos="2135" w:val="left" w:leader="none"/>
        </w:tabs>
        <w:spacing w:line="237" w:lineRule="auto" w:before="0" w:after="0"/>
        <w:ind w:left="2134" w:right="1184" w:hanging="360"/>
        <w:jc w:val="both"/>
        <w:rPr>
          <w:sz w:val="20"/>
        </w:rPr>
      </w:pPr>
      <w:r>
        <w:rPr>
          <w:sz w:val="20"/>
        </w:rPr>
        <w:t>Two-thirds</w:t>
      </w:r>
      <w:r>
        <w:rPr>
          <w:spacing w:val="-8"/>
          <w:sz w:val="20"/>
        </w:rPr>
        <w:t> </w:t>
      </w:r>
      <w:r>
        <w:rPr>
          <w:sz w:val="20"/>
        </w:rPr>
        <w:t>of</w:t>
      </w:r>
      <w:r>
        <w:rPr>
          <w:spacing w:val="-7"/>
          <w:sz w:val="20"/>
        </w:rPr>
        <w:t> </w:t>
      </w:r>
      <w:r>
        <w:rPr>
          <w:sz w:val="20"/>
        </w:rPr>
        <w:t>those</w:t>
      </w:r>
      <w:r>
        <w:rPr>
          <w:spacing w:val="-8"/>
          <w:sz w:val="20"/>
        </w:rPr>
        <w:t> </w:t>
      </w:r>
      <w:r>
        <w:rPr>
          <w:sz w:val="20"/>
        </w:rPr>
        <w:t>who</w:t>
      </w:r>
      <w:r>
        <w:rPr>
          <w:spacing w:val="-7"/>
          <w:sz w:val="20"/>
        </w:rPr>
        <w:t> </w:t>
      </w:r>
      <w:r>
        <w:rPr>
          <w:sz w:val="20"/>
        </w:rPr>
        <w:t>decided</w:t>
      </w:r>
      <w:r>
        <w:rPr>
          <w:spacing w:val="-7"/>
          <w:sz w:val="20"/>
        </w:rPr>
        <w:t> </w:t>
      </w:r>
      <w:r>
        <w:rPr>
          <w:sz w:val="20"/>
        </w:rPr>
        <w:t>against</w:t>
      </w:r>
      <w:r>
        <w:rPr>
          <w:spacing w:val="-7"/>
          <w:sz w:val="20"/>
        </w:rPr>
        <w:t> </w:t>
      </w:r>
      <w:r>
        <w:rPr>
          <w:sz w:val="20"/>
        </w:rPr>
        <w:t>an</w:t>
      </w:r>
      <w:r>
        <w:rPr>
          <w:spacing w:val="-9"/>
          <w:sz w:val="20"/>
        </w:rPr>
        <w:t> </w:t>
      </w:r>
      <w:r>
        <w:rPr>
          <w:sz w:val="20"/>
        </w:rPr>
        <w:t>ET</w:t>
      </w:r>
      <w:r>
        <w:rPr>
          <w:spacing w:val="-7"/>
          <w:sz w:val="20"/>
        </w:rPr>
        <w:t> </w:t>
      </w:r>
      <w:r>
        <w:rPr>
          <w:sz w:val="20"/>
        </w:rPr>
        <w:t>claim</w:t>
      </w:r>
      <w:r>
        <w:rPr>
          <w:spacing w:val="-7"/>
          <w:sz w:val="20"/>
        </w:rPr>
        <w:t> </w:t>
      </w:r>
      <w:r>
        <w:rPr>
          <w:sz w:val="20"/>
        </w:rPr>
        <w:t>said</w:t>
      </w:r>
      <w:r>
        <w:rPr>
          <w:spacing w:val="-6"/>
          <w:sz w:val="20"/>
        </w:rPr>
        <w:t> </w:t>
      </w:r>
      <w:r>
        <w:rPr>
          <w:sz w:val="20"/>
        </w:rPr>
        <w:t>Acas</w:t>
      </w:r>
      <w:r>
        <w:rPr>
          <w:spacing w:val="-8"/>
          <w:sz w:val="20"/>
        </w:rPr>
        <w:t> </w:t>
      </w:r>
      <w:r>
        <w:rPr>
          <w:sz w:val="20"/>
        </w:rPr>
        <w:t>was</w:t>
      </w:r>
      <w:r>
        <w:rPr>
          <w:spacing w:val="-8"/>
          <w:sz w:val="20"/>
        </w:rPr>
        <w:t> </w:t>
      </w:r>
      <w:r>
        <w:rPr>
          <w:sz w:val="20"/>
        </w:rPr>
        <w:t>a</w:t>
      </w:r>
      <w:r>
        <w:rPr>
          <w:spacing w:val="-8"/>
          <w:sz w:val="20"/>
        </w:rPr>
        <w:t> </w:t>
      </w:r>
      <w:r>
        <w:rPr>
          <w:sz w:val="20"/>
        </w:rPr>
        <w:t>factor</w:t>
      </w:r>
      <w:r>
        <w:rPr>
          <w:spacing w:val="-8"/>
          <w:sz w:val="20"/>
        </w:rPr>
        <w:t> </w:t>
      </w:r>
      <w:r>
        <w:rPr>
          <w:sz w:val="20"/>
        </w:rPr>
        <w:t>in this decision.</w:t>
      </w:r>
    </w:p>
    <w:p>
      <w:pPr>
        <w:pStyle w:val="ListParagraph"/>
        <w:numPr>
          <w:ilvl w:val="0"/>
          <w:numId w:val="28"/>
        </w:numPr>
        <w:tabs>
          <w:tab w:pos="2135" w:val="left" w:leader="none"/>
        </w:tabs>
        <w:spacing w:line="240" w:lineRule="auto" w:before="0" w:after="0"/>
        <w:ind w:left="2134" w:right="1182" w:hanging="360"/>
        <w:jc w:val="both"/>
        <w:rPr>
          <w:sz w:val="20"/>
        </w:rPr>
      </w:pPr>
      <w:r>
        <w:rPr>
          <w:sz w:val="20"/>
        </w:rPr>
        <w:t>Claimant and employer-side participants differed significantly in what they assumed would have happened to their claim had EC not existed. Claimant- side participants tended to report that they would have tried to find another resolution</w:t>
      </w:r>
      <w:r>
        <w:rPr>
          <w:spacing w:val="-15"/>
          <w:sz w:val="20"/>
        </w:rPr>
        <w:t> </w:t>
      </w:r>
      <w:r>
        <w:rPr>
          <w:sz w:val="20"/>
        </w:rPr>
        <w:t>prior</w:t>
      </w:r>
      <w:r>
        <w:rPr>
          <w:spacing w:val="-15"/>
          <w:sz w:val="20"/>
        </w:rPr>
        <w:t> </w:t>
      </w:r>
      <w:r>
        <w:rPr>
          <w:sz w:val="20"/>
        </w:rPr>
        <w:t>to</w:t>
      </w:r>
      <w:r>
        <w:rPr>
          <w:spacing w:val="-15"/>
          <w:sz w:val="20"/>
        </w:rPr>
        <w:t> </w:t>
      </w:r>
      <w:r>
        <w:rPr>
          <w:sz w:val="20"/>
        </w:rPr>
        <w:t>submitting</w:t>
      </w:r>
      <w:r>
        <w:rPr>
          <w:spacing w:val="-15"/>
          <w:sz w:val="20"/>
        </w:rPr>
        <w:t> </w:t>
      </w:r>
      <w:r>
        <w:rPr>
          <w:sz w:val="20"/>
        </w:rPr>
        <w:t>an</w:t>
      </w:r>
      <w:r>
        <w:rPr>
          <w:spacing w:val="-15"/>
          <w:sz w:val="20"/>
        </w:rPr>
        <w:t> </w:t>
      </w:r>
      <w:r>
        <w:rPr>
          <w:sz w:val="20"/>
        </w:rPr>
        <w:t>ET</w:t>
      </w:r>
      <w:r>
        <w:rPr>
          <w:spacing w:val="-16"/>
          <w:sz w:val="20"/>
        </w:rPr>
        <w:t> </w:t>
      </w:r>
      <w:r>
        <w:rPr>
          <w:sz w:val="20"/>
        </w:rPr>
        <w:t>claim,</w:t>
      </w:r>
      <w:r>
        <w:rPr>
          <w:spacing w:val="-15"/>
          <w:sz w:val="20"/>
        </w:rPr>
        <w:t> </w:t>
      </w:r>
      <w:r>
        <w:rPr>
          <w:sz w:val="20"/>
        </w:rPr>
        <w:t>whereas</w:t>
      </w:r>
      <w:r>
        <w:rPr>
          <w:spacing w:val="-15"/>
          <w:sz w:val="20"/>
        </w:rPr>
        <w:t> </w:t>
      </w:r>
      <w:r>
        <w:rPr>
          <w:sz w:val="20"/>
        </w:rPr>
        <w:t>employer-side</w:t>
      </w:r>
      <w:r>
        <w:rPr>
          <w:spacing w:val="-15"/>
          <w:sz w:val="20"/>
        </w:rPr>
        <w:t> </w:t>
      </w:r>
      <w:r>
        <w:rPr>
          <w:sz w:val="20"/>
        </w:rPr>
        <w:t>participants tended to assume claimants would have proceeded to a Tribunal straight </w:t>
      </w:r>
      <w:r>
        <w:rPr>
          <w:spacing w:val="-2"/>
          <w:sz w:val="20"/>
        </w:rPr>
        <w:t>away.</w:t>
      </w:r>
    </w:p>
    <w:p>
      <w:pPr>
        <w:pStyle w:val="ListParagraph"/>
        <w:numPr>
          <w:ilvl w:val="0"/>
          <w:numId w:val="28"/>
        </w:numPr>
        <w:tabs>
          <w:tab w:pos="2135" w:val="left" w:leader="none"/>
        </w:tabs>
        <w:spacing w:line="240" w:lineRule="auto" w:before="0" w:after="0"/>
        <w:ind w:left="2134" w:right="1182" w:hanging="360"/>
        <w:jc w:val="both"/>
        <w:rPr>
          <w:sz w:val="20"/>
        </w:rPr>
      </w:pPr>
      <w:r>
        <w:rPr>
          <w:sz w:val="20"/>
        </w:rPr>
        <w:t>Among those employer-side participants who chose not to take part in EC, a large majority reported that they were happy with their decision. Claimant- side participants held a mix of opinions – while a little over half were happy with</w:t>
      </w:r>
      <w:r>
        <w:rPr>
          <w:spacing w:val="-9"/>
          <w:sz w:val="20"/>
        </w:rPr>
        <w:t> </w:t>
      </w:r>
      <w:r>
        <w:rPr>
          <w:sz w:val="20"/>
        </w:rPr>
        <w:t>their</w:t>
      </w:r>
      <w:r>
        <w:rPr>
          <w:spacing w:val="-9"/>
          <w:sz w:val="20"/>
        </w:rPr>
        <w:t> </w:t>
      </w:r>
      <w:r>
        <w:rPr>
          <w:sz w:val="20"/>
        </w:rPr>
        <w:t>decision</w:t>
      </w:r>
      <w:r>
        <w:rPr>
          <w:spacing w:val="-9"/>
          <w:sz w:val="20"/>
        </w:rPr>
        <w:t> </w:t>
      </w:r>
      <w:r>
        <w:rPr>
          <w:sz w:val="20"/>
        </w:rPr>
        <w:t>not</w:t>
      </w:r>
      <w:r>
        <w:rPr>
          <w:spacing w:val="-9"/>
          <w:sz w:val="20"/>
        </w:rPr>
        <w:t> </w:t>
      </w:r>
      <w:r>
        <w:rPr>
          <w:sz w:val="20"/>
        </w:rPr>
        <w:t>to</w:t>
      </w:r>
      <w:r>
        <w:rPr>
          <w:spacing w:val="-10"/>
          <w:sz w:val="20"/>
        </w:rPr>
        <w:t> </w:t>
      </w:r>
      <w:r>
        <w:rPr>
          <w:sz w:val="20"/>
        </w:rPr>
        <w:t>take</w:t>
      </w:r>
      <w:r>
        <w:rPr>
          <w:spacing w:val="-9"/>
          <w:sz w:val="20"/>
        </w:rPr>
        <w:t> </w:t>
      </w:r>
      <w:r>
        <w:rPr>
          <w:sz w:val="20"/>
        </w:rPr>
        <w:t>part,</w:t>
      </w:r>
      <w:r>
        <w:rPr>
          <w:spacing w:val="-10"/>
          <w:sz w:val="20"/>
        </w:rPr>
        <w:t> </w:t>
      </w:r>
      <w:r>
        <w:rPr>
          <w:sz w:val="20"/>
        </w:rPr>
        <w:t>a</w:t>
      </w:r>
      <w:r>
        <w:rPr>
          <w:spacing w:val="-9"/>
          <w:sz w:val="20"/>
        </w:rPr>
        <w:t> </w:t>
      </w:r>
      <w:r>
        <w:rPr>
          <w:sz w:val="20"/>
        </w:rPr>
        <w:t>quarter</w:t>
      </w:r>
      <w:r>
        <w:rPr>
          <w:spacing w:val="-9"/>
          <w:sz w:val="20"/>
        </w:rPr>
        <w:t> </w:t>
      </w:r>
      <w:r>
        <w:rPr>
          <w:sz w:val="20"/>
        </w:rPr>
        <w:t>were</w:t>
      </w:r>
      <w:r>
        <w:rPr>
          <w:spacing w:val="-9"/>
          <w:sz w:val="20"/>
        </w:rPr>
        <w:t> </w:t>
      </w:r>
      <w:r>
        <w:rPr>
          <w:sz w:val="20"/>
        </w:rPr>
        <w:t>unsure</w:t>
      </w:r>
      <w:r>
        <w:rPr>
          <w:spacing w:val="-9"/>
          <w:sz w:val="20"/>
        </w:rPr>
        <w:t> </w:t>
      </w:r>
      <w:r>
        <w:rPr>
          <w:sz w:val="20"/>
        </w:rPr>
        <w:t>if</w:t>
      </w:r>
      <w:r>
        <w:rPr>
          <w:spacing w:val="-9"/>
          <w:sz w:val="20"/>
        </w:rPr>
        <w:t> </w:t>
      </w:r>
      <w:r>
        <w:rPr>
          <w:sz w:val="20"/>
        </w:rPr>
        <w:t>this</w:t>
      </w:r>
      <w:r>
        <w:rPr>
          <w:spacing w:val="-9"/>
          <w:sz w:val="20"/>
        </w:rPr>
        <w:t> </w:t>
      </w:r>
      <w:r>
        <w:rPr>
          <w:sz w:val="20"/>
        </w:rPr>
        <w:t>was</w:t>
      </w:r>
      <w:r>
        <w:rPr>
          <w:spacing w:val="-10"/>
          <w:sz w:val="20"/>
        </w:rPr>
        <w:t> </w:t>
      </w:r>
      <w:r>
        <w:rPr>
          <w:sz w:val="20"/>
        </w:rPr>
        <w:t>the</w:t>
      </w:r>
      <w:r>
        <w:rPr>
          <w:spacing w:val="-9"/>
          <w:sz w:val="20"/>
        </w:rPr>
        <w:t> </w:t>
      </w:r>
      <w:r>
        <w:rPr>
          <w:sz w:val="20"/>
        </w:rPr>
        <w:t>right </w:t>
      </w:r>
      <w:r>
        <w:rPr>
          <w:spacing w:val="-2"/>
          <w:sz w:val="20"/>
        </w:rPr>
        <w:t>choice.</w:t>
      </w:r>
    </w:p>
    <w:p>
      <w:pPr>
        <w:pStyle w:val="BodyText"/>
        <w:rPr>
          <w:sz w:val="24"/>
        </w:rPr>
      </w:pPr>
    </w:p>
    <w:p>
      <w:pPr>
        <w:pStyle w:val="BodyText"/>
        <w:rPr>
          <w:sz w:val="24"/>
        </w:rPr>
      </w:pPr>
    </w:p>
    <w:p>
      <w:pPr>
        <w:pStyle w:val="Heading3"/>
        <w:numPr>
          <w:ilvl w:val="1"/>
          <w:numId w:val="2"/>
        </w:numPr>
        <w:tabs>
          <w:tab w:pos="1974" w:val="left" w:leader="none"/>
        </w:tabs>
        <w:spacing w:line="240" w:lineRule="auto" w:before="170" w:after="0"/>
        <w:ind w:left="1905" w:right="2344" w:hanging="568"/>
        <w:jc w:val="both"/>
      </w:pPr>
      <w:r>
        <w:rPr>
          <w:b w:val="0"/>
        </w:rPr>
        <w:tab/>
      </w:r>
      <w:r>
        <w:rPr/>
        <w:t>Submission</w:t>
      </w:r>
      <w:r>
        <w:rPr>
          <w:spacing w:val="-5"/>
        </w:rPr>
        <w:t> </w:t>
      </w:r>
      <w:r>
        <w:rPr/>
        <w:t>(and</w:t>
      </w:r>
      <w:r>
        <w:rPr>
          <w:spacing w:val="-5"/>
        </w:rPr>
        <w:t> </w:t>
      </w:r>
      <w:r>
        <w:rPr/>
        <w:t>intention</w:t>
      </w:r>
      <w:r>
        <w:rPr>
          <w:spacing w:val="-5"/>
        </w:rPr>
        <w:t> </w:t>
      </w:r>
      <w:r>
        <w:rPr/>
        <w:t>of</w:t>
      </w:r>
      <w:r>
        <w:rPr>
          <w:spacing w:val="-4"/>
        </w:rPr>
        <w:t> </w:t>
      </w:r>
      <w:r>
        <w:rPr/>
        <w:t>submission)</w:t>
      </w:r>
      <w:r>
        <w:rPr>
          <w:spacing w:val="-5"/>
        </w:rPr>
        <w:t> </w:t>
      </w:r>
      <w:r>
        <w:rPr/>
        <w:t>of</w:t>
      </w:r>
      <w:r>
        <w:rPr>
          <w:spacing w:val="-4"/>
        </w:rPr>
        <w:t> </w:t>
      </w:r>
      <w:r>
        <w:rPr/>
        <w:t>an</w:t>
      </w:r>
      <w:r>
        <w:rPr>
          <w:spacing w:val="-5"/>
        </w:rPr>
        <w:t> </w:t>
      </w:r>
      <w:r>
        <w:rPr/>
        <w:t>Employment Tribunal claim</w:t>
      </w:r>
    </w:p>
    <w:p>
      <w:pPr>
        <w:pStyle w:val="BodyText"/>
        <w:spacing w:before="120"/>
        <w:ind w:left="1337" w:right="1471"/>
        <w:jc w:val="both"/>
      </w:pPr>
      <w:r>
        <w:rPr/>
        <w:t>Almost six in ten (57 per cent) claimant-side participants who Acas records show had not reached a COT3 settlement reported that they had already submitted an ET1 claim and a further three per cent said they were planning to – a total of 61 per cent.</w:t>
      </w:r>
      <w:r>
        <w:rPr>
          <w:position w:val="7"/>
          <w:sz w:val="13"/>
        </w:rPr>
        <w:t>23</w:t>
      </w:r>
      <w:r>
        <w:rPr>
          <w:spacing w:val="34"/>
          <w:position w:val="7"/>
          <w:sz w:val="13"/>
        </w:rPr>
        <w:t> </w:t>
      </w:r>
      <w:r>
        <w:rPr/>
        <w:t>This figure is a significant increase on 2015, when just under half (46 per</w:t>
      </w:r>
      <w:r>
        <w:rPr>
          <w:spacing w:val="-17"/>
        </w:rPr>
        <w:t> </w:t>
      </w:r>
      <w:r>
        <w:rPr/>
        <w:t>cent)</w:t>
      </w:r>
      <w:r>
        <w:rPr>
          <w:spacing w:val="-16"/>
        </w:rPr>
        <w:t> </w:t>
      </w:r>
      <w:r>
        <w:rPr/>
        <w:t>reported</w:t>
      </w:r>
      <w:r>
        <w:rPr>
          <w:spacing w:val="-16"/>
        </w:rPr>
        <w:t> </w:t>
      </w:r>
      <w:r>
        <w:rPr/>
        <w:t>the</w:t>
      </w:r>
      <w:r>
        <w:rPr>
          <w:spacing w:val="-18"/>
        </w:rPr>
        <w:t> </w:t>
      </w:r>
      <w:r>
        <w:rPr/>
        <w:t>same;</w:t>
      </w:r>
      <w:r>
        <w:rPr>
          <w:spacing w:val="-15"/>
        </w:rPr>
        <w:t> </w:t>
      </w:r>
      <w:r>
        <w:rPr/>
        <w:t>although</w:t>
      </w:r>
      <w:r>
        <w:rPr>
          <w:spacing w:val="-16"/>
        </w:rPr>
        <w:t> </w:t>
      </w:r>
      <w:r>
        <w:rPr/>
        <w:t>this</w:t>
      </w:r>
      <w:r>
        <w:rPr>
          <w:spacing w:val="-18"/>
        </w:rPr>
        <w:t> </w:t>
      </w:r>
      <w:r>
        <w:rPr/>
        <w:t>rise</w:t>
      </w:r>
      <w:r>
        <w:rPr>
          <w:spacing w:val="-16"/>
        </w:rPr>
        <w:t> </w:t>
      </w:r>
      <w:r>
        <w:rPr/>
        <w:t>may</w:t>
      </w:r>
      <w:r>
        <w:rPr>
          <w:spacing w:val="-16"/>
        </w:rPr>
        <w:t> </w:t>
      </w:r>
      <w:r>
        <w:rPr/>
        <w:t>reflect</w:t>
      </w:r>
      <w:r>
        <w:rPr>
          <w:spacing w:val="-17"/>
        </w:rPr>
        <w:t> </w:t>
      </w:r>
      <w:r>
        <w:rPr/>
        <w:t>the</w:t>
      </w:r>
      <w:r>
        <w:rPr>
          <w:spacing w:val="-18"/>
        </w:rPr>
        <w:t> </w:t>
      </w:r>
      <w:r>
        <w:rPr/>
        <w:t>different</w:t>
      </w:r>
      <w:r>
        <w:rPr>
          <w:spacing w:val="-15"/>
        </w:rPr>
        <w:t> </w:t>
      </w:r>
      <w:r>
        <w:rPr/>
        <w:t>operational context for EC now that fees have been abolished.</w:t>
      </w:r>
    </w:p>
    <w:p>
      <w:pPr>
        <w:pStyle w:val="BodyText"/>
      </w:pPr>
    </w:p>
    <w:p>
      <w:pPr>
        <w:pStyle w:val="BodyText"/>
        <w:ind w:left="1337" w:right="1474"/>
        <w:jc w:val="both"/>
      </w:pPr>
      <w:r>
        <w:rPr/>
        <w:t>Among claimants who did not settle at EC, some groups were more likely than others to report having proceeded to submit an ET claim:</w:t>
      </w:r>
    </w:p>
    <w:p>
      <w:pPr>
        <w:pStyle w:val="ListParagraph"/>
        <w:numPr>
          <w:ilvl w:val="0"/>
          <w:numId w:val="29"/>
        </w:numPr>
        <w:tabs>
          <w:tab w:pos="2058" w:val="left" w:leader="none"/>
        </w:tabs>
        <w:spacing w:line="240" w:lineRule="auto" w:before="0" w:after="0"/>
        <w:ind w:left="2057" w:right="1474" w:hanging="361"/>
        <w:jc w:val="both"/>
        <w:rPr>
          <w:sz w:val="20"/>
        </w:rPr>
      </w:pPr>
      <w:r>
        <w:rPr>
          <w:sz w:val="20"/>
        </w:rPr>
        <w:t>Sixty-six per cent of those involved in open track disputes reported submitting an ET claim. Six in ten (57 per cent) of those in standard track disputes</w:t>
      </w:r>
      <w:r>
        <w:rPr>
          <w:spacing w:val="-15"/>
          <w:sz w:val="20"/>
        </w:rPr>
        <w:t> </w:t>
      </w:r>
      <w:r>
        <w:rPr>
          <w:sz w:val="20"/>
        </w:rPr>
        <w:t>said</w:t>
      </w:r>
      <w:r>
        <w:rPr>
          <w:spacing w:val="-15"/>
          <w:sz w:val="20"/>
        </w:rPr>
        <w:t> </w:t>
      </w:r>
      <w:r>
        <w:rPr>
          <w:sz w:val="20"/>
        </w:rPr>
        <w:t>they</w:t>
      </w:r>
      <w:r>
        <w:rPr>
          <w:spacing w:val="-16"/>
          <w:sz w:val="20"/>
        </w:rPr>
        <w:t> </w:t>
      </w:r>
      <w:r>
        <w:rPr>
          <w:sz w:val="20"/>
        </w:rPr>
        <w:t>had</w:t>
      </w:r>
      <w:r>
        <w:rPr>
          <w:spacing w:val="-18"/>
          <w:sz w:val="20"/>
        </w:rPr>
        <w:t> </w:t>
      </w:r>
      <w:r>
        <w:rPr>
          <w:sz w:val="20"/>
        </w:rPr>
        <w:t>done</w:t>
      </w:r>
      <w:r>
        <w:rPr>
          <w:spacing w:val="-15"/>
          <w:sz w:val="20"/>
        </w:rPr>
        <w:t> </w:t>
      </w:r>
      <w:r>
        <w:rPr>
          <w:sz w:val="20"/>
        </w:rPr>
        <w:t>so,</w:t>
      </w:r>
      <w:r>
        <w:rPr>
          <w:spacing w:val="-16"/>
          <w:sz w:val="20"/>
        </w:rPr>
        <w:t> </w:t>
      </w:r>
      <w:r>
        <w:rPr>
          <w:sz w:val="20"/>
        </w:rPr>
        <w:t>while</w:t>
      </w:r>
      <w:r>
        <w:rPr>
          <w:spacing w:val="-15"/>
          <w:sz w:val="20"/>
        </w:rPr>
        <w:t> </w:t>
      </w:r>
      <w:r>
        <w:rPr>
          <w:sz w:val="20"/>
        </w:rPr>
        <w:t>half</w:t>
      </w:r>
      <w:r>
        <w:rPr>
          <w:spacing w:val="-15"/>
          <w:sz w:val="20"/>
        </w:rPr>
        <w:t> </w:t>
      </w:r>
      <w:r>
        <w:rPr>
          <w:sz w:val="20"/>
        </w:rPr>
        <w:t>(53</w:t>
      </w:r>
      <w:r>
        <w:rPr>
          <w:spacing w:val="-16"/>
          <w:sz w:val="20"/>
        </w:rPr>
        <w:t> </w:t>
      </w:r>
      <w:r>
        <w:rPr>
          <w:sz w:val="20"/>
        </w:rPr>
        <w:t>per</w:t>
      </w:r>
      <w:r>
        <w:rPr>
          <w:spacing w:val="-15"/>
          <w:sz w:val="20"/>
        </w:rPr>
        <w:t> </w:t>
      </w:r>
      <w:r>
        <w:rPr>
          <w:sz w:val="20"/>
        </w:rPr>
        <w:t>cent)</w:t>
      </w:r>
      <w:r>
        <w:rPr>
          <w:spacing w:val="-15"/>
          <w:sz w:val="20"/>
        </w:rPr>
        <w:t> </w:t>
      </w:r>
      <w:r>
        <w:rPr>
          <w:sz w:val="20"/>
        </w:rPr>
        <w:t>of</w:t>
      </w:r>
      <w:r>
        <w:rPr>
          <w:spacing w:val="-16"/>
          <w:sz w:val="20"/>
        </w:rPr>
        <w:t> </w:t>
      </w:r>
      <w:r>
        <w:rPr>
          <w:sz w:val="20"/>
        </w:rPr>
        <w:t>those</w:t>
      </w:r>
      <w:r>
        <w:rPr>
          <w:spacing w:val="-15"/>
          <w:sz w:val="20"/>
        </w:rPr>
        <w:t> </w:t>
      </w:r>
      <w:r>
        <w:rPr>
          <w:sz w:val="20"/>
        </w:rPr>
        <w:t>in</w:t>
      </w:r>
      <w:r>
        <w:rPr>
          <w:spacing w:val="-15"/>
          <w:sz w:val="20"/>
        </w:rPr>
        <w:t> </w:t>
      </w:r>
      <w:r>
        <w:rPr>
          <w:sz w:val="20"/>
        </w:rPr>
        <w:t>fast</w:t>
      </w:r>
      <w:r>
        <w:rPr>
          <w:spacing w:val="-16"/>
          <w:sz w:val="20"/>
        </w:rPr>
        <w:t> </w:t>
      </w:r>
      <w:r>
        <w:rPr>
          <w:sz w:val="20"/>
        </w:rPr>
        <w:t>track disputes said this had been the case.</w:t>
      </w:r>
    </w:p>
    <w:p>
      <w:pPr>
        <w:spacing w:after="0" w:line="240" w:lineRule="auto"/>
        <w:jc w:val="both"/>
        <w:rPr>
          <w:sz w:val="20"/>
        </w:rPr>
        <w:sectPr>
          <w:pgSz w:w="11910" w:h="16840"/>
          <w:pgMar w:header="0" w:footer="996" w:top="1360" w:bottom="1180" w:left="460" w:right="318"/>
        </w:sectPr>
      </w:pPr>
    </w:p>
    <w:p>
      <w:pPr>
        <w:pStyle w:val="ListParagraph"/>
        <w:numPr>
          <w:ilvl w:val="0"/>
          <w:numId w:val="29"/>
        </w:numPr>
        <w:tabs>
          <w:tab w:pos="2057" w:val="left" w:leader="none"/>
          <w:tab w:pos="2058" w:val="left" w:leader="none"/>
        </w:tabs>
        <w:spacing w:line="237" w:lineRule="auto" w:before="84" w:after="0"/>
        <w:ind w:left="2057" w:right="1474" w:hanging="360"/>
        <w:jc w:val="left"/>
        <w:rPr>
          <w:sz w:val="20"/>
        </w:rPr>
      </w:pPr>
      <w:r>
        <w:rPr>
          <w:sz w:val="20"/>
        </w:rPr>
        <w:t>Mirroring 2015, six in ten (58 per cent) of those who had opted-in to EC, but whose employer had not, had since submitted an ET claim.</w:t>
      </w:r>
    </w:p>
    <w:p>
      <w:pPr>
        <w:pStyle w:val="BodyText"/>
      </w:pPr>
    </w:p>
    <w:p>
      <w:pPr>
        <w:pStyle w:val="BodyText"/>
        <w:ind w:left="1337" w:right="1473"/>
        <w:jc w:val="both"/>
      </w:pPr>
      <w:r>
        <w:rPr/>
        <w:t>Among</w:t>
      </w:r>
      <w:r>
        <w:rPr>
          <w:spacing w:val="-14"/>
        </w:rPr>
        <w:t> </w:t>
      </w:r>
      <w:r>
        <w:rPr/>
        <w:t>claimant-side</w:t>
      </w:r>
      <w:r>
        <w:rPr>
          <w:spacing w:val="-14"/>
        </w:rPr>
        <w:t> </w:t>
      </w:r>
      <w:r>
        <w:rPr/>
        <w:t>participants</w:t>
      </w:r>
      <w:r>
        <w:rPr>
          <w:spacing w:val="-15"/>
        </w:rPr>
        <w:t> </w:t>
      </w:r>
      <w:r>
        <w:rPr/>
        <w:t>who</w:t>
      </w:r>
      <w:r>
        <w:rPr>
          <w:spacing w:val="-16"/>
        </w:rPr>
        <w:t> </w:t>
      </w:r>
      <w:r>
        <w:rPr/>
        <w:t>had</w:t>
      </w:r>
      <w:r>
        <w:rPr>
          <w:spacing w:val="-16"/>
        </w:rPr>
        <w:t> </w:t>
      </w:r>
      <w:r>
        <w:rPr/>
        <w:t>not</w:t>
      </w:r>
      <w:r>
        <w:rPr>
          <w:spacing w:val="-15"/>
        </w:rPr>
        <w:t> </w:t>
      </w:r>
      <w:r>
        <w:rPr/>
        <w:t>submitted</w:t>
      </w:r>
      <w:r>
        <w:rPr>
          <w:spacing w:val="-15"/>
        </w:rPr>
        <w:t> </w:t>
      </w:r>
      <w:r>
        <w:rPr/>
        <w:t>an</w:t>
      </w:r>
      <w:r>
        <w:rPr>
          <w:spacing w:val="-15"/>
        </w:rPr>
        <w:t> </w:t>
      </w:r>
      <w:r>
        <w:rPr/>
        <w:t>ET</w:t>
      </w:r>
      <w:r>
        <w:rPr>
          <w:spacing w:val="-15"/>
        </w:rPr>
        <w:t> </w:t>
      </w:r>
      <w:r>
        <w:rPr/>
        <w:t>claim,</w:t>
      </w:r>
      <w:r>
        <w:rPr>
          <w:spacing w:val="-13"/>
        </w:rPr>
        <w:t> </w:t>
      </w:r>
      <w:r>
        <w:rPr/>
        <w:t>nor</w:t>
      </w:r>
      <w:r>
        <w:rPr>
          <w:spacing w:val="-15"/>
        </w:rPr>
        <w:t> </w:t>
      </w:r>
      <w:r>
        <w:rPr/>
        <w:t>achieved a COT3 resolution, eight in ten (78 per cent) said they had made a final decision about</w:t>
      </w:r>
      <w:r>
        <w:rPr>
          <w:spacing w:val="-8"/>
        </w:rPr>
        <w:t> </w:t>
      </w:r>
      <w:r>
        <w:rPr/>
        <w:t>how</w:t>
      </w:r>
      <w:r>
        <w:rPr>
          <w:spacing w:val="-7"/>
        </w:rPr>
        <w:t> </w:t>
      </w:r>
      <w:r>
        <w:rPr/>
        <w:t>to</w:t>
      </w:r>
      <w:r>
        <w:rPr>
          <w:spacing w:val="-7"/>
        </w:rPr>
        <w:t> </w:t>
      </w:r>
      <w:r>
        <w:rPr/>
        <w:t>proceed</w:t>
      </w:r>
      <w:r>
        <w:rPr>
          <w:spacing w:val="-8"/>
        </w:rPr>
        <w:t> </w:t>
      </w:r>
      <w:r>
        <w:rPr/>
        <w:t>with</w:t>
      </w:r>
      <w:r>
        <w:rPr>
          <w:spacing w:val="-6"/>
        </w:rPr>
        <w:t> </w:t>
      </w:r>
      <w:r>
        <w:rPr/>
        <w:t>their</w:t>
      </w:r>
      <w:r>
        <w:rPr>
          <w:spacing w:val="-7"/>
        </w:rPr>
        <w:t> </w:t>
      </w:r>
      <w:r>
        <w:rPr/>
        <w:t>case.</w:t>
      </w:r>
      <w:r>
        <w:rPr>
          <w:spacing w:val="-6"/>
        </w:rPr>
        <w:t> </w:t>
      </w:r>
      <w:r>
        <w:rPr/>
        <w:t>Among</w:t>
      </w:r>
      <w:r>
        <w:rPr>
          <w:spacing w:val="-8"/>
        </w:rPr>
        <w:t> </w:t>
      </w:r>
      <w:r>
        <w:rPr/>
        <w:t>this</w:t>
      </w:r>
      <w:r>
        <w:rPr>
          <w:spacing w:val="-7"/>
        </w:rPr>
        <w:t> </w:t>
      </w:r>
      <w:r>
        <w:rPr/>
        <w:t>group,</w:t>
      </w:r>
      <w:r>
        <w:rPr>
          <w:spacing w:val="-6"/>
        </w:rPr>
        <w:t> </w:t>
      </w:r>
      <w:r>
        <w:rPr/>
        <w:t>eight</w:t>
      </w:r>
      <w:r>
        <w:rPr>
          <w:spacing w:val="-6"/>
        </w:rPr>
        <w:t> </w:t>
      </w:r>
      <w:r>
        <w:rPr/>
        <w:t>in</w:t>
      </w:r>
      <w:r>
        <w:rPr>
          <w:spacing w:val="-8"/>
        </w:rPr>
        <w:t> </w:t>
      </w:r>
      <w:r>
        <w:rPr/>
        <w:t>ten</w:t>
      </w:r>
      <w:r>
        <w:rPr>
          <w:spacing w:val="-7"/>
        </w:rPr>
        <w:t> </w:t>
      </w:r>
      <w:r>
        <w:rPr/>
        <w:t>(81</w:t>
      </w:r>
      <w:r>
        <w:rPr>
          <w:spacing w:val="-7"/>
        </w:rPr>
        <w:t> </w:t>
      </w:r>
      <w:r>
        <w:rPr/>
        <w:t>per</w:t>
      </w:r>
      <w:r>
        <w:rPr>
          <w:spacing w:val="-8"/>
        </w:rPr>
        <w:t> </w:t>
      </w:r>
      <w:r>
        <w:rPr/>
        <w:t>cent) said they did not plan to submit an ET claim, while nine per cent said they did (a further</w:t>
      </w:r>
      <w:r>
        <w:rPr>
          <w:spacing w:val="-17"/>
        </w:rPr>
        <w:t> </w:t>
      </w:r>
      <w:r>
        <w:rPr/>
        <w:t>one</w:t>
      </w:r>
      <w:r>
        <w:rPr>
          <w:spacing w:val="-17"/>
        </w:rPr>
        <w:t> </w:t>
      </w:r>
      <w:r>
        <w:rPr/>
        <w:t>in</w:t>
      </w:r>
      <w:r>
        <w:rPr>
          <w:spacing w:val="-16"/>
        </w:rPr>
        <w:t> </w:t>
      </w:r>
      <w:r>
        <w:rPr/>
        <w:t>ten</w:t>
      </w:r>
      <w:r>
        <w:rPr>
          <w:spacing w:val="-17"/>
        </w:rPr>
        <w:t> </w:t>
      </w:r>
      <w:r>
        <w:rPr/>
        <w:t>said</w:t>
      </w:r>
      <w:r>
        <w:rPr>
          <w:spacing w:val="-16"/>
        </w:rPr>
        <w:t> </w:t>
      </w:r>
      <w:r>
        <w:rPr/>
        <w:t>it</w:t>
      </w:r>
      <w:r>
        <w:rPr>
          <w:spacing w:val="-16"/>
        </w:rPr>
        <w:t> </w:t>
      </w:r>
      <w:r>
        <w:rPr/>
        <w:t>was</w:t>
      </w:r>
      <w:r>
        <w:rPr>
          <w:spacing w:val="-16"/>
        </w:rPr>
        <w:t> </w:t>
      </w:r>
      <w:r>
        <w:rPr/>
        <w:t>too</w:t>
      </w:r>
      <w:r>
        <w:rPr>
          <w:spacing w:val="-17"/>
        </w:rPr>
        <w:t> </w:t>
      </w:r>
      <w:r>
        <w:rPr/>
        <w:t>late).</w:t>
      </w:r>
      <w:r>
        <w:rPr>
          <w:spacing w:val="-16"/>
        </w:rPr>
        <w:t> </w:t>
      </w:r>
      <w:r>
        <w:rPr/>
        <w:t>These</w:t>
      </w:r>
      <w:r>
        <w:rPr>
          <w:spacing w:val="-17"/>
        </w:rPr>
        <w:t> </w:t>
      </w:r>
      <w:r>
        <w:rPr/>
        <w:t>figures</w:t>
      </w:r>
      <w:r>
        <w:rPr>
          <w:spacing w:val="-16"/>
        </w:rPr>
        <w:t> </w:t>
      </w:r>
      <w:r>
        <w:rPr/>
        <w:t>match</w:t>
      </w:r>
      <w:r>
        <w:rPr>
          <w:spacing w:val="-17"/>
        </w:rPr>
        <w:t> </w:t>
      </w:r>
      <w:r>
        <w:rPr/>
        <w:t>closely</w:t>
      </w:r>
      <w:r>
        <w:rPr>
          <w:spacing w:val="-16"/>
        </w:rPr>
        <w:t> </w:t>
      </w:r>
      <w:r>
        <w:rPr/>
        <w:t>with</w:t>
      </w:r>
      <w:r>
        <w:rPr>
          <w:spacing w:val="-17"/>
        </w:rPr>
        <w:t> </w:t>
      </w:r>
      <w:r>
        <w:rPr/>
        <w:t>2015,</w:t>
      </w:r>
      <w:r>
        <w:rPr>
          <w:spacing w:val="-16"/>
        </w:rPr>
        <w:t> </w:t>
      </w:r>
      <w:r>
        <w:rPr/>
        <w:t>when eight in ten (78 per cent) of this group said they did </w:t>
      </w:r>
      <w:r>
        <w:rPr>
          <w:i/>
        </w:rPr>
        <w:t>not </w:t>
      </w:r>
      <w:r>
        <w:rPr/>
        <w:t>intend to submit a claim, six per cent had said that they did and 15 per cent had said it was too late.</w:t>
      </w:r>
    </w:p>
    <w:p>
      <w:pPr>
        <w:pStyle w:val="BodyText"/>
        <w:spacing w:before="1"/>
      </w:pPr>
    </w:p>
    <w:p>
      <w:pPr>
        <w:pStyle w:val="Heading3"/>
        <w:numPr>
          <w:ilvl w:val="1"/>
          <w:numId w:val="2"/>
        </w:numPr>
        <w:tabs>
          <w:tab w:pos="1973" w:val="left" w:leader="none"/>
        </w:tabs>
        <w:spacing w:line="240" w:lineRule="auto" w:before="1" w:after="0"/>
        <w:ind w:left="1904" w:right="1879" w:hanging="568"/>
        <w:jc w:val="both"/>
      </w:pPr>
      <w:r>
        <w:rPr>
          <w:b w:val="0"/>
        </w:rPr>
        <w:tab/>
      </w:r>
      <w:bookmarkStart w:name="11.2  Decision-making around the submiss" w:id="123"/>
      <w:bookmarkEnd w:id="123"/>
      <w:r>
        <w:rPr>
          <w:b w:val="0"/>
        </w:rPr>
      </w:r>
      <w:bookmarkStart w:name="_bookmark31" w:id="124"/>
      <w:bookmarkEnd w:id="124"/>
      <w:r>
        <w:rPr/>
        <w:t>De</w:t>
      </w:r>
      <w:r>
        <w:rPr/>
        <w:t>cision-making</w:t>
      </w:r>
      <w:r>
        <w:rPr>
          <w:spacing w:val="-6"/>
        </w:rPr>
        <w:t> </w:t>
      </w:r>
      <w:r>
        <w:rPr/>
        <w:t>around</w:t>
      </w:r>
      <w:r>
        <w:rPr>
          <w:spacing w:val="-5"/>
        </w:rPr>
        <w:t> </w:t>
      </w:r>
      <w:r>
        <w:rPr/>
        <w:t>the</w:t>
      </w:r>
      <w:r>
        <w:rPr>
          <w:spacing w:val="-5"/>
        </w:rPr>
        <w:t> </w:t>
      </w:r>
      <w:r>
        <w:rPr/>
        <w:t>submission</w:t>
      </w:r>
      <w:r>
        <w:rPr>
          <w:spacing w:val="-7"/>
        </w:rPr>
        <w:t> </w:t>
      </w:r>
      <w:r>
        <w:rPr/>
        <w:t>of</w:t>
      </w:r>
      <w:r>
        <w:rPr>
          <w:spacing w:val="-5"/>
        </w:rPr>
        <w:t> </w:t>
      </w:r>
      <w:r>
        <w:rPr/>
        <w:t>Employment</w:t>
      </w:r>
      <w:r>
        <w:rPr>
          <w:spacing w:val="-7"/>
        </w:rPr>
        <w:t> </w:t>
      </w:r>
      <w:r>
        <w:rPr/>
        <w:t>Tribunal </w:t>
      </w:r>
      <w:r>
        <w:rPr>
          <w:spacing w:val="-2"/>
        </w:rPr>
        <w:t>claims</w:t>
      </w:r>
    </w:p>
    <w:p>
      <w:pPr>
        <w:pStyle w:val="BodyText"/>
        <w:spacing w:before="119"/>
        <w:ind w:left="1336" w:right="1472"/>
        <w:jc w:val="both"/>
      </w:pPr>
      <w:r>
        <w:rPr/>
        <w:t>Claimant-side</w:t>
      </w:r>
      <w:r>
        <w:rPr>
          <w:spacing w:val="-2"/>
        </w:rPr>
        <w:t> </w:t>
      </w:r>
      <w:r>
        <w:rPr/>
        <w:t>participants</w:t>
      </w:r>
      <w:r>
        <w:rPr>
          <w:spacing w:val="-3"/>
        </w:rPr>
        <w:t> </w:t>
      </w:r>
      <w:r>
        <w:rPr/>
        <w:t>who</w:t>
      </w:r>
      <w:r>
        <w:rPr>
          <w:spacing w:val="-3"/>
        </w:rPr>
        <w:t> </w:t>
      </w:r>
      <w:r>
        <w:rPr/>
        <w:t>reported</w:t>
      </w:r>
      <w:r>
        <w:rPr>
          <w:spacing w:val="-2"/>
        </w:rPr>
        <w:t> </w:t>
      </w:r>
      <w:r>
        <w:rPr/>
        <w:t>submitting</w:t>
      </w:r>
      <w:r>
        <w:rPr>
          <w:spacing w:val="-2"/>
        </w:rPr>
        <w:t> </w:t>
      </w:r>
      <w:r>
        <w:rPr/>
        <w:t>an</w:t>
      </w:r>
      <w:r>
        <w:rPr>
          <w:spacing w:val="-3"/>
        </w:rPr>
        <w:t> </w:t>
      </w:r>
      <w:r>
        <w:rPr/>
        <w:t>ET</w:t>
      </w:r>
      <w:r>
        <w:rPr>
          <w:spacing w:val="-3"/>
        </w:rPr>
        <w:t> </w:t>
      </w:r>
      <w:r>
        <w:rPr/>
        <w:t>claim,</w:t>
      </w:r>
      <w:r>
        <w:rPr>
          <w:spacing w:val="-1"/>
        </w:rPr>
        <w:t> </w:t>
      </w:r>
      <w:r>
        <w:rPr/>
        <w:t>or</w:t>
      </w:r>
      <w:r>
        <w:rPr>
          <w:spacing w:val="-1"/>
        </w:rPr>
        <w:t> </w:t>
      </w:r>
      <w:r>
        <w:rPr/>
        <w:t>intended</w:t>
      </w:r>
      <w:r>
        <w:rPr>
          <w:spacing w:val="-2"/>
        </w:rPr>
        <w:t> </w:t>
      </w:r>
      <w:r>
        <w:rPr/>
        <w:t>to</w:t>
      </w:r>
      <w:r>
        <w:rPr>
          <w:spacing w:val="-2"/>
        </w:rPr>
        <w:t> </w:t>
      </w:r>
      <w:r>
        <w:rPr/>
        <w:t>do so,</w:t>
      </w:r>
      <w:r>
        <w:rPr>
          <w:spacing w:val="-13"/>
        </w:rPr>
        <w:t> </w:t>
      </w:r>
      <w:r>
        <w:rPr/>
        <w:t>were</w:t>
      </w:r>
      <w:r>
        <w:rPr>
          <w:spacing w:val="-13"/>
        </w:rPr>
        <w:t> </w:t>
      </w:r>
      <w:r>
        <w:rPr/>
        <w:t>asked</w:t>
      </w:r>
      <w:r>
        <w:rPr>
          <w:spacing w:val="-13"/>
        </w:rPr>
        <w:t> </w:t>
      </w:r>
      <w:r>
        <w:rPr/>
        <w:t>for</w:t>
      </w:r>
      <w:r>
        <w:rPr>
          <w:spacing w:val="-13"/>
        </w:rPr>
        <w:t> </w:t>
      </w:r>
      <w:r>
        <w:rPr/>
        <w:t>their</w:t>
      </w:r>
      <w:r>
        <w:rPr>
          <w:spacing w:val="-13"/>
        </w:rPr>
        <w:t> </w:t>
      </w:r>
      <w:r>
        <w:rPr/>
        <w:t>reason(s)</w:t>
      </w:r>
      <w:r>
        <w:rPr>
          <w:spacing w:val="-13"/>
        </w:rPr>
        <w:t> </w:t>
      </w:r>
      <w:r>
        <w:rPr/>
        <w:t>for</w:t>
      </w:r>
      <w:r>
        <w:rPr>
          <w:spacing w:val="-13"/>
        </w:rPr>
        <w:t> </w:t>
      </w:r>
      <w:r>
        <w:rPr/>
        <w:t>taking</w:t>
      </w:r>
      <w:r>
        <w:rPr>
          <w:spacing w:val="-13"/>
        </w:rPr>
        <w:t> </w:t>
      </w:r>
      <w:r>
        <w:rPr/>
        <w:t>this</w:t>
      </w:r>
      <w:r>
        <w:rPr>
          <w:spacing w:val="-13"/>
        </w:rPr>
        <w:t> </w:t>
      </w:r>
      <w:r>
        <w:rPr/>
        <w:t>course</w:t>
      </w:r>
      <w:r>
        <w:rPr>
          <w:spacing w:val="-13"/>
        </w:rPr>
        <w:t> </w:t>
      </w:r>
      <w:r>
        <w:rPr/>
        <w:t>of</w:t>
      </w:r>
      <w:r>
        <w:rPr>
          <w:spacing w:val="-14"/>
        </w:rPr>
        <w:t> </w:t>
      </w:r>
      <w:r>
        <w:rPr/>
        <w:t>action.</w:t>
      </w:r>
      <w:r>
        <w:rPr>
          <w:spacing w:val="-12"/>
        </w:rPr>
        <w:t> </w:t>
      </w:r>
      <w:r>
        <w:rPr/>
        <w:t>Participants</w:t>
      </w:r>
      <w:r>
        <w:rPr>
          <w:spacing w:val="-13"/>
        </w:rPr>
        <w:t> </w:t>
      </w:r>
      <w:r>
        <w:rPr/>
        <w:t>were not prompted, but interviewers coded their responses against a list of possible answers. The most popular response options are shown below (Table 15).</w:t>
      </w:r>
    </w:p>
    <w:p>
      <w:pPr>
        <w:pStyle w:val="BodyText"/>
        <w:spacing w:before="1"/>
      </w:pPr>
    </w:p>
    <w:p>
      <w:pPr>
        <w:pStyle w:val="Heading3"/>
        <w:ind w:left="1336" w:right="1475"/>
      </w:pPr>
      <w:r>
        <w:rPr/>
        <w:t>Table 15. Claimant-side participant reasons for submitting / planning to submit an ET claim</w:t>
      </w:r>
    </w:p>
    <w:p>
      <w:pPr>
        <w:pStyle w:val="BodyText"/>
        <w:spacing w:before="4"/>
        <w:rPr>
          <w:b/>
          <w:sz w:val="6"/>
        </w:rPr>
      </w:pPr>
      <w:r>
        <w:rPr/>
        <w:drawing>
          <wp:anchor distT="0" distB="0" distL="0" distR="0" allowOverlap="1" layoutInCell="1" locked="0" behindDoc="0" simplePos="0" relativeHeight="40">
            <wp:simplePos x="0" y="0"/>
            <wp:positionH relativeFrom="page">
              <wp:posOffset>1226102</wp:posOffset>
            </wp:positionH>
            <wp:positionV relativeFrom="paragraph">
              <wp:posOffset>64460</wp:posOffset>
            </wp:positionV>
            <wp:extent cx="5067361" cy="2523744"/>
            <wp:effectExtent l="0" t="0" r="0" b="0"/>
            <wp:wrapTopAndBottom/>
            <wp:docPr id="57" name="image29.png" descr="Table showing claimant-side participant reasons for submitting / planning to submit an ET claim "/>
            <wp:cNvGraphicFramePr>
              <a:graphicFrameLocks noChangeAspect="1"/>
            </wp:cNvGraphicFramePr>
            <a:graphic>
              <a:graphicData uri="http://schemas.openxmlformats.org/drawingml/2006/picture">
                <pic:pic>
                  <pic:nvPicPr>
                    <pic:cNvPr id="58" name="image29.png"/>
                    <pic:cNvPicPr/>
                  </pic:nvPicPr>
                  <pic:blipFill>
                    <a:blip r:embed="rId41" cstate="print"/>
                    <a:stretch>
                      <a:fillRect/>
                    </a:stretch>
                  </pic:blipFill>
                  <pic:spPr>
                    <a:xfrm>
                      <a:off x="0" y="0"/>
                      <a:ext cx="5067361" cy="2523744"/>
                    </a:xfrm>
                    <a:prstGeom prst="rect">
                      <a:avLst/>
                    </a:prstGeom>
                  </pic:spPr>
                </pic:pic>
              </a:graphicData>
            </a:graphic>
          </wp:anchor>
        </w:drawing>
      </w:r>
    </w:p>
    <w:p>
      <w:pPr>
        <w:pStyle w:val="BodyText"/>
        <w:spacing w:before="10"/>
        <w:rPr>
          <w:b/>
          <w:sz w:val="27"/>
        </w:rPr>
      </w:pPr>
    </w:p>
    <w:p>
      <w:pPr>
        <w:pStyle w:val="BodyText"/>
        <w:ind w:left="1336" w:right="1472"/>
        <w:jc w:val="both"/>
      </w:pPr>
      <w:r>
        <w:rPr/>
        <w:t>A</w:t>
      </w:r>
      <w:r>
        <w:rPr>
          <w:spacing w:val="-9"/>
        </w:rPr>
        <w:t> </w:t>
      </w:r>
      <w:r>
        <w:rPr/>
        <w:t>key</w:t>
      </w:r>
      <w:r>
        <w:rPr>
          <w:spacing w:val="-9"/>
        </w:rPr>
        <w:t> </w:t>
      </w:r>
      <w:r>
        <w:rPr/>
        <w:t>shift</w:t>
      </w:r>
      <w:r>
        <w:rPr>
          <w:spacing w:val="-9"/>
        </w:rPr>
        <w:t> </w:t>
      </w:r>
      <w:r>
        <w:rPr/>
        <w:t>in</w:t>
      </w:r>
      <w:r>
        <w:rPr>
          <w:spacing w:val="-9"/>
        </w:rPr>
        <w:t> </w:t>
      </w:r>
      <w:r>
        <w:rPr/>
        <w:t>rationale</w:t>
      </w:r>
      <w:r>
        <w:rPr>
          <w:spacing w:val="-10"/>
        </w:rPr>
        <w:t> </w:t>
      </w:r>
      <w:r>
        <w:rPr/>
        <w:t>has</w:t>
      </w:r>
      <w:r>
        <w:rPr>
          <w:spacing w:val="-9"/>
        </w:rPr>
        <w:t> </w:t>
      </w:r>
      <w:r>
        <w:rPr/>
        <w:t>been</w:t>
      </w:r>
      <w:r>
        <w:rPr>
          <w:spacing w:val="-10"/>
        </w:rPr>
        <w:t> </w:t>
      </w:r>
      <w:r>
        <w:rPr/>
        <w:t>a</w:t>
      </w:r>
      <w:r>
        <w:rPr>
          <w:spacing w:val="-9"/>
        </w:rPr>
        <w:t> </w:t>
      </w:r>
      <w:r>
        <w:rPr/>
        <w:t>fall</w:t>
      </w:r>
      <w:r>
        <w:rPr>
          <w:spacing w:val="-10"/>
        </w:rPr>
        <w:t> </w:t>
      </w:r>
      <w:r>
        <w:rPr/>
        <w:t>in</w:t>
      </w:r>
      <w:r>
        <w:rPr>
          <w:spacing w:val="-9"/>
        </w:rPr>
        <w:t> </w:t>
      </w:r>
      <w:r>
        <w:rPr/>
        <w:t>the</w:t>
      </w:r>
      <w:r>
        <w:rPr>
          <w:spacing w:val="-10"/>
        </w:rPr>
        <w:t> </w:t>
      </w:r>
      <w:r>
        <w:rPr/>
        <w:t>proportion</w:t>
      </w:r>
      <w:r>
        <w:rPr>
          <w:spacing w:val="-9"/>
        </w:rPr>
        <w:t> </w:t>
      </w:r>
      <w:r>
        <w:rPr/>
        <w:t>who</w:t>
      </w:r>
      <w:r>
        <w:rPr>
          <w:spacing w:val="-10"/>
        </w:rPr>
        <w:t> </w:t>
      </w:r>
      <w:r>
        <w:rPr/>
        <w:t>say</w:t>
      </w:r>
      <w:r>
        <w:rPr>
          <w:spacing w:val="-9"/>
        </w:rPr>
        <w:t> </w:t>
      </w:r>
      <w:r>
        <w:rPr/>
        <w:t>they</w:t>
      </w:r>
      <w:r>
        <w:rPr>
          <w:spacing w:val="-10"/>
        </w:rPr>
        <w:t> </w:t>
      </w:r>
      <w:r>
        <w:rPr/>
        <w:t>submitted</w:t>
      </w:r>
      <w:r>
        <w:rPr>
          <w:spacing w:val="-9"/>
        </w:rPr>
        <w:t> </w:t>
      </w:r>
      <w:r>
        <w:rPr/>
        <w:t>(or intended</w:t>
      </w:r>
      <w:r>
        <w:rPr>
          <w:spacing w:val="-1"/>
        </w:rPr>
        <w:t> </w:t>
      </w:r>
      <w:r>
        <w:rPr/>
        <w:t>to</w:t>
      </w:r>
      <w:r>
        <w:rPr>
          <w:spacing w:val="-4"/>
        </w:rPr>
        <w:t> </w:t>
      </w:r>
      <w:r>
        <w:rPr/>
        <w:t>submit)</w:t>
      </w:r>
      <w:r>
        <w:rPr>
          <w:spacing w:val="-1"/>
        </w:rPr>
        <w:t> </w:t>
      </w:r>
      <w:r>
        <w:rPr/>
        <w:t>an</w:t>
      </w:r>
      <w:r>
        <w:rPr>
          <w:spacing w:val="-2"/>
        </w:rPr>
        <w:t> </w:t>
      </w:r>
      <w:r>
        <w:rPr/>
        <w:t>ET</w:t>
      </w:r>
      <w:r>
        <w:rPr>
          <w:spacing w:val="-2"/>
        </w:rPr>
        <w:t> </w:t>
      </w:r>
      <w:r>
        <w:rPr/>
        <w:t>claim</w:t>
      </w:r>
      <w:r>
        <w:rPr>
          <w:spacing w:val="-1"/>
        </w:rPr>
        <w:t> </w:t>
      </w:r>
      <w:r>
        <w:rPr/>
        <w:t>in order</w:t>
      </w:r>
      <w:r>
        <w:rPr>
          <w:spacing w:val="-1"/>
        </w:rPr>
        <w:t> </w:t>
      </w:r>
      <w:r>
        <w:rPr/>
        <w:t>to</w:t>
      </w:r>
      <w:r>
        <w:rPr>
          <w:spacing w:val="-1"/>
        </w:rPr>
        <w:t> </w:t>
      </w:r>
      <w:r>
        <w:rPr/>
        <w:t>hold</w:t>
      </w:r>
      <w:r>
        <w:rPr>
          <w:spacing w:val="-1"/>
        </w:rPr>
        <w:t> </w:t>
      </w:r>
      <w:r>
        <w:rPr/>
        <w:t>their</w:t>
      </w:r>
      <w:r>
        <w:rPr>
          <w:spacing w:val="-1"/>
        </w:rPr>
        <w:t> </w:t>
      </w:r>
      <w:r>
        <w:rPr/>
        <w:t>employer</w:t>
      </w:r>
      <w:r>
        <w:rPr>
          <w:spacing w:val="-2"/>
        </w:rPr>
        <w:t> </w:t>
      </w:r>
      <w:r>
        <w:rPr/>
        <w:t>accountable</w:t>
      </w:r>
      <w:r>
        <w:rPr>
          <w:spacing w:val="-2"/>
        </w:rPr>
        <w:t> </w:t>
      </w:r>
      <w:r>
        <w:rPr/>
        <w:t>–</w:t>
      </w:r>
      <w:r>
        <w:rPr>
          <w:spacing w:val="-1"/>
        </w:rPr>
        <w:t> </w:t>
      </w:r>
      <w:r>
        <w:rPr/>
        <w:t>this was</w:t>
      </w:r>
      <w:r>
        <w:rPr>
          <w:spacing w:val="-1"/>
        </w:rPr>
        <w:t> </w:t>
      </w:r>
      <w:r>
        <w:rPr/>
        <w:t>34</w:t>
      </w:r>
      <w:r>
        <w:rPr>
          <w:spacing w:val="-1"/>
        </w:rPr>
        <w:t> </w:t>
      </w:r>
      <w:r>
        <w:rPr/>
        <w:t>per</w:t>
      </w:r>
      <w:r>
        <w:rPr>
          <w:spacing w:val="-2"/>
        </w:rPr>
        <w:t> </w:t>
      </w:r>
      <w:r>
        <w:rPr/>
        <w:t>cent</w:t>
      </w:r>
      <w:r>
        <w:rPr>
          <w:spacing w:val="-1"/>
        </w:rPr>
        <w:t> </w:t>
      </w:r>
      <w:r>
        <w:rPr/>
        <w:t>in 2015</w:t>
      </w:r>
      <w:r>
        <w:rPr>
          <w:spacing w:val="-1"/>
        </w:rPr>
        <w:t> </w:t>
      </w:r>
      <w:r>
        <w:rPr/>
        <w:t>and</w:t>
      </w:r>
      <w:r>
        <w:rPr>
          <w:spacing w:val="-1"/>
        </w:rPr>
        <w:t> </w:t>
      </w:r>
      <w:r>
        <w:rPr/>
        <w:t>16</w:t>
      </w:r>
      <w:r>
        <w:rPr>
          <w:spacing w:val="-2"/>
        </w:rPr>
        <w:t> </w:t>
      </w:r>
      <w:r>
        <w:rPr/>
        <w:t>per</w:t>
      </w:r>
      <w:r>
        <w:rPr>
          <w:spacing w:val="-1"/>
        </w:rPr>
        <w:t> </w:t>
      </w:r>
      <w:r>
        <w:rPr/>
        <w:t>cent</w:t>
      </w:r>
      <w:r>
        <w:rPr>
          <w:spacing w:val="-1"/>
        </w:rPr>
        <w:t> </w:t>
      </w:r>
      <w:r>
        <w:rPr/>
        <w:t>in 2019. By</w:t>
      </w:r>
      <w:r>
        <w:rPr>
          <w:spacing w:val="-1"/>
        </w:rPr>
        <w:t> </w:t>
      </w:r>
      <w:r>
        <w:rPr/>
        <w:t>contrast,</w:t>
      </w:r>
      <w:r>
        <w:rPr>
          <w:spacing w:val="-1"/>
        </w:rPr>
        <w:t> </w:t>
      </w:r>
      <w:r>
        <w:rPr/>
        <w:t>the</w:t>
      </w:r>
      <w:r>
        <w:rPr>
          <w:spacing w:val="-1"/>
        </w:rPr>
        <w:t> </w:t>
      </w:r>
      <w:r>
        <w:rPr/>
        <w:t>proportion who said that one of their reasons was that the issue was not resolved through conciliation has doubled, from 11 per cent to 24 per cent.</w:t>
      </w:r>
    </w:p>
    <w:p>
      <w:pPr>
        <w:pStyle w:val="BodyText"/>
      </w:pPr>
    </w:p>
    <w:p>
      <w:pPr>
        <w:pStyle w:val="BodyText"/>
        <w:ind w:left="1336" w:right="1474"/>
        <w:jc w:val="both"/>
      </w:pPr>
      <w:r>
        <w:rPr/>
        <w:t>Those</w:t>
      </w:r>
      <w:r>
        <w:rPr>
          <w:spacing w:val="-1"/>
        </w:rPr>
        <w:t> </w:t>
      </w:r>
      <w:r>
        <w:rPr/>
        <w:t>in fast</w:t>
      </w:r>
      <w:r>
        <w:rPr>
          <w:spacing w:val="-1"/>
        </w:rPr>
        <w:t> </w:t>
      </w:r>
      <w:r>
        <w:rPr/>
        <w:t>track</w:t>
      </w:r>
      <w:r>
        <w:rPr>
          <w:spacing w:val="-2"/>
        </w:rPr>
        <w:t> </w:t>
      </w:r>
      <w:r>
        <w:rPr/>
        <w:t>disputes</w:t>
      </w:r>
      <w:r>
        <w:rPr>
          <w:spacing w:val="-2"/>
        </w:rPr>
        <w:t> </w:t>
      </w:r>
      <w:r>
        <w:rPr/>
        <w:t>were</w:t>
      </w:r>
      <w:r>
        <w:rPr>
          <w:spacing w:val="-1"/>
        </w:rPr>
        <w:t> </w:t>
      </w:r>
      <w:r>
        <w:rPr/>
        <w:t>more</w:t>
      </w:r>
      <w:r>
        <w:rPr>
          <w:spacing w:val="-1"/>
        </w:rPr>
        <w:t> </w:t>
      </w:r>
      <w:r>
        <w:rPr/>
        <w:t>likely</w:t>
      </w:r>
      <w:r>
        <w:rPr>
          <w:spacing w:val="-1"/>
        </w:rPr>
        <w:t> </w:t>
      </w:r>
      <w:r>
        <w:rPr/>
        <w:t>to</w:t>
      </w:r>
      <w:r>
        <w:rPr>
          <w:spacing w:val="-1"/>
        </w:rPr>
        <w:t> </w:t>
      </w:r>
      <w:r>
        <w:rPr/>
        <w:t>report</w:t>
      </w:r>
      <w:r>
        <w:rPr>
          <w:spacing w:val="-1"/>
        </w:rPr>
        <w:t> </w:t>
      </w:r>
      <w:r>
        <w:rPr/>
        <w:t>that the</w:t>
      </w:r>
      <w:r>
        <w:rPr>
          <w:spacing w:val="-1"/>
        </w:rPr>
        <w:t> </w:t>
      </w:r>
      <w:r>
        <w:rPr/>
        <w:t>recovery</w:t>
      </w:r>
      <w:r>
        <w:rPr>
          <w:spacing w:val="-1"/>
        </w:rPr>
        <w:t> </w:t>
      </w:r>
      <w:r>
        <w:rPr/>
        <w:t>of</w:t>
      </w:r>
      <w:r>
        <w:rPr>
          <w:spacing w:val="-1"/>
        </w:rPr>
        <w:t> </w:t>
      </w:r>
      <w:r>
        <w:rPr/>
        <w:t>money lost was a key driver of their ET claim (35 per cent), compared with standard or open track disputes (12 per cent and three per cent respectively).</w:t>
      </w:r>
    </w:p>
    <w:p>
      <w:pPr>
        <w:pStyle w:val="BodyText"/>
        <w:spacing w:before="1"/>
      </w:pPr>
    </w:p>
    <w:p>
      <w:pPr>
        <w:pStyle w:val="BodyText"/>
        <w:ind w:left="1336" w:right="1473"/>
        <w:jc w:val="both"/>
      </w:pPr>
      <w:r>
        <w:rPr/>
        <w:t>Claimant-side participants who had submitted an ET claim (or planned to do so) were</w:t>
      </w:r>
      <w:r>
        <w:rPr>
          <w:spacing w:val="-5"/>
        </w:rPr>
        <w:t> </w:t>
      </w:r>
      <w:r>
        <w:rPr/>
        <w:t>asked</w:t>
      </w:r>
      <w:r>
        <w:rPr>
          <w:spacing w:val="-6"/>
        </w:rPr>
        <w:t> </w:t>
      </w:r>
      <w:r>
        <w:rPr/>
        <w:t>whether</w:t>
      </w:r>
      <w:r>
        <w:rPr>
          <w:spacing w:val="-5"/>
        </w:rPr>
        <w:t> </w:t>
      </w:r>
      <w:r>
        <w:rPr/>
        <w:t>there</w:t>
      </w:r>
      <w:r>
        <w:rPr>
          <w:spacing w:val="-5"/>
        </w:rPr>
        <w:t> </w:t>
      </w:r>
      <w:r>
        <w:rPr/>
        <w:t>was</w:t>
      </w:r>
      <w:r>
        <w:rPr>
          <w:spacing w:val="-4"/>
        </w:rPr>
        <w:t> </w:t>
      </w:r>
      <w:r>
        <w:rPr/>
        <w:t>anything</w:t>
      </w:r>
      <w:r>
        <w:rPr>
          <w:spacing w:val="-4"/>
        </w:rPr>
        <w:t> </w:t>
      </w:r>
      <w:r>
        <w:rPr/>
        <w:t>more</w:t>
      </w:r>
      <w:r>
        <w:rPr>
          <w:spacing w:val="-5"/>
        </w:rPr>
        <w:t> </w:t>
      </w:r>
      <w:r>
        <w:rPr/>
        <w:t>Acas</w:t>
      </w:r>
      <w:r>
        <w:rPr>
          <w:spacing w:val="-4"/>
        </w:rPr>
        <w:t> </w:t>
      </w:r>
      <w:r>
        <w:rPr/>
        <w:t>could</w:t>
      </w:r>
      <w:r>
        <w:rPr>
          <w:spacing w:val="-4"/>
        </w:rPr>
        <w:t> </w:t>
      </w:r>
      <w:r>
        <w:rPr/>
        <w:t>have</w:t>
      </w:r>
      <w:r>
        <w:rPr>
          <w:spacing w:val="-5"/>
        </w:rPr>
        <w:t> </w:t>
      </w:r>
      <w:r>
        <w:rPr/>
        <w:t>done</w:t>
      </w:r>
      <w:r>
        <w:rPr>
          <w:spacing w:val="-5"/>
        </w:rPr>
        <w:t> </w:t>
      </w:r>
      <w:r>
        <w:rPr/>
        <w:t>to</w:t>
      </w:r>
      <w:r>
        <w:rPr>
          <w:spacing w:val="-6"/>
        </w:rPr>
        <w:t> </w:t>
      </w:r>
      <w:r>
        <w:rPr/>
        <w:t>resolve</w:t>
      </w:r>
      <w:r>
        <w:rPr>
          <w:spacing w:val="-5"/>
        </w:rPr>
        <w:t> </w:t>
      </w:r>
      <w:r>
        <w:rPr/>
        <w:t>the matter. Mirroring 2015, two-thirds (66 per cent) said no, while a quarter (26 per cent) said yes. Among those who felt Acas could have done more, the most common request was for ‘more communication’ (42 per cent), while others said Acas could have given ‘better support’ (31 per cent) or ‘been more involved’ (25 per cent) in their case or explained the process better (22 per cent).</w:t>
      </w:r>
    </w:p>
    <w:p>
      <w:pPr>
        <w:spacing w:after="0"/>
        <w:jc w:val="both"/>
        <w:sectPr>
          <w:pgSz w:w="11910" w:h="16840"/>
          <w:pgMar w:header="0" w:footer="996" w:top="1340" w:bottom="1180" w:left="460" w:right="320"/>
        </w:sectPr>
      </w:pPr>
    </w:p>
    <w:p>
      <w:pPr>
        <w:pStyle w:val="Heading3"/>
        <w:numPr>
          <w:ilvl w:val="1"/>
          <w:numId w:val="2"/>
        </w:numPr>
        <w:tabs>
          <w:tab w:pos="1974" w:val="left" w:leader="none"/>
        </w:tabs>
        <w:spacing w:line="240" w:lineRule="auto" w:before="82" w:after="0"/>
        <w:ind w:left="1904" w:right="2361" w:hanging="568"/>
        <w:jc w:val="both"/>
      </w:pPr>
      <w:r>
        <w:rPr>
          <w:b w:val="0"/>
        </w:rPr>
        <w:tab/>
      </w:r>
      <w:bookmarkStart w:name="11.3  Decision-making around the non-sub" w:id="125"/>
      <w:bookmarkEnd w:id="125"/>
      <w:r>
        <w:rPr>
          <w:b w:val="0"/>
        </w:rPr>
      </w:r>
      <w:bookmarkStart w:name="_bookmark32" w:id="126"/>
      <w:bookmarkEnd w:id="126"/>
      <w:r>
        <w:rPr/>
        <w:t>De</w:t>
      </w:r>
      <w:r>
        <w:rPr/>
        <w:t>cision-making</w:t>
      </w:r>
      <w:r>
        <w:rPr>
          <w:spacing w:val="-7"/>
        </w:rPr>
        <w:t> </w:t>
      </w:r>
      <w:r>
        <w:rPr/>
        <w:t>around</w:t>
      </w:r>
      <w:r>
        <w:rPr>
          <w:spacing w:val="-7"/>
        </w:rPr>
        <w:t> </w:t>
      </w:r>
      <w:r>
        <w:rPr/>
        <w:t>the</w:t>
      </w:r>
      <w:r>
        <w:rPr>
          <w:spacing w:val="-8"/>
        </w:rPr>
        <w:t> </w:t>
      </w:r>
      <w:r>
        <w:rPr/>
        <w:t>non-submission</w:t>
      </w:r>
      <w:r>
        <w:rPr>
          <w:spacing w:val="-8"/>
        </w:rPr>
        <w:t> </w:t>
      </w:r>
      <w:r>
        <w:rPr/>
        <w:t>of</w:t>
      </w:r>
      <w:r>
        <w:rPr>
          <w:spacing w:val="-7"/>
        </w:rPr>
        <w:t> </w:t>
      </w:r>
      <w:r>
        <w:rPr/>
        <w:t>Employment Tribunal claims</w:t>
      </w:r>
    </w:p>
    <w:p>
      <w:pPr>
        <w:pStyle w:val="Heading4"/>
        <w:numPr>
          <w:ilvl w:val="2"/>
          <w:numId w:val="30"/>
        </w:numPr>
        <w:tabs>
          <w:tab w:pos="2189" w:val="left" w:leader="none"/>
        </w:tabs>
        <w:spacing w:line="240" w:lineRule="auto" w:before="120" w:after="0"/>
        <w:ind w:left="2188" w:right="0" w:hanging="852"/>
        <w:jc w:val="both"/>
        <w:rPr>
          <w:i/>
        </w:rPr>
      </w:pPr>
      <w:bookmarkStart w:name="11.3.1 Reasons for not submitting an ET " w:id="127"/>
      <w:bookmarkEnd w:id="127"/>
      <w:r>
        <w:rPr>
          <w:i/>
        </w:rPr>
        <w:t>R</w:t>
      </w:r>
      <w:r>
        <w:rPr>
          <w:i/>
        </w:rPr>
        <w:t>easons</w:t>
      </w:r>
      <w:r>
        <w:rPr>
          <w:i/>
          <w:spacing w:val="-5"/>
        </w:rPr>
        <w:t> </w:t>
      </w:r>
      <w:r>
        <w:rPr>
          <w:i/>
        </w:rPr>
        <w:t>for</w:t>
      </w:r>
      <w:r>
        <w:rPr>
          <w:i/>
          <w:spacing w:val="-3"/>
        </w:rPr>
        <w:t> </w:t>
      </w:r>
      <w:r>
        <w:rPr>
          <w:i/>
        </w:rPr>
        <w:t>not</w:t>
      </w:r>
      <w:r>
        <w:rPr>
          <w:i/>
          <w:spacing w:val="-4"/>
        </w:rPr>
        <w:t> </w:t>
      </w:r>
      <w:r>
        <w:rPr>
          <w:i/>
        </w:rPr>
        <w:t>submitting</w:t>
      </w:r>
      <w:r>
        <w:rPr>
          <w:i/>
          <w:spacing w:val="-4"/>
        </w:rPr>
        <w:t> </w:t>
      </w:r>
      <w:r>
        <w:rPr>
          <w:i/>
        </w:rPr>
        <w:t>an</w:t>
      </w:r>
      <w:r>
        <w:rPr>
          <w:i/>
          <w:spacing w:val="-4"/>
        </w:rPr>
        <w:t> </w:t>
      </w:r>
      <w:r>
        <w:rPr>
          <w:i/>
        </w:rPr>
        <w:t>ET</w:t>
      </w:r>
      <w:r>
        <w:rPr>
          <w:i/>
          <w:spacing w:val="-3"/>
        </w:rPr>
        <w:t> </w:t>
      </w:r>
      <w:r>
        <w:rPr>
          <w:i/>
          <w:spacing w:val="-4"/>
        </w:rPr>
        <w:t>claim</w:t>
      </w:r>
    </w:p>
    <w:p>
      <w:pPr>
        <w:pStyle w:val="BodyText"/>
        <w:spacing w:before="59"/>
        <w:ind w:left="1337" w:right="1473"/>
        <w:jc w:val="both"/>
      </w:pPr>
      <w:r>
        <w:rPr/>
        <w:t>Those claimant-side participants who had not reached a COT3 settlement but had decided against submitting an ET claim were asked for their reason(s) for taking this course of action. Respondents gave their reasons in their own words, but responses were coded into a list detailed below.</w:t>
      </w:r>
    </w:p>
    <w:p>
      <w:pPr>
        <w:pStyle w:val="BodyText"/>
        <w:spacing w:before="1"/>
      </w:pPr>
    </w:p>
    <w:p>
      <w:pPr>
        <w:pStyle w:val="BodyText"/>
        <w:ind w:left="1337" w:right="1474"/>
        <w:jc w:val="both"/>
      </w:pPr>
      <w:r>
        <w:rPr/>
        <w:t>Half</w:t>
      </w:r>
      <w:r>
        <w:rPr>
          <w:spacing w:val="-10"/>
        </w:rPr>
        <w:t> </w:t>
      </w:r>
      <w:r>
        <w:rPr/>
        <w:t>(47</w:t>
      </w:r>
      <w:r>
        <w:rPr>
          <w:spacing w:val="-11"/>
        </w:rPr>
        <w:t> </w:t>
      </w:r>
      <w:r>
        <w:rPr/>
        <w:t>per</w:t>
      </w:r>
      <w:r>
        <w:rPr>
          <w:spacing w:val="-11"/>
        </w:rPr>
        <w:t> </w:t>
      </w:r>
      <w:r>
        <w:rPr/>
        <w:t>cent)</w:t>
      </w:r>
      <w:r>
        <w:rPr>
          <w:spacing w:val="-10"/>
        </w:rPr>
        <w:t> </w:t>
      </w:r>
      <w:r>
        <w:rPr/>
        <w:t>reported</w:t>
      </w:r>
      <w:r>
        <w:rPr>
          <w:spacing w:val="-10"/>
        </w:rPr>
        <w:t> </w:t>
      </w:r>
      <w:r>
        <w:rPr/>
        <w:t>that</w:t>
      </w:r>
      <w:r>
        <w:rPr>
          <w:spacing w:val="-11"/>
        </w:rPr>
        <w:t> </w:t>
      </w:r>
      <w:r>
        <w:rPr/>
        <w:t>the</w:t>
      </w:r>
      <w:r>
        <w:rPr>
          <w:spacing w:val="-12"/>
        </w:rPr>
        <w:t> </w:t>
      </w:r>
      <w:r>
        <w:rPr/>
        <w:t>issue</w:t>
      </w:r>
      <w:r>
        <w:rPr>
          <w:spacing w:val="-11"/>
        </w:rPr>
        <w:t> </w:t>
      </w:r>
      <w:r>
        <w:rPr/>
        <w:t>had</w:t>
      </w:r>
      <w:r>
        <w:rPr>
          <w:spacing w:val="-10"/>
        </w:rPr>
        <w:t> </w:t>
      </w:r>
      <w:r>
        <w:rPr/>
        <w:t>since</w:t>
      </w:r>
      <w:r>
        <w:rPr>
          <w:spacing w:val="-11"/>
        </w:rPr>
        <w:t> </w:t>
      </w:r>
      <w:r>
        <w:rPr/>
        <w:t>been</w:t>
      </w:r>
      <w:r>
        <w:rPr>
          <w:spacing w:val="-10"/>
        </w:rPr>
        <w:t> </w:t>
      </w:r>
      <w:r>
        <w:rPr/>
        <w:t>resolved,</w:t>
      </w:r>
      <w:r>
        <w:rPr>
          <w:spacing w:val="-10"/>
        </w:rPr>
        <w:t> </w:t>
      </w:r>
      <w:r>
        <w:rPr/>
        <w:t>rendering</w:t>
      </w:r>
      <w:r>
        <w:rPr>
          <w:spacing w:val="-10"/>
        </w:rPr>
        <w:t> </w:t>
      </w:r>
      <w:r>
        <w:rPr/>
        <w:t>an</w:t>
      </w:r>
      <w:r>
        <w:rPr>
          <w:spacing w:val="-10"/>
        </w:rPr>
        <w:t> </w:t>
      </w:r>
      <w:r>
        <w:rPr/>
        <w:t>ET claim redundant (this had been the second most cited reason in 2015, at 20 per cent).</w:t>
      </w:r>
      <w:r>
        <w:rPr>
          <w:spacing w:val="40"/>
        </w:rPr>
        <w:t> </w:t>
      </w:r>
      <w:r>
        <w:rPr/>
        <w:t>A</w:t>
      </w:r>
      <w:r>
        <w:rPr>
          <w:spacing w:val="-11"/>
        </w:rPr>
        <w:t> </w:t>
      </w:r>
      <w:r>
        <w:rPr/>
        <w:t>quarter</w:t>
      </w:r>
      <w:r>
        <w:rPr>
          <w:spacing w:val="-10"/>
        </w:rPr>
        <w:t> </w:t>
      </w:r>
      <w:r>
        <w:rPr/>
        <w:t>(26</w:t>
      </w:r>
      <w:r>
        <w:rPr>
          <w:spacing w:val="-9"/>
        </w:rPr>
        <w:t> </w:t>
      </w:r>
      <w:r>
        <w:rPr/>
        <w:t>per</w:t>
      </w:r>
      <w:r>
        <w:rPr>
          <w:spacing w:val="-10"/>
        </w:rPr>
        <w:t> </w:t>
      </w:r>
      <w:r>
        <w:rPr/>
        <w:t>cent)</w:t>
      </w:r>
      <w:r>
        <w:rPr>
          <w:spacing w:val="-9"/>
        </w:rPr>
        <w:t> </w:t>
      </w:r>
      <w:r>
        <w:rPr/>
        <w:t>said</w:t>
      </w:r>
      <w:r>
        <w:rPr>
          <w:spacing w:val="-9"/>
        </w:rPr>
        <w:t> </w:t>
      </w:r>
      <w:r>
        <w:rPr/>
        <w:t>they</w:t>
      </w:r>
      <w:r>
        <w:rPr>
          <w:spacing w:val="-9"/>
        </w:rPr>
        <w:t> </w:t>
      </w:r>
      <w:r>
        <w:rPr/>
        <w:t>did</w:t>
      </w:r>
      <w:r>
        <w:rPr>
          <w:spacing w:val="-9"/>
        </w:rPr>
        <w:t> </w:t>
      </w:r>
      <w:r>
        <w:rPr/>
        <w:t>not</w:t>
      </w:r>
      <w:r>
        <w:rPr>
          <w:spacing w:val="-10"/>
        </w:rPr>
        <w:t> </w:t>
      </w:r>
      <w:r>
        <w:rPr/>
        <w:t>think</w:t>
      </w:r>
      <w:r>
        <w:rPr>
          <w:spacing w:val="-9"/>
        </w:rPr>
        <w:t> </w:t>
      </w:r>
      <w:r>
        <w:rPr/>
        <w:t>they</w:t>
      </w:r>
      <w:r>
        <w:rPr>
          <w:spacing w:val="-10"/>
        </w:rPr>
        <w:t> </w:t>
      </w:r>
      <w:r>
        <w:rPr/>
        <w:t>would</w:t>
      </w:r>
      <w:r>
        <w:rPr>
          <w:spacing w:val="-9"/>
        </w:rPr>
        <w:t> </w:t>
      </w:r>
      <w:r>
        <w:rPr/>
        <w:t>win</w:t>
      </w:r>
      <w:r>
        <w:rPr>
          <w:spacing w:val="-9"/>
        </w:rPr>
        <w:t> </w:t>
      </w:r>
      <w:r>
        <w:rPr/>
        <w:t>the</w:t>
      </w:r>
      <w:r>
        <w:rPr>
          <w:spacing w:val="-10"/>
        </w:rPr>
        <w:t> </w:t>
      </w:r>
      <w:r>
        <w:rPr/>
        <w:t>case</w:t>
      </w:r>
      <w:r>
        <w:rPr>
          <w:spacing w:val="-10"/>
        </w:rPr>
        <w:t> </w:t>
      </w:r>
      <w:r>
        <w:rPr/>
        <w:t>(see Table 16).</w:t>
      </w:r>
    </w:p>
    <w:p>
      <w:pPr>
        <w:pStyle w:val="BodyText"/>
      </w:pPr>
    </w:p>
    <w:p>
      <w:pPr>
        <w:pStyle w:val="Heading3"/>
        <w:ind w:right="1476" w:hanging="1"/>
      </w:pPr>
      <w:r>
        <w:rPr/>
        <w:t>Table 16. Claimant-side participant reasons for not submitting / planning not to submit an ET claim</w:t>
      </w:r>
    </w:p>
    <w:p>
      <w:pPr>
        <w:pStyle w:val="BodyText"/>
        <w:spacing w:before="11"/>
        <w:rPr>
          <w:b/>
          <w:sz w:val="13"/>
        </w:rPr>
      </w:pPr>
      <w:r>
        <w:rPr/>
        <w:drawing>
          <wp:anchor distT="0" distB="0" distL="0" distR="0" allowOverlap="1" layoutInCell="1" locked="0" behindDoc="0" simplePos="0" relativeHeight="41">
            <wp:simplePos x="0" y="0"/>
            <wp:positionH relativeFrom="page">
              <wp:posOffset>1226717</wp:posOffset>
            </wp:positionH>
            <wp:positionV relativeFrom="paragraph">
              <wp:posOffset>122824</wp:posOffset>
            </wp:positionV>
            <wp:extent cx="5062170" cy="1642872"/>
            <wp:effectExtent l="0" t="0" r="0" b="0"/>
            <wp:wrapTopAndBottom/>
            <wp:docPr id="59" name="image30.png" descr="Table showing claimant-side participation reasons for not submitting / planning not to submit an ET claim "/>
            <wp:cNvGraphicFramePr>
              <a:graphicFrameLocks noChangeAspect="1"/>
            </wp:cNvGraphicFramePr>
            <a:graphic>
              <a:graphicData uri="http://schemas.openxmlformats.org/drawingml/2006/picture">
                <pic:pic>
                  <pic:nvPicPr>
                    <pic:cNvPr id="60" name="image30.png"/>
                    <pic:cNvPicPr/>
                  </pic:nvPicPr>
                  <pic:blipFill>
                    <a:blip r:embed="rId42" cstate="print"/>
                    <a:stretch>
                      <a:fillRect/>
                    </a:stretch>
                  </pic:blipFill>
                  <pic:spPr>
                    <a:xfrm>
                      <a:off x="0" y="0"/>
                      <a:ext cx="5062170" cy="1642872"/>
                    </a:xfrm>
                    <a:prstGeom prst="rect">
                      <a:avLst/>
                    </a:prstGeom>
                  </pic:spPr>
                </pic:pic>
              </a:graphicData>
            </a:graphic>
          </wp:anchor>
        </w:drawing>
      </w:r>
    </w:p>
    <w:p>
      <w:pPr>
        <w:pStyle w:val="BodyText"/>
        <w:spacing w:before="3"/>
        <w:rPr>
          <w:b/>
          <w:sz w:val="33"/>
        </w:rPr>
      </w:pPr>
    </w:p>
    <w:p>
      <w:pPr>
        <w:pStyle w:val="BodyText"/>
        <w:spacing w:before="1"/>
        <w:ind w:left="1337" w:right="1474"/>
        <w:jc w:val="both"/>
      </w:pPr>
      <w:r>
        <w:rPr/>
        <w:t>In 2015, tribunal fees were the most reported reason for non-submission, mentioned by one quarter (26 per cent) of those who had decided against submitting a claim. With these fees now abolished the proportion mentioning financial considerations is much lower, at 11 per cent – and typically this was combined with discussion about the inconvenience of the process.</w:t>
      </w:r>
    </w:p>
    <w:p>
      <w:pPr>
        <w:pStyle w:val="BodyText"/>
        <w:spacing w:before="12"/>
        <w:rPr>
          <w:sz w:val="19"/>
        </w:rPr>
      </w:pPr>
    </w:p>
    <w:p>
      <w:pPr>
        <w:pStyle w:val="Heading4"/>
        <w:numPr>
          <w:ilvl w:val="2"/>
          <w:numId w:val="30"/>
        </w:numPr>
        <w:tabs>
          <w:tab w:pos="2189" w:val="left" w:leader="none"/>
        </w:tabs>
        <w:spacing w:line="240" w:lineRule="auto" w:before="0" w:after="0"/>
        <w:ind w:left="2188" w:right="1655" w:hanging="851"/>
        <w:jc w:val="both"/>
      </w:pPr>
      <w:bookmarkStart w:name="11.3.2 Non-submission of ET claims in un" w:id="128"/>
      <w:bookmarkEnd w:id="128"/>
      <w:r>
        <w:rPr>
          <w:i/>
        </w:rPr>
        <w:t>No</w:t>
      </w:r>
      <w:r>
        <w:rPr>
          <w:i/>
        </w:rPr>
        <w:t>n-submission</w:t>
      </w:r>
      <w:r>
        <w:rPr>
          <w:i/>
          <w:spacing w:val="-4"/>
        </w:rPr>
        <w:t> </w:t>
      </w:r>
      <w:r>
        <w:rPr>
          <w:i/>
        </w:rPr>
        <w:t>of</w:t>
      </w:r>
      <w:r>
        <w:rPr>
          <w:i/>
          <w:spacing w:val="-3"/>
        </w:rPr>
        <w:t> </w:t>
      </w:r>
      <w:r>
        <w:rPr>
          <w:i/>
        </w:rPr>
        <w:t>ET</w:t>
      </w:r>
      <w:r>
        <w:rPr>
          <w:i/>
          <w:spacing w:val="-5"/>
        </w:rPr>
        <w:t> </w:t>
      </w:r>
      <w:r>
        <w:rPr>
          <w:i/>
        </w:rPr>
        <w:t>claims</w:t>
      </w:r>
      <w:r>
        <w:rPr>
          <w:i/>
          <w:spacing w:val="-4"/>
        </w:rPr>
        <w:t> </w:t>
      </w:r>
      <w:r>
        <w:rPr>
          <w:i/>
        </w:rPr>
        <w:t>in</w:t>
      </w:r>
      <w:r>
        <w:rPr>
          <w:i/>
          <w:spacing w:val="-5"/>
        </w:rPr>
        <w:t> </w:t>
      </w:r>
      <w:r>
        <w:rPr>
          <w:i/>
        </w:rPr>
        <w:t>unsettled</w:t>
      </w:r>
      <w:r>
        <w:rPr>
          <w:i/>
          <w:spacing w:val="-4"/>
        </w:rPr>
        <w:t> </w:t>
      </w:r>
      <w:r>
        <w:rPr>
          <w:i/>
        </w:rPr>
        <w:t>cases:</w:t>
      </w:r>
      <w:r>
        <w:rPr>
          <w:i/>
          <w:spacing w:val="-5"/>
        </w:rPr>
        <w:t> </w:t>
      </w:r>
      <w:r>
        <w:rPr>
          <w:i/>
        </w:rPr>
        <w:t>determining</w:t>
      </w:r>
      <w:r>
        <w:rPr>
          <w:i/>
          <w:spacing w:val="-3"/>
        </w:rPr>
        <w:t> </w:t>
      </w:r>
      <w:r>
        <w:rPr>
          <w:i/>
        </w:rPr>
        <w:t>the</w:t>
      </w:r>
      <w:r>
        <w:rPr/>
        <w:t> ‘Acas effect’</w:t>
      </w:r>
    </w:p>
    <w:p>
      <w:pPr>
        <w:pStyle w:val="BodyText"/>
        <w:spacing w:before="61"/>
        <w:ind w:left="1337" w:right="1474"/>
        <w:jc w:val="both"/>
      </w:pPr>
      <w:r>
        <w:rPr/>
        <w:t>Two-thirds (66 per cent) of claimant-side participants who had decided against submitting an ET claim and had not reached a COT3 settlement said Acas was a factor in helping them reach this conclusion, while three in ten (31 per cent) said Acas</w:t>
      </w:r>
      <w:r>
        <w:rPr>
          <w:spacing w:val="-1"/>
        </w:rPr>
        <w:t> </w:t>
      </w:r>
      <w:r>
        <w:rPr/>
        <w:t>was</w:t>
      </w:r>
      <w:r>
        <w:rPr>
          <w:spacing w:val="-2"/>
        </w:rPr>
        <w:t> </w:t>
      </w:r>
      <w:r>
        <w:rPr/>
        <w:t>not</w:t>
      </w:r>
      <w:r>
        <w:rPr>
          <w:spacing w:val="-1"/>
        </w:rPr>
        <w:t> </w:t>
      </w:r>
      <w:r>
        <w:rPr/>
        <w:t>a</w:t>
      </w:r>
      <w:r>
        <w:rPr>
          <w:spacing w:val="-1"/>
        </w:rPr>
        <w:t> </w:t>
      </w:r>
      <w:r>
        <w:rPr/>
        <w:t>factor.</w:t>
      </w:r>
      <w:r>
        <w:rPr>
          <w:spacing w:val="-3"/>
        </w:rPr>
        <w:t> </w:t>
      </w:r>
      <w:r>
        <w:rPr/>
        <w:t>This</w:t>
      </w:r>
      <w:r>
        <w:rPr>
          <w:spacing w:val="-1"/>
        </w:rPr>
        <w:t> </w:t>
      </w:r>
      <w:r>
        <w:rPr/>
        <w:t>result</w:t>
      </w:r>
      <w:r>
        <w:rPr>
          <w:spacing w:val="-1"/>
        </w:rPr>
        <w:t> </w:t>
      </w:r>
      <w:r>
        <w:rPr/>
        <w:t>is</w:t>
      </w:r>
      <w:r>
        <w:rPr>
          <w:spacing w:val="-1"/>
        </w:rPr>
        <w:t> </w:t>
      </w:r>
      <w:r>
        <w:rPr/>
        <w:t>not</w:t>
      </w:r>
      <w:r>
        <w:rPr>
          <w:spacing w:val="-1"/>
        </w:rPr>
        <w:t> </w:t>
      </w:r>
      <w:r>
        <w:rPr/>
        <w:t>significantly</w:t>
      </w:r>
      <w:r>
        <w:rPr>
          <w:spacing w:val="-1"/>
        </w:rPr>
        <w:t> </w:t>
      </w:r>
      <w:r>
        <w:rPr/>
        <w:t>different</w:t>
      </w:r>
      <w:r>
        <w:rPr>
          <w:spacing w:val="-1"/>
        </w:rPr>
        <w:t> </w:t>
      </w:r>
      <w:r>
        <w:rPr/>
        <w:t>to</w:t>
      </w:r>
      <w:r>
        <w:rPr>
          <w:spacing w:val="-1"/>
        </w:rPr>
        <w:t> </w:t>
      </w:r>
      <w:r>
        <w:rPr/>
        <w:t>2015,</w:t>
      </w:r>
      <w:r>
        <w:rPr>
          <w:spacing w:val="-1"/>
        </w:rPr>
        <w:t> </w:t>
      </w:r>
      <w:r>
        <w:rPr/>
        <w:t>when six</w:t>
      </w:r>
      <w:r>
        <w:rPr>
          <w:spacing w:val="-1"/>
        </w:rPr>
        <w:t> </w:t>
      </w:r>
      <w:r>
        <w:rPr/>
        <w:t>in ten (61 per cent) reported that Acas was a factor in their decision not to proceed to ET.</w:t>
      </w:r>
    </w:p>
    <w:p>
      <w:pPr>
        <w:spacing w:after="0"/>
        <w:jc w:val="both"/>
        <w:sectPr>
          <w:pgSz w:w="11910" w:h="16840"/>
          <w:pgMar w:header="0" w:footer="996" w:top="1340" w:bottom="1180" w:left="460" w:right="320"/>
        </w:sectPr>
      </w:pPr>
    </w:p>
    <w:p>
      <w:pPr>
        <w:pStyle w:val="Heading3"/>
        <w:spacing w:before="82"/>
        <w:ind w:right="1473"/>
      </w:pPr>
      <w:r>
        <w:rPr/>
        <w:t>Figure 22. Importance of Acas in decision not to proceed to ET (claimant- side participants)</w:t>
      </w:r>
    </w:p>
    <w:p>
      <w:pPr>
        <w:pStyle w:val="BodyText"/>
        <w:spacing w:before="2"/>
        <w:rPr>
          <w:b/>
          <w:sz w:val="5"/>
        </w:rPr>
      </w:pPr>
      <w:r>
        <w:rPr/>
        <w:drawing>
          <wp:anchor distT="0" distB="0" distL="0" distR="0" allowOverlap="1" layoutInCell="1" locked="0" behindDoc="0" simplePos="0" relativeHeight="42">
            <wp:simplePos x="0" y="0"/>
            <wp:positionH relativeFrom="page">
              <wp:posOffset>1141095</wp:posOffset>
            </wp:positionH>
            <wp:positionV relativeFrom="paragraph">
              <wp:posOffset>55430</wp:posOffset>
            </wp:positionV>
            <wp:extent cx="5059628" cy="1676019"/>
            <wp:effectExtent l="0" t="0" r="0" b="0"/>
            <wp:wrapTopAndBottom/>
            <wp:docPr id="61" name="image31.png" descr="Graph showing importance of Acas in decision not to proceed to ET (claimant-side participants) "/>
            <wp:cNvGraphicFramePr>
              <a:graphicFrameLocks noChangeAspect="1"/>
            </wp:cNvGraphicFramePr>
            <a:graphic>
              <a:graphicData uri="http://schemas.openxmlformats.org/drawingml/2006/picture">
                <pic:pic>
                  <pic:nvPicPr>
                    <pic:cNvPr id="62" name="image31.png"/>
                    <pic:cNvPicPr/>
                  </pic:nvPicPr>
                  <pic:blipFill>
                    <a:blip r:embed="rId43" cstate="print"/>
                    <a:stretch>
                      <a:fillRect/>
                    </a:stretch>
                  </pic:blipFill>
                  <pic:spPr>
                    <a:xfrm>
                      <a:off x="0" y="0"/>
                      <a:ext cx="5059628" cy="1676019"/>
                    </a:xfrm>
                    <a:prstGeom prst="rect">
                      <a:avLst/>
                    </a:prstGeom>
                  </pic:spPr>
                </pic:pic>
              </a:graphicData>
            </a:graphic>
          </wp:anchor>
        </w:drawing>
      </w:r>
    </w:p>
    <w:p>
      <w:pPr>
        <w:pStyle w:val="BodyText"/>
        <w:spacing w:before="8"/>
        <w:rPr>
          <w:b/>
          <w:sz w:val="22"/>
        </w:rPr>
      </w:pPr>
    </w:p>
    <w:p>
      <w:pPr>
        <w:pStyle w:val="BodyText"/>
        <w:ind w:left="1337" w:right="1473"/>
        <w:jc w:val="both"/>
      </w:pPr>
      <w:r>
        <w:rPr/>
        <w:t>As in 2015, those involved in fast track disputes were more likely to say Acas had been</w:t>
      </w:r>
      <w:r>
        <w:rPr>
          <w:spacing w:val="-7"/>
        </w:rPr>
        <w:t> </w:t>
      </w:r>
      <w:r>
        <w:rPr/>
        <w:t>a</w:t>
      </w:r>
      <w:r>
        <w:rPr>
          <w:spacing w:val="-8"/>
        </w:rPr>
        <w:t> </w:t>
      </w:r>
      <w:r>
        <w:rPr/>
        <w:t>factor</w:t>
      </w:r>
      <w:r>
        <w:rPr>
          <w:spacing w:val="-8"/>
        </w:rPr>
        <w:t> </w:t>
      </w:r>
      <w:r>
        <w:rPr/>
        <w:t>in</w:t>
      </w:r>
      <w:r>
        <w:rPr>
          <w:spacing w:val="-7"/>
        </w:rPr>
        <w:t> </w:t>
      </w:r>
      <w:r>
        <w:rPr/>
        <w:t>their</w:t>
      </w:r>
      <w:r>
        <w:rPr>
          <w:spacing w:val="-8"/>
        </w:rPr>
        <w:t> </w:t>
      </w:r>
      <w:r>
        <w:rPr/>
        <w:t>decision</w:t>
      </w:r>
      <w:r>
        <w:rPr>
          <w:spacing w:val="-7"/>
        </w:rPr>
        <w:t> </w:t>
      </w:r>
      <w:r>
        <w:rPr/>
        <w:t>(73</w:t>
      </w:r>
      <w:r>
        <w:rPr>
          <w:spacing w:val="-9"/>
        </w:rPr>
        <w:t> </w:t>
      </w:r>
      <w:r>
        <w:rPr/>
        <w:t>per</w:t>
      </w:r>
      <w:r>
        <w:rPr>
          <w:spacing w:val="-8"/>
        </w:rPr>
        <w:t> </w:t>
      </w:r>
      <w:r>
        <w:rPr/>
        <w:t>cent)</w:t>
      </w:r>
      <w:r>
        <w:rPr>
          <w:spacing w:val="-9"/>
        </w:rPr>
        <w:t> </w:t>
      </w:r>
      <w:r>
        <w:rPr/>
        <w:t>compared</w:t>
      </w:r>
      <w:r>
        <w:rPr>
          <w:spacing w:val="-8"/>
        </w:rPr>
        <w:t> </w:t>
      </w:r>
      <w:r>
        <w:rPr/>
        <w:t>with</w:t>
      </w:r>
      <w:r>
        <w:rPr>
          <w:spacing w:val="-7"/>
        </w:rPr>
        <w:t> </w:t>
      </w:r>
      <w:r>
        <w:rPr/>
        <w:t>claimants</w:t>
      </w:r>
      <w:r>
        <w:rPr>
          <w:spacing w:val="-9"/>
        </w:rPr>
        <w:t> </w:t>
      </w:r>
      <w:r>
        <w:rPr/>
        <w:t>in</w:t>
      </w:r>
      <w:r>
        <w:rPr>
          <w:spacing w:val="-7"/>
        </w:rPr>
        <w:t> </w:t>
      </w:r>
      <w:r>
        <w:rPr/>
        <w:t>open</w:t>
      </w:r>
      <w:r>
        <w:rPr>
          <w:spacing w:val="-7"/>
        </w:rPr>
        <w:t> </w:t>
      </w:r>
      <w:r>
        <w:rPr/>
        <w:t>track cases (56 per cent).</w:t>
      </w:r>
    </w:p>
    <w:p>
      <w:pPr>
        <w:pStyle w:val="BodyText"/>
      </w:pPr>
    </w:p>
    <w:p>
      <w:pPr>
        <w:pStyle w:val="BodyText"/>
        <w:ind w:left="1337" w:right="1474"/>
        <w:jc w:val="both"/>
      </w:pPr>
      <w:r>
        <w:rPr/>
        <w:t>One way to quantify the importance of Acas on ET decision making is to calculate the</w:t>
      </w:r>
      <w:r>
        <w:rPr>
          <w:spacing w:val="-12"/>
        </w:rPr>
        <w:t> </w:t>
      </w:r>
      <w:r>
        <w:rPr/>
        <w:t>proportion</w:t>
      </w:r>
      <w:r>
        <w:rPr>
          <w:spacing w:val="-11"/>
        </w:rPr>
        <w:t> </w:t>
      </w:r>
      <w:r>
        <w:rPr/>
        <w:t>of</w:t>
      </w:r>
      <w:r>
        <w:rPr>
          <w:spacing w:val="-12"/>
        </w:rPr>
        <w:t> </w:t>
      </w:r>
      <w:r>
        <w:rPr/>
        <w:t>claimant-side</w:t>
      </w:r>
      <w:r>
        <w:rPr>
          <w:spacing w:val="-12"/>
        </w:rPr>
        <w:t> </w:t>
      </w:r>
      <w:r>
        <w:rPr/>
        <w:t>participants</w:t>
      </w:r>
      <w:r>
        <w:rPr>
          <w:spacing w:val="-13"/>
        </w:rPr>
        <w:t> </w:t>
      </w:r>
      <w:r>
        <w:rPr/>
        <w:t>who</w:t>
      </w:r>
      <w:r>
        <w:rPr>
          <w:spacing w:val="-13"/>
        </w:rPr>
        <w:t> </w:t>
      </w:r>
      <w:r>
        <w:rPr/>
        <w:t>decided</w:t>
      </w:r>
      <w:r>
        <w:rPr>
          <w:spacing w:val="-11"/>
        </w:rPr>
        <w:t> </w:t>
      </w:r>
      <w:r>
        <w:rPr/>
        <w:t>not</w:t>
      </w:r>
      <w:r>
        <w:rPr>
          <w:spacing w:val="-12"/>
        </w:rPr>
        <w:t> </w:t>
      </w:r>
      <w:r>
        <w:rPr/>
        <w:t>to</w:t>
      </w:r>
      <w:r>
        <w:rPr>
          <w:spacing w:val="-13"/>
        </w:rPr>
        <w:t> </w:t>
      </w:r>
      <w:r>
        <w:rPr/>
        <w:t>take</w:t>
      </w:r>
      <w:r>
        <w:rPr>
          <w:spacing w:val="-13"/>
        </w:rPr>
        <w:t> </w:t>
      </w:r>
      <w:r>
        <w:rPr/>
        <w:t>their</w:t>
      </w:r>
      <w:r>
        <w:rPr>
          <w:spacing w:val="-12"/>
        </w:rPr>
        <w:t> </w:t>
      </w:r>
      <w:r>
        <w:rPr/>
        <w:t>employer to</w:t>
      </w:r>
      <w:r>
        <w:rPr>
          <w:spacing w:val="-12"/>
        </w:rPr>
        <w:t> </w:t>
      </w:r>
      <w:r>
        <w:rPr/>
        <w:t>an</w:t>
      </w:r>
      <w:r>
        <w:rPr>
          <w:spacing w:val="-14"/>
        </w:rPr>
        <w:t> </w:t>
      </w:r>
      <w:r>
        <w:rPr/>
        <w:t>Employment</w:t>
      </w:r>
      <w:r>
        <w:rPr>
          <w:spacing w:val="-13"/>
        </w:rPr>
        <w:t> </w:t>
      </w:r>
      <w:r>
        <w:rPr/>
        <w:t>Tribunal</w:t>
      </w:r>
      <w:r>
        <w:rPr>
          <w:spacing w:val="-13"/>
        </w:rPr>
        <w:t> </w:t>
      </w:r>
      <w:r>
        <w:rPr>
          <w:i/>
        </w:rPr>
        <w:t>owing</w:t>
      </w:r>
      <w:r>
        <w:rPr>
          <w:i/>
          <w:spacing w:val="-12"/>
        </w:rPr>
        <w:t> </w:t>
      </w:r>
      <w:r>
        <w:rPr>
          <w:i/>
        </w:rPr>
        <w:t>to</w:t>
      </w:r>
      <w:r>
        <w:rPr>
          <w:i/>
          <w:spacing w:val="-13"/>
        </w:rPr>
        <w:t> </w:t>
      </w:r>
      <w:r>
        <w:rPr>
          <w:i/>
        </w:rPr>
        <w:t>their</w:t>
      </w:r>
      <w:r>
        <w:rPr>
          <w:i/>
          <w:spacing w:val="-12"/>
        </w:rPr>
        <w:t> </w:t>
      </w:r>
      <w:r>
        <w:rPr>
          <w:i/>
        </w:rPr>
        <w:t>participation</w:t>
      </w:r>
      <w:r>
        <w:rPr>
          <w:i/>
          <w:spacing w:val="-12"/>
        </w:rPr>
        <w:t> </w:t>
      </w:r>
      <w:r>
        <w:rPr>
          <w:i/>
        </w:rPr>
        <w:t>in</w:t>
      </w:r>
      <w:r>
        <w:rPr>
          <w:i/>
          <w:spacing w:val="-13"/>
        </w:rPr>
        <w:t> </w:t>
      </w:r>
      <w:r>
        <w:rPr>
          <w:i/>
        </w:rPr>
        <w:t>EC</w:t>
      </w:r>
      <w:r>
        <w:rPr/>
        <w:t>.</w:t>
      </w:r>
      <w:r>
        <w:rPr>
          <w:spacing w:val="-12"/>
        </w:rPr>
        <w:t> </w:t>
      </w:r>
      <w:r>
        <w:rPr/>
        <w:t>This</w:t>
      </w:r>
      <w:r>
        <w:rPr>
          <w:spacing w:val="-12"/>
        </w:rPr>
        <w:t> </w:t>
      </w:r>
      <w:r>
        <w:rPr/>
        <w:t>rate</w:t>
      </w:r>
      <w:r>
        <w:rPr>
          <w:spacing w:val="-12"/>
        </w:rPr>
        <w:t> </w:t>
      </w:r>
      <w:r>
        <w:rPr/>
        <w:t>is</w:t>
      </w:r>
      <w:r>
        <w:rPr>
          <w:spacing w:val="-13"/>
        </w:rPr>
        <w:t> </w:t>
      </w:r>
      <w:r>
        <w:rPr/>
        <w:t>calculated by summing the following groups and dividing by the overall number of claimants who took part in EC:</w:t>
      </w:r>
    </w:p>
    <w:p>
      <w:pPr>
        <w:pStyle w:val="BodyText"/>
        <w:spacing w:before="3"/>
      </w:pPr>
    </w:p>
    <w:p>
      <w:pPr>
        <w:pStyle w:val="ListParagraph"/>
        <w:numPr>
          <w:ilvl w:val="3"/>
          <w:numId w:val="30"/>
        </w:numPr>
        <w:tabs>
          <w:tab w:pos="2058" w:val="left" w:leader="none"/>
        </w:tabs>
        <w:spacing w:line="237" w:lineRule="auto" w:before="1" w:after="0"/>
        <w:ind w:left="2057" w:right="1474" w:hanging="360"/>
        <w:jc w:val="both"/>
        <w:rPr>
          <w:sz w:val="20"/>
        </w:rPr>
      </w:pPr>
      <w:r>
        <w:rPr>
          <w:sz w:val="20"/>
        </w:rPr>
        <w:t>Those who took part in EC and reached a COT3 settlement or a private </w:t>
      </w:r>
      <w:r>
        <w:rPr>
          <w:spacing w:val="-2"/>
          <w:sz w:val="20"/>
        </w:rPr>
        <w:t>settlement</w:t>
      </w:r>
    </w:p>
    <w:p>
      <w:pPr>
        <w:pStyle w:val="ListParagraph"/>
        <w:numPr>
          <w:ilvl w:val="3"/>
          <w:numId w:val="30"/>
        </w:numPr>
        <w:tabs>
          <w:tab w:pos="2058" w:val="left" w:leader="none"/>
        </w:tabs>
        <w:spacing w:line="240" w:lineRule="auto" w:before="1" w:after="0"/>
        <w:ind w:left="2057" w:right="1475" w:hanging="360"/>
        <w:jc w:val="both"/>
        <w:rPr>
          <w:sz w:val="20"/>
        </w:rPr>
      </w:pPr>
      <w:r>
        <w:rPr>
          <w:sz w:val="20"/>
        </w:rPr>
        <w:t>Those who took part in EC and did not reach a settlement but decided against submitting an ET claim </w:t>
      </w:r>
      <w:r>
        <w:rPr>
          <w:i/>
          <w:sz w:val="20"/>
        </w:rPr>
        <w:t>and </w:t>
      </w:r>
      <w:r>
        <w:rPr>
          <w:sz w:val="20"/>
        </w:rPr>
        <w:t>reported that Acas was a factor in helping them to reach this conclusion.</w:t>
      </w:r>
    </w:p>
    <w:p>
      <w:pPr>
        <w:pStyle w:val="BodyText"/>
        <w:spacing w:before="10"/>
        <w:rPr>
          <w:sz w:val="19"/>
        </w:rPr>
      </w:pPr>
    </w:p>
    <w:p>
      <w:pPr>
        <w:pStyle w:val="BodyText"/>
        <w:ind w:left="1337" w:right="1475"/>
        <w:jc w:val="both"/>
      </w:pPr>
      <w:r>
        <w:rPr/>
        <w:t>The overall ‘Acas effect’</w:t>
      </w:r>
      <w:r>
        <w:rPr>
          <w:spacing w:val="-1"/>
        </w:rPr>
        <w:t> </w:t>
      </w:r>
      <w:r>
        <w:rPr/>
        <w:t>based on this data stands at a rate of 44 per cent, a level not significantly different to the 2015 score of 48 per cent.</w:t>
      </w:r>
    </w:p>
    <w:p>
      <w:pPr>
        <w:pStyle w:val="BodyText"/>
      </w:pPr>
    </w:p>
    <w:p>
      <w:pPr>
        <w:pStyle w:val="Heading3"/>
        <w:numPr>
          <w:ilvl w:val="1"/>
          <w:numId w:val="2"/>
        </w:numPr>
        <w:tabs>
          <w:tab w:pos="1973" w:val="left" w:leader="none"/>
        </w:tabs>
        <w:spacing w:line="240" w:lineRule="auto" w:before="0" w:after="0"/>
        <w:ind w:left="1972" w:right="0" w:hanging="636"/>
        <w:jc w:val="left"/>
      </w:pPr>
      <w:bookmarkStart w:name="11.4  Likely action in absence of EC" w:id="129"/>
      <w:bookmarkEnd w:id="129"/>
      <w:r>
        <w:rPr>
          <w:b w:val="0"/>
        </w:rPr>
      </w:r>
      <w:bookmarkStart w:name="_bookmark33" w:id="130"/>
      <w:bookmarkEnd w:id="130"/>
      <w:r>
        <w:rPr/>
        <w:t>L</w:t>
      </w:r>
      <w:r>
        <w:rPr/>
        <w:t>ikely</w:t>
      </w:r>
      <w:r>
        <w:rPr>
          <w:spacing w:val="-4"/>
        </w:rPr>
        <w:t> </w:t>
      </w:r>
      <w:r>
        <w:rPr/>
        <w:t>action</w:t>
      </w:r>
      <w:r>
        <w:rPr>
          <w:spacing w:val="-3"/>
        </w:rPr>
        <w:t> </w:t>
      </w:r>
      <w:r>
        <w:rPr/>
        <w:t>in</w:t>
      </w:r>
      <w:r>
        <w:rPr>
          <w:spacing w:val="-5"/>
        </w:rPr>
        <w:t> </w:t>
      </w:r>
      <w:r>
        <w:rPr/>
        <w:t>absence</w:t>
      </w:r>
      <w:r>
        <w:rPr>
          <w:spacing w:val="-3"/>
        </w:rPr>
        <w:t> </w:t>
      </w:r>
      <w:r>
        <w:rPr/>
        <w:t>of</w:t>
      </w:r>
      <w:r>
        <w:rPr>
          <w:spacing w:val="-2"/>
        </w:rPr>
        <w:t> </w:t>
      </w:r>
      <w:r>
        <w:rPr>
          <w:spacing w:val="-5"/>
        </w:rPr>
        <w:t>EC</w:t>
      </w:r>
    </w:p>
    <w:p>
      <w:pPr>
        <w:pStyle w:val="BodyText"/>
        <w:spacing w:before="120"/>
        <w:ind w:left="1336" w:right="1476"/>
        <w:jc w:val="both"/>
      </w:pPr>
      <w:r>
        <w:rPr/>
        <w:t>Both</w:t>
      </w:r>
      <w:r>
        <w:rPr>
          <w:spacing w:val="-11"/>
        </w:rPr>
        <w:t> </w:t>
      </w:r>
      <w:r>
        <w:rPr/>
        <w:t>claimant</w:t>
      </w:r>
      <w:r>
        <w:rPr>
          <w:spacing w:val="-12"/>
        </w:rPr>
        <w:t> </w:t>
      </w:r>
      <w:r>
        <w:rPr/>
        <w:t>and</w:t>
      </w:r>
      <w:r>
        <w:rPr>
          <w:spacing w:val="-13"/>
        </w:rPr>
        <w:t> </w:t>
      </w:r>
      <w:r>
        <w:rPr/>
        <w:t>employer-side</w:t>
      </w:r>
      <w:r>
        <w:rPr>
          <w:spacing w:val="-12"/>
        </w:rPr>
        <w:t> </w:t>
      </w:r>
      <w:r>
        <w:rPr/>
        <w:t>participants</w:t>
      </w:r>
      <w:r>
        <w:rPr>
          <w:spacing w:val="-13"/>
        </w:rPr>
        <w:t> </w:t>
      </w:r>
      <w:r>
        <w:rPr/>
        <w:t>who</w:t>
      </w:r>
      <w:r>
        <w:rPr>
          <w:spacing w:val="-13"/>
        </w:rPr>
        <w:t> </w:t>
      </w:r>
      <w:r>
        <w:rPr/>
        <w:t>had</w:t>
      </w:r>
      <w:r>
        <w:rPr>
          <w:spacing w:val="-13"/>
        </w:rPr>
        <w:t> </w:t>
      </w:r>
      <w:r>
        <w:rPr/>
        <w:t>taken</w:t>
      </w:r>
      <w:r>
        <w:rPr>
          <w:spacing w:val="-11"/>
        </w:rPr>
        <w:t> </w:t>
      </w:r>
      <w:r>
        <w:rPr/>
        <w:t>part</w:t>
      </w:r>
      <w:r>
        <w:rPr>
          <w:spacing w:val="-12"/>
        </w:rPr>
        <w:t> </w:t>
      </w:r>
      <w:r>
        <w:rPr/>
        <w:t>in</w:t>
      </w:r>
      <w:r>
        <w:rPr>
          <w:spacing w:val="-12"/>
        </w:rPr>
        <w:t> </w:t>
      </w:r>
      <w:r>
        <w:rPr/>
        <w:t>EC</w:t>
      </w:r>
      <w:r>
        <w:rPr>
          <w:spacing w:val="-12"/>
        </w:rPr>
        <w:t> </w:t>
      </w:r>
      <w:r>
        <w:rPr/>
        <w:t>were</w:t>
      </w:r>
      <w:r>
        <w:rPr>
          <w:spacing w:val="-12"/>
        </w:rPr>
        <w:t> </w:t>
      </w:r>
      <w:r>
        <w:rPr/>
        <w:t>asked to imagine what would have happened had there been no EC service.</w:t>
      </w:r>
    </w:p>
    <w:p>
      <w:pPr>
        <w:pStyle w:val="BodyText"/>
      </w:pPr>
    </w:p>
    <w:p>
      <w:pPr>
        <w:pStyle w:val="BodyText"/>
        <w:ind w:left="1336" w:right="1473"/>
        <w:jc w:val="both"/>
      </w:pPr>
      <w:r>
        <w:rPr/>
        <w:t>Echoing the 2015 results, views differed significantly between claimants and employers (see Table 17).</w:t>
      </w:r>
    </w:p>
    <w:p>
      <w:pPr>
        <w:pStyle w:val="BodyText"/>
        <w:spacing w:before="1"/>
      </w:pPr>
    </w:p>
    <w:p>
      <w:pPr>
        <w:pStyle w:val="Heading3"/>
      </w:pPr>
      <w:r>
        <w:rPr/>
        <w:t>Table</w:t>
      </w:r>
      <w:r>
        <w:rPr>
          <w:spacing w:val="-3"/>
        </w:rPr>
        <w:t> </w:t>
      </w:r>
      <w:r>
        <w:rPr/>
        <w:t>17.</w:t>
      </w:r>
      <w:r>
        <w:rPr>
          <w:spacing w:val="-5"/>
        </w:rPr>
        <w:t> </w:t>
      </w:r>
      <w:r>
        <w:rPr/>
        <w:t>Likely</w:t>
      </w:r>
      <w:r>
        <w:rPr>
          <w:spacing w:val="-3"/>
        </w:rPr>
        <w:t> </w:t>
      </w:r>
      <w:r>
        <w:rPr/>
        <w:t>action</w:t>
      </w:r>
      <w:r>
        <w:rPr>
          <w:spacing w:val="-3"/>
        </w:rPr>
        <w:t> </w:t>
      </w:r>
      <w:r>
        <w:rPr/>
        <w:t>in</w:t>
      </w:r>
      <w:r>
        <w:rPr>
          <w:spacing w:val="-4"/>
        </w:rPr>
        <w:t> </w:t>
      </w:r>
      <w:r>
        <w:rPr/>
        <w:t>absence</w:t>
      </w:r>
      <w:r>
        <w:rPr>
          <w:spacing w:val="-3"/>
        </w:rPr>
        <w:t> </w:t>
      </w:r>
      <w:r>
        <w:rPr/>
        <w:t>of</w:t>
      </w:r>
      <w:r>
        <w:rPr>
          <w:spacing w:val="-2"/>
        </w:rPr>
        <w:t> </w:t>
      </w:r>
      <w:r>
        <w:rPr>
          <w:spacing w:val="-5"/>
        </w:rPr>
        <w:t>EC</w:t>
      </w:r>
    </w:p>
    <w:p>
      <w:pPr>
        <w:pStyle w:val="BodyText"/>
        <w:spacing w:before="9"/>
        <w:rPr>
          <w:b/>
          <w:sz w:val="4"/>
        </w:rPr>
      </w:pPr>
      <w:r>
        <w:rPr/>
        <w:drawing>
          <wp:anchor distT="0" distB="0" distL="0" distR="0" allowOverlap="1" layoutInCell="1" locked="0" behindDoc="0" simplePos="0" relativeHeight="43">
            <wp:simplePos x="0" y="0"/>
            <wp:positionH relativeFrom="page">
              <wp:posOffset>1220720</wp:posOffset>
            </wp:positionH>
            <wp:positionV relativeFrom="paragraph">
              <wp:posOffset>51891</wp:posOffset>
            </wp:positionV>
            <wp:extent cx="5040569" cy="1754981"/>
            <wp:effectExtent l="0" t="0" r="0" b="0"/>
            <wp:wrapTopAndBottom/>
            <wp:docPr id="63" name="image32.png" descr="Table showing likely action in absence of EC "/>
            <wp:cNvGraphicFramePr>
              <a:graphicFrameLocks noChangeAspect="1"/>
            </wp:cNvGraphicFramePr>
            <a:graphic>
              <a:graphicData uri="http://schemas.openxmlformats.org/drawingml/2006/picture">
                <pic:pic>
                  <pic:nvPicPr>
                    <pic:cNvPr id="64" name="image32.png"/>
                    <pic:cNvPicPr/>
                  </pic:nvPicPr>
                  <pic:blipFill>
                    <a:blip r:embed="rId44" cstate="print"/>
                    <a:stretch>
                      <a:fillRect/>
                    </a:stretch>
                  </pic:blipFill>
                  <pic:spPr>
                    <a:xfrm>
                      <a:off x="0" y="0"/>
                      <a:ext cx="5040569" cy="1754981"/>
                    </a:xfrm>
                    <a:prstGeom prst="rect">
                      <a:avLst/>
                    </a:prstGeom>
                  </pic:spPr>
                </pic:pic>
              </a:graphicData>
            </a:graphic>
          </wp:anchor>
        </w:drawing>
      </w:r>
    </w:p>
    <w:p>
      <w:pPr>
        <w:spacing w:after="0"/>
        <w:rPr>
          <w:sz w:val="4"/>
        </w:rPr>
        <w:sectPr>
          <w:pgSz w:w="11910" w:h="16840"/>
          <w:pgMar w:header="0" w:footer="996" w:top="1340" w:bottom="1180" w:left="460" w:right="320"/>
        </w:sectPr>
      </w:pPr>
    </w:p>
    <w:p>
      <w:pPr>
        <w:pStyle w:val="BodyText"/>
        <w:spacing w:before="82"/>
        <w:ind w:left="1337" w:right="1474"/>
        <w:jc w:val="both"/>
      </w:pPr>
      <w:r>
        <w:rPr/>
        <w:t>Employer-side</w:t>
      </w:r>
      <w:r>
        <w:rPr>
          <w:spacing w:val="-8"/>
        </w:rPr>
        <w:t> </w:t>
      </w:r>
      <w:r>
        <w:rPr/>
        <w:t>participants</w:t>
      </w:r>
      <w:r>
        <w:rPr>
          <w:spacing w:val="-9"/>
        </w:rPr>
        <w:t> </w:t>
      </w:r>
      <w:r>
        <w:rPr/>
        <w:t>were</w:t>
      </w:r>
      <w:r>
        <w:rPr>
          <w:spacing w:val="-8"/>
        </w:rPr>
        <w:t> </w:t>
      </w:r>
      <w:r>
        <w:rPr/>
        <w:t>most</w:t>
      </w:r>
      <w:r>
        <w:rPr>
          <w:spacing w:val="-8"/>
        </w:rPr>
        <w:t> </w:t>
      </w:r>
      <w:r>
        <w:rPr/>
        <w:t>likely</w:t>
      </w:r>
      <w:r>
        <w:rPr>
          <w:spacing w:val="-8"/>
        </w:rPr>
        <w:t> </w:t>
      </w:r>
      <w:r>
        <w:rPr/>
        <w:t>to</w:t>
      </w:r>
      <w:r>
        <w:rPr>
          <w:spacing w:val="-9"/>
        </w:rPr>
        <w:t> </w:t>
      </w:r>
      <w:r>
        <w:rPr/>
        <w:t>report</w:t>
      </w:r>
      <w:r>
        <w:rPr>
          <w:spacing w:val="-8"/>
        </w:rPr>
        <w:t> </w:t>
      </w:r>
      <w:r>
        <w:rPr/>
        <w:t>that</w:t>
      </w:r>
      <w:r>
        <w:rPr>
          <w:spacing w:val="-9"/>
        </w:rPr>
        <w:t> </w:t>
      </w:r>
      <w:r>
        <w:rPr/>
        <w:t>the</w:t>
      </w:r>
      <w:r>
        <w:rPr>
          <w:spacing w:val="-8"/>
        </w:rPr>
        <w:t> </w:t>
      </w:r>
      <w:r>
        <w:rPr/>
        <w:t>claimant</w:t>
      </w:r>
      <w:r>
        <w:rPr>
          <w:spacing w:val="-8"/>
        </w:rPr>
        <w:t> </w:t>
      </w:r>
      <w:r>
        <w:rPr/>
        <w:t>would</w:t>
      </w:r>
      <w:r>
        <w:rPr>
          <w:spacing w:val="-8"/>
        </w:rPr>
        <w:t> </w:t>
      </w:r>
      <w:r>
        <w:rPr/>
        <w:t>have submitted an ET claim anyway (41 per cent), while the most likely response from the</w:t>
      </w:r>
      <w:r>
        <w:rPr>
          <w:spacing w:val="-1"/>
        </w:rPr>
        <w:t> </w:t>
      </w:r>
      <w:r>
        <w:rPr/>
        <w:t>claimant-side</w:t>
      </w:r>
      <w:r>
        <w:rPr>
          <w:spacing w:val="-1"/>
        </w:rPr>
        <w:t> </w:t>
      </w:r>
      <w:r>
        <w:rPr/>
        <w:t>was</w:t>
      </w:r>
      <w:r>
        <w:rPr>
          <w:spacing w:val="-2"/>
        </w:rPr>
        <w:t> </w:t>
      </w:r>
      <w:r>
        <w:rPr/>
        <w:t>that</w:t>
      </w:r>
      <w:r>
        <w:rPr>
          <w:spacing w:val="-1"/>
        </w:rPr>
        <w:t> </w:t>
      </w:r>
      <w:r>
        <w:rPr/>
        <w:t>they</w:t>
      </w:r>
      <w:r>
        <w:rPr>
          <w:spacing w:val="-2"/>
        </w:rPr>
        <w:t> </w:t>
      </w:r>
      <w:r>
        <w:rPr/>
        <w:t>would</w:t>
      </w:r>
      <w:r>
        <w:rPr>
          <w:spacing w:val="-1"/>
        </w:rPr>
        <w:t> </w:t>
      </w:r>
      <w:r>
        <w:rPr/>
        <w:t>have</w:t>
      </w:r>
      <w:r>
        <w:rPr>
          <w:spacing w:val="-2"/>
        </w:rPr>
        <w:t> </w:t>
      </w:r>
      <w:r>
        <w:rPr/>
        <w:t>tried</w:t>
      </w:r>
      <w:r>
        <w:rPr>
          <w:spacing w:val="-1"/>
        </w:rPr>
        <w:t> </w:t>
      </w:r>
      <w:r>
        <w:rPr/>
        <w:t>to</w:t>
      </w:r>
      <w:r>
        <w:rPr>
          <w:spacing w:val="-1"/>
        </w:rPr>
        <w:t> </w:t>
      </w:r>
      <w:r>
        <w:rPr/>
        <w:t>settle</w:t>
      </w:r>
      <w:r>
        <w:rPr>
          <w:spacing w:val="-2"/>
        </w:rPr>
        <w:t> </w:t>
      </w:r>
      <w:r>
        <w:rPr/>
        <w:t>the</w:t>
      </w:r>
      <w:r>
        <w:rPr>
          <w:spacing w:val="-1"/>
        </w:rPr>
        <w:t> </w:t>
      </w:r>
      <w:r>
        <w:rPr/>
        <w:t>matter</w:t>
      </w:r>
      <w:r>
        <w:rPr>
          <w:spacing w:val="-2"/>
        </w:rPr>
        <w:t> </w:t>
      </w:r>
      <w:r>
        <w:rPr/>
        <w:t>another</w:t>
      </w:r>
      <w:r>
        <w:rPr>
          <w:spacing w:val="-2"/>
        </w:rPr>
        <w:t> </w:t>
      </w:r>
      <w:r>
        <w:rPr/>
        <w:t>way first,</w:t>
      </w:r>
      <w:r>
        <w:rPr>
          <w:spacing w:val="-1"/>
        </w:rPr>
        <w:t> </w:t>
      </w:r>
      <w:r>
        <w:rPr/>
        <w:t>before</w:t>
      </w:r>
      <w:r>
        <w:rPr>
          <w:spacing w:val="-3"/>
        </w:rPr>
        <w:t> </w:t>
      </w:r>
      <w:r>
        <w:rPr/>
        <w:t>submitting</w:t>
      </w:r>
      <w:r>
        <w:rPr>
          <w:spacing w:val="-3"/>
        </w:rPr>
        <w:t> </w:t>
      </w:r>
      <w:r>
        <w:rPr/>
        <w:t>an</w:t>
      </w:r>
      <w:r>
        <w:rPr>
          <w:spacing w:val="-2"/>
        </w:rPr>
        <w:t> </w:t>
      </w:r>
      <w:r>
        <w:rPr/>
        <w:t>ET</w:t>
      </w:r>
      <w:r>
        <w:rPr>
          <w:spacing w:val="-2"/>
        </w:rPr>
        <w:t> </w:t>
      </w:r>
      <w:r>
        <w:rPr/>
        <w:t>claim if that did</w:t>
      </w:r>
      <w:r>
        <w:rPr>
          <w:spacing w:val="-2"/>
        </w:rPr>
        <w:t> </w:t>
      </w:r>
      <w:r>
        <w:rPr/>
        <w:t>not</w:t>
      </w:r>
      <w:r>
        <w:rPr>
          <w:spacing w:val="-2"/>
        </w:rPr>
        <w:t> </w:t>
      </w:r>
      <w:r>
        <w:rPr/>
        <w:t>work</w:t>
      </w:r>
      <w:r>
        <w:rPr>
          <w:spacing w:val="-2"/>
        </w:rPr>
        <w:t> </w:t>
      </w:r>
      <w:r>
        <w:rPr/>
        <w:t>(42</w:t>
      </w:r>
      <w:r>
        <w:rPr>
          <w:spacing w:val="-1"/>
        </w:rPr>
        <w:t> </w:t>
      </w:r>
      <w:r>
        <w:rPr/>
        <w:t>per</w:t>
      </w:r>
      <w:r>
        <w:rPr>
          <w:spacing w:val="-1"/>
        </w:rPr>
        <w:t> </w:t>
      </w:r>
      <w:r>
        <w:rPr/>
        <w:t>cent)</w:t>
      </w:r>
      <w:r>
        <w:rPr>
          <w:spacing w:val="-2"/>
        </w:rPr>
        <w:t> </w:t>
      </w:r>
      <w:r>
        <w:rPr/>
        <w:t>–</w:t>
      </w:r>
      <w:r>
        <w:rPr>
          <w:spacing w:val="-1"/>
        </w:rPr>
        <w:t> </w:t>
      </w:r>
      <w:r>
        <w:rPr/>
        <w:t>although</w:t>
      </w:r>
      <w:r>
        <w:rPr>
          <w:spacing w:val="-2"/>
        </w:rPr>
        <w:t> </w:t>
      </w:r>
      <w:r>
        <w:rPr/>
        <w:t>a similar proportion said they simply would have submitted their claim anyway (36 per cent).</w:t>
      </w:r>
    </w:p>
    <w:p>
      <w:pPr>
        <w:pStyle w:val="BodyText"/>
        <w:spacing w:before="11"/>
        <w:rPr>
          <w:sz w:val="19"/>
        </w:rPr>
      </w:pPr>
    </w:p>
    <w:p>
      <w:pPr>
        <w:pStyle w:val="BodyText"/>
        <w:spacing w:before="1"/>
        <w:ind w:left="1337" w:right="1474"/>
        <w:jc w:val="both"/>
      </w:pPr>
      <w:r>
        <w:rPr/>
        <w:t>Results differed significantly by track among employer-side participants – those involved in open or standard track disputes were more likely than average to say that</w:t>
      </w:r>
      <w:r>
        <w:rPr>
          <w:spacing w:val="-2"/>
        </w:rPr>
        <w:t> </w:t>
      </w:r>
      <w:r>
        <w:rPr/>
        <w:t>the</w:t>
      </w:r>
      <w:r>
        <w:rPr>
          <w:spacing w:val="-2"/>
        </w:rPr>
        <w:t> </w:t>
      </w:r>
      <w:r>
        <w:rPr/>
        <w:t>claimant</w:t>
      </w:r>
      <w:r>
        <w:rPr>
          <w:spacing w:val="-2"/>
        </w:rPr>
        <w:t> </w:t>
      </w:r>
      <w:r>
        <w:rPr/>
        <w:t>would</w:t>
      </w:r>
      <w:r>
        <w:rPr>
          <w:spacing w:val="-2"/>
        </w:rPr>
        <w:t> </w:t>
      </w:r>
      <w:r>
        <w:rPr/>
        <w:t>have</w:t>
      </w:r>
      <w:r>
        <w:rPr>
          <w:spacing w:val="-2"/>
        </w:rPr>
        <w:t> </w:t>
      </w:r>
      <w:r>
        <w:rPr/>
        <w:t>submitted</w:t>
      </w:r>
      <w:r>
        <w:rPr>
          <w:spacing w:val="-2"/>
        </w:rPr>
        <w:t> </w:t>
      </w:r>
      <w:r>
        <w:rPr/>
        <w:t>an</w:t>
      </w:r>
      <w:r>
        <w:rPr>
          <w:spacing w:val="-1"/>
        </w:rPr>
        <w:t> </w:t>
      </w:r>
      <w:r>
        <w:rPr/>
        <w:t>ET</w:t>
      </w:r>
      <w:r>
        <w:rPr>
          <w:spacing w:val="-2"/>
        </w:rPr>
        <w:t> </w:t>
      </w:r>
      <w:r>
        <w:rPr/>
        <w:t>claim</w:t>
      </w:r>
      <w:r>
        <w:rPr>
          <w:spacing w:val="-2"/>
        </w:rPr>
        <w:t> </w:t>
      </w:r>
      <w:r>
        <w:rPr/>
        <w:t>against</w:t>
      </w:r>
      <w:r>
        <w:rPr>
          <w:spacing w:val="-2"/>
        </w:rPr>
        <w:t> </w:t>
      </w:r>
      <w:r>
        <w:rPr/>
        <w:t>them</w:t>
      </w:r>
      <w:r>
        <w:rPr>
          <w:spacing w:val="-2"/>
        </w:rPr>
        <w:t> </w:t>
      </w:r>
      <w:r>
        <w:rPr/>
        <w:t>anyway</w:t>
      </w:r>
      <w:r>
        <w:rPr>
          <w:spacing w:val="-2"/>
        </w:rPr>
        <w:t> </w:t>
      </w:r>
      <w:r>
        <w:rPr/>
        <w:t>(45</w:t>
      </w:r>
      <w:r>
        <w:rPr>
          <w:spacing w:val="-2"/>
        </w:rPr>
        <w:t> </w:t>
      </w:r>
      <w:r>
        <w:rPr/>
        <w:t>per cent and 49 per cent respectively). There were no significant differences by case track among claimants and their representatives, although claimant reps were more likely to say they would have tried to find a settlement than claimants </w:t>
      </w:r>
      <w:r>
        <w:rPr>
          <w:spacing w:val="-2"/>
        </w:rPr>
        <w:t>themselves.</w:t>
      </w:r>
    </w:p>
    <w:p>
      <w:pPr>
        <w:pStyle w:val="BodyText"/>
        <w:spacing w:before="1"/>
      </w:pPr>
    </w:p>
    <w:p>
      <w:pPr>
        <w:pStyle w:val="Heading3"/>
        <w:numPr>
          <w:ilvl w:val="1"/>
          <w:numId w:val="2"/>
        </w:numPr>
        <w:tabs>
          <w:tab w:pos="1974" w:val="left" w:leader="none"/>
        </w:tabs>
        <w:spacing w:line="240" w:lineRule="auto" w:before="0" w:after="0"/>
        <w:ind w:left="1973" w:right="0" w:hanging="637"/>
        <w:jc w:val="both"/>
      </w:pPr>
      <w:bookmarkStart w:name="11.5  Feelings around the decision not t" w:id="131"/>
      <w:bookmarkEnd w:id="131"/>
      <w:r>
        <w:rPr>
          <w:b w:val="0"/>
        </w:rPr>
      </w:r>
      <w:bookmarkStart w:name="_bookmark34" w:id="132"/>
      <w:bookmarkEnd w:id="132"/>
      <w:r>
        <w:rPr/>
        <w:t>Fee</w:t>
      </w:r>
      <w:r>
        <w:rPr/>
        <w:t>lings</w:t>
      </w:r>
      <w:r>
        <w:rPr>
          <w:spacing w:val="-5"/>
        </w:rPr>
        <w:t> </w:t>
      </w:r>
      <w:r>
        <w:rPr/>
        <w:t>around</w:t>
      </w:r>
      <w:r>
        <w:rPr>
          <w:spacing w:val="-3"/>
        </w:rPr>
        <w:t> </w:t>
      </w:r>
      <w:r>
        <w:rPr/>
        <w:t>the</w:t>
      </w:r>
      <w:r>
        <w:rPr>
          <w:spacing w:val="-4"/>
        </w:rPr>
        <w:t> </w:t>
      </w:r>
      <w:r>
        <w:rPr/>
        <w:t>decision</w:t>
      </w:r>
      <w:r>
        <w:rPr>
          <w:spacing w:val="-3"/>
        </w:rPr>
        <w:t> </w:t>
      </w:r>
      <w:r>
        <w:rPr/>
        <w:t>not</w:t>
      </w:r>
      <w:r>
        <w:rPr>
          <w:spacing w:val="-4"/>
        </w:rPr>
        <w:t> </w:t>
      </w:r>
      <w:r>
        <w:rPr/>
        <w:t>to</w:t>
      </w:r>
      <w:r>
        <w:rPr>
          <w:spacing w:val="-3"/>
        </w:rPr>
        <w:t> </w:t>
      </w:r>
      <w:r>
        <w:rPr/>
        <w:t>take</w:t>
      </w:r>
      <w:r>
        <w:rPr>
          <w:spacing w:val="-4"/>
        </w:rPr>
        <w:t> </w:t>
      </w:r>
      <w:r>
        <w:rPr/>
        <w:t>part</w:t>
      </w:r>
      <w:r>
        <w:rPr>
          <w:spacing w:val="-4"/>
        </w:rPr>
        <w:t> </w:t>
      </w:r>
      <w:r>
        <w:rPr/>
        <w:t>in</w:t>
      </w:r>
      <w:r>
        <w:rPr>
          <w:spacing w:val="-2"/>
        </w:rPr>
        <w:t> </w:t>
      </w:r>
      <w:r>
        <w:rPr>
          <w:spacing w:val="-5"/>
        </w:rPr>
        <w:t>EC</w:t>
      </w:r>
    </w:p>
    <w:p>
      <w:pPr>
        <w:pStyle w:val="BodyText"/>
        <w:spacing w:before="119"/>
        <w:ind w:left="1336" w:right="1474"/>
        <w:jc w:val="both"/>
      </w:pPr>
      <w:r>
        <w:rPr/>
        <w:t>All</w:t>
      </w:r>
      <w:r>
        <w:rPr>
          <w:spacing w:val="-3"/>
        </w:rPr>
        <w:t> </w:t>
      </w:r>
      <w:r>
        <w:rPr/>
        <w:t>participants</w:t>
      </w:r>
      <w:r>
        <w:rPr>
          <w:spacing w:val="-3"/>
        </w:rPr>
        <w:t> </w:t>
      </w:r>
      <w:r>
        <w:rPr/>
        <w:t>who</w:t>
      </w:r>
      <w:r>
        <w:rPr>
          <w:spacing w:val="-2"/>
        </w:rPr>
        <w:t> </w:t>
      </w:r>
      <w:r>
        <w:rPr/>
        <w:t>decided</w:t>
      </w:r>
      <w:r>
        <w:rPr>
          <w:spacing w:val="-2"/>
        </w:rPr>
        <w:t> </w:t>
      </w:r>
      <w:r>
        <w:rPr/>
        <w:t>not</w:t>
      </w:r>
      <w:r>
        <w:rPr>
          <w:spacing w:val="-2"/>
        </w:rPr>
        <w:t> </w:t>
      </w:r>
      <w:r>
        <w:rPr/>
        <w:t>to</w:t>
      </w:r>
      <w:r>
        <w:rPr>
          <w:spacing w:val="-2"/>
        </w:rPr>
        <w:t> </w:t>
      </w:r>
      <w:r>
        <w:rPr/>
        <w:t>take</w:t>
      </w:r>
      <w:r>
        <w:rPr>
          <w:spacing w:val="-3"/>
        </w:rPr>
        <w:t> </w:t>
      </w:r>
      <w:r>
        <w:rPr/>
        <w:t>part</w:t>
      </w:r>
      <w:r>
        <w:rPr>
          <w:spacing w:val="-2"/>
        </w:rPr>
        <w:t> </w:t>
      </w:r>
      <w:r>
        <w:rPr/>
        <w:t>in</w:t>
      </w:r>
      <w:r>
        <w:rPr>
          <w:spacing w:val="-2"/>
        </w:rPr>
        <w:t> </w:t>
      </w:r>
      <w:r>
        <w:rPr/>
        <w:t>EC</w:t>
      </w:r>
      <w:r>
        <w:rPr>
          <w:spacing w:val="-3"/>
        </w:rPr>
        <w:t> </w:t>
      </w:r>
      <w:r>
        <w:rPr/>
        <w:t>were</w:t>
      </w:r>
      <w:r>
        <w:rPr>
          <w:spacing w:val="-3"/>
        </w:rPr>
        <w:t> </w:t>
      </w:r>
      <w:r>
        <w:rPr/>
        <w:t>asked</w:t>
      </w:r>
      <w:r>
        <w:rPr>
          <w:spacing w:val="-2"/>
        </w:rPr>
        <w:t> </w:t>
      </w:r>
      <w:r>
        <w:rPr/>
        <w:t>how</w:t>
      </w:r>
      <w:r>
        <w:rPr>
          <w:spacing w:val="-2"/>
        </w:rPr>
        <w:t> </w:t>
      </w:r>
      <w:r>
        <w:rPr/>
        <w:t>they</w:t>
      </w:r>
      <w:r>
        <w:rPr>
          <w:spacing w:val="-2"/>
        </w:rPr>
        <w:t> </w:t>
      </w:r>
      <w:r>
        <w:rPr/>
        <w:t>felt</w:t>
      </w:r>
      <w:r>
        <w:rPr>
          <w:spacing w:val="-2"/>
        </w:rPr>
        <w:t> </w:t>
      </w:r>
      <w:r>
        <w:rPr/>
        <w:t>about the decision in hindsight. As in 2015, there were significant differences in opinion between</w:t>
      </w:r>
      <w:r>
        <w:rPr>
          <w:spacing w:val="-3"/>
        </w:rPr>
        <w:t> </w:t>
      </w:r>
      <w:r>
        <w:rPr/>
        <w:t>groups.</w:t>
      </w:r>
      <w:r>
        <w:rPr>
          <w:spacing w:val="-3"/>
        </w:rPr>
        <w:t> </w:t>
      </w:r>
      <w:r>
        <w:rPr/>
        <w:t>A</w:t>
      </w:r>
      <w:r>
        <w:rPr>
          <w:spacing w:val="-2"/>
        </w:rPr>
        <w:t> </w:t>
      </w:r>
      <w:r>
        <w:rPr/>
        <w:t>large</w:t>
      </w:r>
      <w:r>
        <w:rPr>
          <w:spacing w:val="-2"/>
        </w:rPr>
        <w:t> </w:t>
      </w:r>
      <w:r>
        <w:rPr/>
        <w:t>majority</w:t>
      </w:r>
      <w:r>
        <w:rPr>
          <w:spacing w:val="-2"/>
        </w:rPr>
        <w:t> </w:t>
      </w:r>
      <w:r>
        <w:rPr/>
        <w:t>of</w:t>
      </w:r>
      <w:r>
        <w:rPr>
          <w:spacing w:val="-1"/>
        </w:rPr>
        <w:t> </w:t>
      </w:r>
      <w:r>
        <w:rPr/>
        <w:t>employer-side</w:t>
      </w:r>
      <w:r>
        <w:rPr>
          <w:spacing w:val="-2"/>
        </w:rPr>
        <w:t> </w:t>
      </w:r>
      <w:r>
        <w:rPr/>
        <w:t>participants</w:t>
      </w:r>
      <w:r>
        <w:rPr>
          <w:spacing w:val="-3"/>
        </w:rPr>
        <w:t> </w:t>
      </w:r>
      <w:r>
        <w:rPr/>
        <w:t>reported</w:t>
      </w:r>
      <w:r>
        <w:rPr>
          <w:spacing w:val="-2"/>
        </w:rPr>
        <w:t> </w:t>
      </w:r>
      <w:r>
        <w:rPr/>
        <w:t>that</w:t>
      </w:r>
      <w:r>
        <w:rPr>
          <w:spacing w:val="-3"/>
        </w:rPr>
        <w:t> </w:t>
      </w:r>
      <w:r>
        <w:rPr/>
        <w:t>they were happy with their decision not to use EC (84 per cent). Just two</w:t>
      </w:r>
      <w:r>
        <w:rPr>
          <w:spacing w:val="-1"/>
        </w:rPr>
        <w:t> </w:t>
      </w:r>
      <w:r>
        <w:rPr/>
        <w:t>per cent said they regretted not having used EC.</w:t>
      </w:r>
    </w:p>
    <w:p>
      <w:pPr>
        <w:pStyle w:val="BodyText"/>
        <w:spacing w:before="1"/>
      </w:pPr>
    </w:p>
    <w:p>
      <w:pPr>
        <w:pStyle w:val="BodyText"/>
        <w:ind w:left="1336" w:right="1475"/>
        <w:jc w:val="both"/>
      </w:pPr>
      <w:r>
        <w:rPr/>
        <w:t>By</w:t>
      </w:r>
      <w:r>
        <w:rPr>
          <w:spacing w:val="-8"/>
        </w:rPr>
        <w:t> </w:t>
      </w:r>
      <w:r>
        <w:rPr/>
        <w:t>contrast,</w:t>
      </w:r>
      <w:r>
        <w:rPr>
          <w:spacing w:val="-9"/>
        </w:rPr>
        <w:t> </w:t>
      </w:r>
      <w:r>
        <w:rPr/>
        <w:t>the</w:t>
      </w:r>
      <w:r>
        <w:rPr>
          <w:spacing w:val="-8"/>
        </w:rPr>
        <w:t> </w:t>
      </w:r>
      <w:r>
        <w:rPr/>
        <w:t>views</w:t>
      </w:r>
      <w:r>
        <w:rPr>
          <w:spacing w:val="-8"/>
        </w:rPr>
        <w:t> </w:t>
      </w:r>
      <w:r>
        <w:rPr/>
        <w:t>of</w:t>
      </w:r>
      <w:r>
        <w:rPr>
          <w:spacing w:val="-7"/>
        </w:rPr>
        <w:t> </w:t>
      </w:r>
      <w:r>
        <w:rPr/>
        <w:t>claimant-side</w:t>
      </w:r>
      <w:r>
        <w:rPr>
          <w:spacing w:val="-8"/>
        </w:rPr>
        <w:t> </w:t>
      </w:r>
      <w:r>
        <w:rPr/>
        <w:t>participants</w:t>
      </w:r>
      <w:r>
        <w:rPr>
          <w:spacing w:val="-9"/>
        </w:rPr>
        <w:t> </w:t>
      </w:r>
      <w:r>
        <w:rPr/>
        <w:t>were</w:t>
      </w:r>
      <w:r>
        <w:rPr>
          <w:spacing w:val="-8"/>
        </w:rPr>
        <w:t> </w:t>
      </w:r>
      <w:r>
        <w:rPr/>
        <w:t>mixed.</w:t>
      </w:r>
      <w:r>
        <w:rPr>
          <w:spacing w:val="-7"/>
        </w:rPr>
        <w:t> </w:t>
      </w:r>
      <w:r>
        <w:rPr/>
        <w:t>While</w:t>
      </w:r>
      <w:r>
        <w:rPr>
          <w:spacing w:val="-8"/>
        </w:rPr>
        <w:t> </w:t>
      </w:r>
      <w:r>
        <w:rPr/>
        <w:t>half</w:t>
      </w:r>
      <w:r>
        <w:rPr>
          <w:spacing w:val="-7"/>
        </w:rPr>
        <w:t> </w:t>
      </w:r>
      <w:r>
        <w:rPr/>
        <w:t>(52</w:t>
      </w:r>
      <w:r>
        <w:rPr>
          <w:spacing w:val="-8"/>
        </w:rPr>
        <w:t> </w:t>
      </w:r>
      <w:r>
        <w:rPr/>
        <w:t>per cent) said they were happy with their decision, a quarter (24 per cent) said they were in two minds about their decision, and one in ten (10 per cent) said they actively regretted their decision not to use EC (see Figure 23).</w:t>
      </w:r>
    </w:p>
    <w:p>
      <w:pPr>
        <w:pStyle w:val="BodyText"/>
        <w:spacing w:before="1"/>
      </w:pPr>
    </w:p>
    <w:p>
      <w:pPr>
        <w:spacing w:before="0"/>
        <w:ind w:left="1336" w:right="0" w:firstLine="0"/>
        <w:jc w:val="both"/>
        <w:rPr>
          <w:b/>
          <w:sz w:val="20"/>
        </w:rPr>
      </w:pPr>
      <w:r>
        <w:rPr>
          <w:b/>
          <w:sz w:val="20"/>
        </w:rPr>
        <w:t>Figure</w:t>
      </w:r>
      <w:r>
        <w:rPr>
          <w:b/>
          <w:spacing w:val="-7"/>
          <w:sz w:val="20"/>
        </w:rPr>
        <w:t> </w:t>
      </w:r>
      <w:r>
        <w:rPr>
          <w:b/>
          <w:sz w:val="20"/>
        </w:rPr>
        <w:t>23.</w:t>
      </w:r>
      <w:r>
        <w:rPr>
          <w:b/>
          <w:spacing w:val="-5"/>
          <w:sz w:val="20"/>
        </w:rPr>
        <w:t> </w:t>
      </w:r>
      <w:r>
        <w:rPr>
          <w:b/>
          <w:sz w:val="20"/>
        </w:rPr>
        <w:t>Happiness</w:t>
      </w:r>
      <w:r>
        <w:rPr>
          <w:b/>
          <w:spacing w:val="-4"/>
          <w:sz w:val="20"/>
        </w:rPr>
        <w:t> </w:t>
      </w:r>
      <w:r>
        <w:rPr>
          <w:b/>
          <w:sz w:val="20"/>
        </w:rPr>
        <w:t>with</w:t>
      </w:r>
      <w:r>
        <w:rPr>
          <w:b/>
          <w:spacing w:val="-4"/>
          <w:sz w:val="20"/>
        </w:rPr>
        <w:t> </w:t>
      </w:r>
      <w:r>
        <w:rPr>
          <w:b/>
          <w:sz w:val="20"/>
        </w:rPr>
        <w:t>the</w:t>
      </w:r>
      <w:r>
        <w:rPr>
          <w:b/>
          <w:spacing w:val="-3"/>
          <w:sz w:val="20"/>
        </w:rPr>
        <w:t> </w:t>
      </w:r>
      <w:r>
        <w:rPr>
          <w:b/>
          <w:sz w:val="20"/>
        </w:rPr>
        <w:t>decision</w:t>
      </w:r>
      <w:r>
        <w:rPr>
          <w:b/>
          <w:spacing w:val="-4"/>
          <w:sz w:val="20"/>
        </w:rPr>
        <w:t> </w:t>
      </w:r>
      <w:r>
        <w:rPr>
          <w:b/>
          <w:sz w:val="20"/>
        </w:rPr>
        <w:t>not</w:t>
      </w:r>
      <w:r>
        <w:rPr>
          <w:b/>
          <w:spacing w:val="-3"/>
          <w:sz w:val="20"/>
        </w:rPr>
        <w:t> </w:t>
      </w:r>
      <w:r>
        <w:rPr>
          <w:b/>
          <w:sz w:val="20"/>
        </w:rPr>
        <w:t>to</w:t>
      </w:r>
      <w:r>
        <w:rPr>
          <w:b/>
          <w:spacing w:val="-4"/>
          <w:sz w:val="20"/>
        </w:rPr>
        <w:t> </w:t>
      </w:r>
      <w:r>
        <w:rPr>
          <w:b/>
          <w:sz w:val="20"/>
        </w:rPr>
        <w:t>use</w:t>
      </w:r>
      <w:r>
        <w:rPr>
          <w:b/>
          <w:spacing w:val="-2"/>
          <w:sz w:val="20"/>
        </w:rPr>
        <w:t> </w:t>
      </w:r>
      <w:r>
        <w:rPr>
          <w:b/>
          <w:spacing w:val="-5"/>
          <w:sz w:val="20"/>
        </w:rPr>
        <w:t>EC</w:t>
      </w:r>
    </w:p>
    <w:p>
      <w:pPr>
        <w:pStyle w:val="BodyText"/>
        <w:spacing w:before="3"/>
        <w:rPr>
          <w:b/>
          <w:sz w:val="12"/>
        </w:rPr>
      </w:pPr>
      <w:r>
        <w:rPr/>
        <w:drawing>
          <wp:anchor distT="0" distB="0" distL="0" distR="0" allowOverlap="1" layoutInCell="1" locked="0" behindDoc="0" simplePos="0" relativeHeight="44">
            <wp:simplePos x="0" y="0"/>
            <wp:positionH relativeFrom="page">
              <wp:posOffset>1141095</wp:posOffset>
            </wp:positionH>
            <wp:positionV relativeFrom="paragraph">
              <wp:posOffset>109753</wp:posOffset>
            </wp:positionV>
            <wp:extent cx="4990302" cy="3205638"/>
            <wp:effectExtent l="0" t="0" r="0" b="0"/>
            <wp:wrapTopAndBottom/>
            <wp:docPr id="65" name="image33.png" descr="Graph showing hapiness with the decision not  to use EC "/>
            <wp:cNvGraphicFramePr>
              <a:graphicFrameLocks noChangeAspect="1"/>
            </wp:cNvGraphicFramePr>
            <a:graphic>
              <a:graphicData uri="http://schemas.openxmlformats.org/drawingml/2006/picture">
                <pic:pic>
                  <pic:nvPicPr>
                    <pic:cNvPr id="66" name="image33.png"/>
                    <pic:cNvPicPr/>
                  </pic:nvPicPr>
                  <pic:blipFill>
                    <a:blip r:embed="rId45" cstate="print"/>
                    <a:stretch>
                      <a:fillRect/>
                    </a:stretch>
                  </pic:blipFill>
                  <pic:spPr>
                    <a:xfrm>
                      <a:off x="0" y="0"/>
                      <a:ext cx="4990302" cy="3205638"/>
                    </a:xfrm>
                    <a:prstGeom prst="rect">
                      <a:avLst/>
                    </a:prstGeom>
                  </pic:spPr>
                </pic:pic>
              </a:graphicData>
            </a:graphic>
          </wp:anchor>
        </w:drawing>
      </w:r>
    </w:p>
    <w:p>
      <w:pPr>
        <w:spacing w:after="0"/>
        <w:rPr>
          <w:sz w:val="12"/>
        </w:rPr>
        <w:sectPr>
          <w:pgSz w:w="11910" w:h="16840"/>
          <w:pgMar w:header="0" w:footer="996" w:top="1340" w:bottom="1180" w:left="460" w:right="320"/>
        </w:sectPr>
      </w:pPr>
    </w:p>
    <w:p>
      <w:pPr>
        <w:pStyle w:val="Heading2"/>
        <w:numPr>
          <w:ilvl w:val="0"/>
          <w:numId w:val="2"/>
        </w:numPr>
        <w:tabs>
          <w:tab w:pos="2058" w:val="left" w:leader="none"/>
        </w:tabs>
        <w:spacing w:line="240" w:lineRule="auto" w:before="85" w:after="0"/>
        <w:ind w:left="1695" w:right="2402" w:hanging="358"/>
        <w:jc w:val="left"/>
      </w:pPr>
      <w:bookmarkStart w:name="12. INTRODUCTION TO THE EVALUATION OF CO" w:id="133"/>
      <w:bookmarkEnd w:id="133"/>
      <w:r>
        <w:rPr>
          <w:b w:val="0"/>
        </w:rPr>
      </w:r>
      <w:bookmarkStart w:name="_bookmark35" w:id="134"/>
      <w:bookmarkEnd w:id="134"/>
      <w:r>
        <w:rPr/>
        <w:t>IN</w:t>
      </w:r>
      <w:r>
        <w:rPr/>
        <w:t>TRODUCTION TO THE EVALUATION OF CONCILIATION IN EMPLOYMENT TRIBUNAL APPLICATIONS</w:t>
      </w:r>
      <w:r>
        <w:rPr>
          <w:spacing w:val="-18"/>
        </w:rPr>
        <w:t> </w:t>
      </w:r>
      <w:r>
        <w:rPr/>
        <w:t>(‘POST-ET1</w:t>
      </w:r>
      <w:r>
        <w:rPr>
          <w:spacing w:val="-18"/>
        </w:rPr>
        <w:t> </w:t>
      </w:r>
      <w:r>
        <w:rPr/>
        <w:t>CONCILIATION’)</w:t>
      </w:r>
    </w:p>
    <w:p>
      <w:pPr>
        <w:pStyle w:val="BodyText"/>
        <w:rPr>
          <w:b/>
          <w:sz w:val="34"/>
        </w:rPr>
      </w:pPr>
    </w:p>
    <w:p>
      <w:pPr>
        <w:pStyle w:val="BodyText"/>
        <w:rPr>
          <w:b/>
          <w:sz w:val="34"/>
        </w:rPr>
      </w:pPr>
    </w:p>
    <w:p>
      <w:pPr>
        <w:pStyle w:val="BodyText"/>
        <w:spacing w:before="284"/>
        <w:ind w:left="1337" w:right="1476"/>
        <w:jc w:val="both"/>
      </w:pPr>
      <w:r>
        <w:rPr/>
        <w:t>The Advisory, Conciliation, and Arbitration Service (Acas) commissioned Ipsos MORI</w:t>
      </w:r>
      <w:r>
        <w:rPr>
          <w:spacing w:val="-14"/>
        </w:rPr>
        <w:t> </w:t>
      </w:r>
      <w:r>
        <w:rPr/>
        <w:t>to</w:t>
      </w:r>
      <w:r>
        <w:rPr>
          <w:spacing w:val="-14"/>
        </w:rPr>
        <w:t> </w:t>
      </w:r>
      <w:r>
        <w:rPr/>
        <w:t>undertake</w:t>
      </w:r>
      <w:r>
        <w:rPr>
          <w:spacing w:val="-14"/>
        </w:rPr>
        <w:t> </w:t>
      </w:r>
      <w:r>
        <w:rPr/>
        <w:t>an</w:t>
      </w:r>
      <w:r>
        <w:rPr>
          <w:spacing w:val="-15"/>
        </w:rPr>
        <w:t> </w:t>
      </w:r>
      <w:r>
        <w:rPr/>
        <w:t>evaluation</w:t>
      </w:r>
      <w:r>
        <w:rPr>
          <w:spacing w:val="-13"/>
        </w:rPr>
        <w:t> </w:t>
      </w:r>
      <w:r>
        <w:rPr/>
        <w:t>of</w:t>
      </w:r>
      <w:r>
        <w:rPr>
          <w:spacing w:val="-14"/>
        </w:rPr>
        <w:t> </w:t>
      </w:r>
      <w:r>
        <w:rPr/>
        <w:t>its</w:t>
      </w:r>
      <w:r>
        <w:rPr>
          <w:spacing w:val="-14"/>
        </w:rPr>
        <w:t> </w:t>
      </w:r>
      <w:r>
        <w:rPr/>
        <w:t>post-ET1</w:t>
      </w:r>
      <w:r>
        <w:rPr>
          <w:spacing w:val="-14"/>
        </w:rPr>
        <w:t> </w:t>
      </w:r>
      <w:r>
        <w:rPr/>
        <w:t>conciliation</w:t>
      </w:r>
      <w:r>
        <w:rPr>
          <w:spacing w:val="-13"/>
        </w:rPr>
        <w:t> </w:t>
      </w:r>
      <w:r>
        <w:rPr/>
        <w:t>service</w:t>
      </w:r>
      <w:r>
        <w:rPr>
          <w:spacing w:val="-14"/>
        </w:rPr>
        <w:t> </w:t>
      </w:r>
      <w:r>
        <w:rPr/>
        <w:t>i.e.</w:t>
      </w:r>
      <w:r>
        <w:rPr>
          <w:spacing w:val="-14"/>
        </w:rPr>
        <w:t> </w:t>
      </w:r>
      <w:r>
        <w:rPr/>
        <w:t>conciliation in Employment Tribunal applications.</w:t>
      </w:r>
      <w:r>
        <w:rPr>
          <w:spacing w:val="40"/>
        </w:rPr>
        <w:t> </w:t>
      </w:r>
      <w:r>
        <w:rPr/>
        <w:t>This is the second wave of this evaluation since the introduction of Early Conciliation. This part of the report outlines the findings from this research, with comparisons to </w:t>
      </w:r>
      <w:hyperlink r:id="rId46">
        <w:r>
          <w:rPr>
            <w:color w:val="0562C1"/>
            <w:u w:val="single" w:color="0562C1"/>
          </w:rPr>
          <w:t>a similar study undertaken in</w:t>
        </w:r>
      </w:hyperlink>
      <w:r>
        <w:rPr>
          <w:color w:val="0562C1"/>
        </w:rPr>
        <w:t> </w:t>
      </w:r>
      <w:hyperlink r:id="rId46">
        <w:r>
          <w:rPr>
            <w:color w:val="0562C1"/>
            <w:spacing w:val="-2"/>
            <w:u w:val="single" w:color="0562C1"/>
          </w:rPr>
          <w:t>2016</w:t>
        </w:r>
      </w:hyperlink>
      <w:r>
        <w:rPr>
          <w:spacing w:val="-2"/>
        </w:rPr>
        <w:t>.</w:t>
      </w:r>
    </w:p>
    <w:p>
      <w:pPr>
        <w:pStyle w:val="BodyText"/>
      </w:pPr>
    </w:p>
    <w:p>
      <w:pPr>
        <w:pStyle w:val="BodyText"/>
        <w:ind w:left="1337" w:right="1472"/>
        <w:jc w:val="both"/>
      </w:pPr>
      <w:r>
        <w:rPr/>
        <w:t>The</w:t>
      </w:r>
      <w:r>
        <w:rPr>
          <w:spacing w:val="-8"/>
        </w:rPr>
        <w:t> </w:t>
      </w:r>
      <w:r>
        <w:rPr/>
        <w:t>survey</w:t>
      </w:r>
      <w:r>
        <w:rPr>
          <w:spacing w:val="-9"/>
        </w:rPr>
        <w:t> </w:t>
      </w:r>
      <w:r>
        <w:rPr/>
        <w:t>covers</w:t>
      </w:r>
      <w:r>
        <w:rPr>
          <w:spacing w:val="-8"/>
        </w:rPr>
        <w:t> </w:t>
      </w:r>
      <w:r>
        <w:rPr/>
        <w:t>user</w:t>
      </w:r>
      <w:r>
        <w:rPr>
          <w:spacing w:val="-9"/>
        </w:rPr>
        <w:t> </w:t>
      </w:r>
      <w:r>
        <w:rPr/>
        <w:t>experiences</w:t>
      </w:r>
      <w:r>
        <w:rPr>
          <w:spacing w:val="-7"/>
        </w:rPr>
        <w:t> </w:t>
      </w:r>
      <w:r>
        <w:rPr/>
        <w:t>of</w:t>
      </w:r>
      <w:r>
        <w:rPr>
          <w:spacing w:val="-7"/>
        </w:rPr>
        <w:t> </w:t>
      </w:r>
      <w:r>
        <w:rPr/>
        <w:t>the</w:t>
      </w:r>
      <w:r>
        <w:rPr>
          <w:spacing w:val="-8"/>
        </w:rPr>
        <w:t> </w:t>
      </w:r>
      <w:r>
        <w:rPr/>
        <w:t>conciliation</w:t>
      </w:r>
      <w:r>
        <w:rPr>
          <w:spacing w:val="-7"/>
        </w:rPr>
        <w:t> </w:t>
      </w:r>
      <w:r>
        <w:rPr/>
        <w:t>service</w:t>
      </w:r>
      <w:r>
        <w:rPr>
          <w:spacing w:val="-8"/>
        </w:rPr>
        <w:t> </w:t>
      </w:r>
      <w:r>
        <w:rPr/>
        <w:t>provided</w:t>
      </w:r>
      <w:r>
        <w:rPr>
          <w:spacing w:val="-8"/>
        </w:rPr>
        <w:t> </w:t>
      </w:r>
      <w:r>
        <w:rPr/>
        <w:t>by</w:t>
      </w:r>
      <w:r>
        <w:rPr>
          <w:spacing w:val="-8"/>
        </w:rPr>
        <w:t> </w:t>
      </w:r>
      <w:r>
        <w:rPr/>
        <w:t>Acas</w:t>
      </w:r>
      <w:r>
        <w:rPr>
          <w:spacing w:val="-9"/>
        </w:rPr>
        <w:t> </w:t>
      </w:r>
      <w:r>
        <w:rPr/>
        <w:t>for employment</w:t>
      </w:r>
      <w:r>
        <w:rPr>
          <w:spacing w:val="-8"/>
        </w:rPr>
        <w:t> </w:t>
      </w:r>
      <w:r>
        <w:rPr/>
        <w:t>disputes</w:t>
      </w:r>
      <w:r>
        <w:rPr>
          <w:spacing w:val="-8"/>
        </w:rPr>
        <w:t> </w:t>
      </w:r>
      <w:r>
        <w:rPr/>
        <w:t>between</w:t>
      </w:r>
      <w:r>
        <w:rPr>
          <w:spacing w:val="-9"/>
        </w:rPr>
        <w:t> </w:t>
      </w:r>
      <w:r>
        <w:rPr/>
        <w:t>the</w:t>
      </w:r>
      <w:r>
        <w:rPr>
          <w:spacing w:val="-11"/>
        </w:rPr>
        <w:t> </w:t>
      </w:r>
      <w:r>
        <w:rPr/>
        <w:t>submission</w:t>
      </w:r>
      <w:r>
        <w:rPr>
          <w:spacing w:val="-9"/>
        </w:rPr>
        <w:t> </w:t>
      </w:r>
      <w:r>
        <w:rPr/>
        <w:t>of</w:t>
      </w:r>
      <w:r>
        <w:rPr>
          <w:spacing w:val="-7"/>
        </w:rPr>
        <w:t> </w:t>
      </w:r>
      <w:r>
        <w:rPr/>
        <w:t>an</w:t>
      </w:r>
      <w:r>
        <w:rPr>
          <w:spacing w:val="-10"/>
        </w:rPr>
        <w:t> </w:t>
      </w:r>
      <w:r>
        <w:rPr/>
        <w:t>ET</w:t>
      </w:r>
      <w:r>
        <w:rPr>
          <w:spacing w:val="-9"/>
        </w:rPr>
        <w:t> </w:t>
      </w:r>
      <w:r>
        <w:rPr/>
        <w:t>claim</w:t>
      </w:r>
      <w:r>
        <w:rPr>
          <w:spacing w:val="-8"/>
        </w:rPr>
        <w:t> </w:t>
      </w:r>
      <w:r>
        <w:rPr/>
        <w:t>and</w:t>
      </w:r>
      <w:r>
        <w:rPr>
          <w:spacing w:val="-9"/>
        </w:rPr>
        <w:t> </w:t>
      </w:r>
      <w:r>
        <w:rPr/>
        <w:t>the</w:t>
      </w:r>
      <w:r>
        <w:rPr>
          <w:spacing w:val="-8"/>
        </w:rPr>
        <w:t> </w:t>
      </w:r>
      <w:r>
        <w:rPr/>
        <w:t>conclusion</w:t>
      </w:r>
      <w:r>
        <w:rPr>
          <w:spacing w:val="-7"/>
        </w:rPr>
        <w:t> </w:t>
      </w:r>
      <w:r>
        <w:rPr/>
        <w:t>of the dispute through a settlement, withdrawal or continuation to full tribunal. User experiences of conciliation prior to the submission of an ET claim (i.e. Early Conciliation) are covered under the first survey in this report.</w:t>
      </w:r>
    </w:p>
    <w:p>
      <w:pPr>
        <w:pStyle w:val="BodyText"/>
      </w:pPr>
    </w:p>
    <w:p>
      <w:pPr>
        <w:pStyle w:val="BodyText"/>
        <w:ind w:left="1337" w:right="1473"/>
        <w:jc w:val="both"/>
      </w:pPr>
      <w:r>
        <w:rPr/>
        <w:t>Fieldwork</w:t>
      </w:r>
      <w:r>
        <w:rPr>
          <w:spacing w:val="-14"/>
        </w:rPr>
        <w:t> </w:t>
      </w:r>
      <w:r>
        <w:rPr/>
        <w:t>took</w:t>
      </w:r>
      <w:r>
        <w:rPr>
          <w:spacing w:val="-14"/>
        </w:rPr>
        <w:t> </w:t>
      </w:r>
      <w:r>
        <w:rPr/>
        <w:t>place</w:t>
      </w:r>
      <w:r>
        <w:rPr>
          <w:spacing w:val="-14"/>
        </w:rPr>
        <w:t> </w:t>
      </w:r>
      <w:r>
        <w:rPr/>
        <w:t>between</w:t>
      </w:r>
      <w:r>
        <w:rPr>
          <w:spacing w:val="-13"/>
        </w:rPr>
        <w:t> </w:t>
      </w:r>
      <w:r>
        <w:rPr/>
        <w:t>12</w:t>
      </w:r>
      <w:r>
        <w:rPr>
          <w:spacing w:val="-15"/>
        </w:rPr>
        <w:t> </w:t>
      </w:r>
      <w:r>
        <w:rPr/>
        <w:t>June</w:t>
      </w:r>
      <w:r>
        <w:rPr>
          <w:spacing w:val="-14"/>
        </w:rPr>
        <w:t> </w:t>
      </w:r>
      <w:r>
        <w:rPr/>
        <w:t>and</w:t>
      </w:r>
      <w:r>
        <w:rPr>
          <w:spacing w:val="-15"/>
        </w:rPr>
        <w:t> </w:t>
      </w:r>
      <w:r>
        <w:rPr/>
        <w:t>23</w:t>
      </w:r>
      <w:r>
        <w:rPr>
          <w:spacing w:val="-14"/>
        </w:rPr>
        <w:t> </w:t>
      </w:r>
      <w:r>
        <w:rPr/>
        <w:t>August</w:t>
      </w:r>
      <w:r>
        <w:rPr>
          <w:spacing w:val="-14"/>
        </w:rPr>
        <w:t> </w:t>
      </w:r>
      <w:r>
        <w:rPr/>
        <w:t>2019.</w:t>
      </w:r>
      <w:r>
        <w:rPr>
          <w:spacing w:val="-15"/>
        </w:rPr>
        <w:t> </w:t>
      </w:r>
      <w:r>
        <w:rPr/>
        <w:t>In</w:t>
      </w:r>
      <w:r>
        <w:rPr>
          <w:spacing w:val="-13"/>
        </w:rPr>
        <w:t> </w:t>
      </w:r>
      <w:r>
        <w:rPr/>
        <w:t>total,</w:t>
      </w:r>
      <w:r>
        <w:rPr>
          <w:spacing w:val="-13"/>
        </w:rPr>
        <w:t> </w:t>
      </w:r>
      <w:r>
        <w:rPr/>
        <w:t>481</w:t>
      </w:r>
      <w:r>
        <w:rPr>
          <w:spacing w:val="-14"/>
        </w:rPr>
        <w:t> </w:t>
      </w:r>
      <w:r>
        <w:rPr/>
        <w:t>interviews were achieved in the claimant survey (81 per cent with claimants and 19 per cent with their representatives) and 464 interviews were achieved in the employer survey (47 per cent with employers and 53 per cent with their representatives). Details on response rate can be reviewed in the technical appendix.</w:t>
      </w:r>
    </w:p>
    <w:p>
      <w:pPr>
        <w:pStyle w:val="BodyText"/>
        <w:spacing w:before="4"/>
        <w:rPr>
          <w:sz w:val="23"/>
        </w:rPr>
      </w:pPr>
    </w:p>
    <w:p>
      <w:pPr>
        <w:pStyle w:val="BodyText"/>
        <w:spacing w:before="1"/>
        <w:ind w:left="1337" w:right="1473"/>
        <w:jc w:val="both"/>
      </w:pPr>
      <w:r>
        <w:rPr/>
        <w:t>In considering the results for this survey, especially the trends and changes since the</w:t>
      </w:r>
      <w:r>
        <w:rPr>
          <w:spacing w:val="-9"/>
        </w:rPr>
        <w:t> </w:t>
      </w:r>
      <w:r>
        <w:rPr/>
        <w:t>prior</w:t>
      </w:r>
      <w:r>
        <w:rPr>
          <w:spacing w:val="-8"/>
        </w:rPr>
        <w:t> </w:t>
      </w:r>
      <w:r>
        <w:rPr/>
        <w:t>evaluation</w:t>
      </w:r>
      <w:r>
        <w:rPr>
          <w:spacing w:val="-8"/>
        </w:rPr>
        <w:t> </w:t>
      </w:r>
      <w:r>
        <w:rPr/>
        <w:t>in</w:t>
      </w:r>
      <w:r>
        <w:rPr>
          <w:spacing w:val="-8"/>
        </w:rPr>
        <w:t> </w:t>
      </w:r>
      <w:r>
        <w:rPr/>
        <w:t>2016,</w:t>
      </w:r>
      <w:r>
        <w:rPr>
          <w:spacing w:val="-8"/>
        </w:rPr>
        <w:t> </w:t>
      </w:r>
      <w:r>
        <w:rPr/>
        <w:t>it</w:t>
      </w:r>
      <w:r>
        <w:rPr>
          <w:spacing w:val="-8"/>
        </w:rPr>
        <w:t> </w:t>
      </w:r>
      <w:r>
        <w:rPr/>
        <w:t>is</w:t>
      </w:r>
      <w:r>
        <w:rPr>
          <w:spacing w:val="-8"/>
        </w:rPr>
        <w:t> </w:t>
      </w:r>
      <w:r>
        <w:rPr/>
        <w:t>important</w:t>
      </w:r>
      <w:r>
        <w:rPr>
          <w:spacing w:val="-8"/>
        </w:rPr>
        <w:t> </w:t>
      </w:r>
      <w:r>
        <w:rPr/>
        <w:t>to</w:t>
      </w:r>
      <w:r>
        <w:rPr>
          <w:spacing w:val="-10"/>
        </w:rPr>
        <w:t> </w:t>
      </w:r>
      <w:r>
        <w:rPr/>
        <w:t>be</w:t>
      </w:r>
      <w:r>
        <w:rPr>
          <w:spacing w:val="-9"/>
        </w:rPr>
        <w:t> </w:t>
      </w:r>
      <w:r>
        <w:rPr/>
        <w:t>mindful</w:t>
      </w:r>
      <w:r>
        <w:rPr>
          <w:spacing w:val="-9"/>
        </w:rPr>
        <w:t> </w:t>
      </w:r>
      <w:r>
        <w:rPr/>
        <w:t>of</w:t>
      </w:r>
      <w:r>
        <w:rPr>
          <w:spacing w:val="-8"/>
        </w:rPr>
        <w:t> </w:t>
      </w:r>
      <w:r>
        <w:rPr/>
        <w:t>the</w:t>
      </w:r>
      <w:r>
        <w:rPr>
          <w:spacing w:val="-9"/>
        </w:rPr>
        <w:t> </w:t>
      </w:r>
      <w:r>
        <w:rPr/>
        <w:t>context</w:t>
      </w:r>
      <w:r>
        <w:rPr>
          <w:spacing w:val="-8"/>
        </w:rPr>
        <w:t> </w:t>
      </w:r>
      <w:r>
        <w:rPr/>
        <w:t>of</w:t>
      </w:r>
      <w:r>
        <w:rPr>
          <w:spacing w:val="-8"/>
        </w:rPr>
        <w:t> </w:t>
      </w:r>
      <w:r>
        <w:rPr/>
        <w:t>change: the abolition of ET fees, the increase in conciliation caseloads and – perhaps to a lesser extent – the introduction by Acas of a dedicated fast-track conciliator role might all be expected to have some bearing on results, although it is not possible to</w:t>
      </w:r>
      <w:r>
        <w:rPr>
          <w:spacing w:val="-4"/>
        </w:rPr>
        <w:t> </w:t>
      </w:r>
      <w:r>
        <w:rPr/>
        <w:t>go</w:t>
      </w:r>
      <w:r>
        <w:rPr>
          <w:spacing w:val="-5"/>
        </w:rPr>
        <w:t> </w:t>
      </w:r>
      <w:r>
        <w:rPr/>
        <w:t>beyond</w:t>
      </w:r>
      <w:r>
        <w:rPr>
          <w:spacing w:val="-3"/>
        </w:rPr>
        <w:t> </w:t>
      </w:r>
      <w:r>
        <w:rPr/>
        <w:t>the</w:t>
      </w:r>
      <w:r>
        <w:rPr>
          <w:spacing w:val="-4"/>
        </w:rPr>
        <w:t> </w:t>
      </w:r>
      <w:r>
        <w:rPr/>
        <w:t>data</w:t>
      </w:r>
      <w:r>
        <w:rPr>
          <w:spacing w:val="-4"/>
        </w:rPr>
        <w:t> </w:t>
      </w:r>
      <w:r>
        <w:rPr/>
        <w:t>and</w:t>
      </w:r>
      <w:r>
        <w:rPr>
          <w:spacing w:val="-3"/>
        </w:rPr>
        <w:t> </w:t>
      </w:r>
      <w:r>
        <w:rPr/>
        <w:t>attribute</w:t>
      </w:r>
      <w:r>
        <w:rPr>
          <w:spacing w:val="-5"/>
        </w:rPr>
        <w:t> </w:t>
      </w:r>
      <w:r>
        <w:rPr/>
        <w:t>specific</w:t>
      </w:r>
      <w:r>
        <w:rPr>
          <w:spacing w:val="-3"/>
        </w:rPr>
        <w:t> </w:t>
      </w:r>
      <w:r>
        <w:rPr/>
        <w:t>causal</w:t>
      </w:r>
      <w:r>
        <w:rPr>
          <w:spacing w:val="-4"/>
        </w:rPr>
        <w:t> </w:t>
      </w:r>
      <w:r>
        <w:rPr/>
        <w:t>impacts</w:t>
      </w:r>
      <w:r>
        <w:rPr>
          <w:spacing w:val="-4"/>
        </w:rPr>
        <w:t> </w:t>
      </w:r>
      <w:r>
        <w:rPr/>
        <w:t>of</w:t>
      </w:r>
      <w:r>
        <w:rPr>
          <w:spacing w:val="-3"/>
        </w:rPr>
        <w:t> </w:t>
      </w:r>
      <w:r>
        <w:rPr/>
        <w:t>these</w:t>
      </w:r>
      <w:r>
        <w:rPr>
          <w:spacing w:val="-4"/>
        </w:rPr>
        <w:t> </w:t>
      </w:r>
      <w:r>
        <w:rPr/>
        <w:t>changes.</w:t>
      </w:r>
      <w:r>
        <w:rPr>
          <w:spacing w:val="40"/>
        </w:rPr>
        <w:t> </w:t>
      </w:r>
      <w:r>
        <w:rPr/>
        <w:t>Key trends between 2016 and 2019 are given throughout this part of the report, but these comparisons should be treated with caution because of the changes in the context that post-ET1 conciliation operates in.</w:t>
      </w:r>
    </w:p>
    <w:p>
      <w:pPr>
        <w:pStyle w:val="BodyText"/>
        <w:spacing w:before="7"/>
        <w:rPr>
          <w:sz w:val="26"/>
        </w:rPr>
      </w:pPr>
    </w:p>
    <w:p>
      <w:pPr>
        <w:pStyle w:val="BodyText"/>
        <w:ind w:left="1337" w:right="1474" w:hanging="1"/>
        <w:jc w:val="both"/>
      </w:pPr>
      <w:r>
        <w:rPr/>
        <w:t>Finally, it should be noted that s</w:t>
      </w:r>
      <w:r>
        <w:rPr>
          <w:rFonts w:ascii="Calibri"/>
          <w:sz w:val="22"/>
        </w:rPr>
        <w:t>ince </w:t>
      </w:r>
      <w:r>
        <w:rPr/>
        <w:t>this evaluation was undertaken in 2019, Acas has made other developments in service provision including a new case management system for conciliators and pilots of alternative team-based models of conciliation delivery. As the ET survey sample deals primarily with cases from summer 2018 and spring 2019, the impact of these features will not be reflected in the data (full sampling frame details are provided in the technical appendix).</w:t>
      </w:r>
    </w:p>
    <w:p>
      <w:pPr>
        <w:spacing w:after="0"/>
        <w:jc w:val="both"/>
        <w:sectPr>
          <w:pgSz w:w="11910" w:h="16840"/>
          <w:pgMar w:header="0" w:footer="996" w:top="1800" w:bottom="1180" w:left="460" w:right="320"/>
        </w:sectPr>
      </w:pPr>
    </w:p>
    <w:p>
      <w:pPr>
        <w:pStyle w:val="Heading2"/>
        <w:numPr>
          <w:ilvl w:val="0"/>
          <w:numId w:val="2"/>
        </w:numPr>
        <w:tabs>
          <w:tab w:pos="2058" w:val="left" w:leader="none"/>
        </w:tabs>
        <w:spacing w:line="240" w:lineRule="auto" w:before="80" w:after="0"/>
        <w:ind w:left="1695" w:right="3564" w:hanging="358"/>
        <w:jc w:val="left"/>
      </w:pPr>
      <w:bookmarkStart w:name="_TOC_250004" w:id="135"/>
      <w:r>
        <w:rPr/>
        <w:t>PROFILE</w:t>
      </w:r>
      <w:r>
        <w:rPr>
          <w:spacing w:val="-9"/>
        </w:rPr>
        <w:t> </w:t>
      </w:r>
      <w:r>
        <w:rPr/>
        <w:t>OF</w:t>
      </w:r>
      <w:r>
        <w:rPr>
          <w:spacing w:val="-9"/>
        </w:rPr>
        <w:t> </w:t>
      </w:r>
      <w:r>
        <w:rPr/>
        <w:t>PARTIES</w:t>
      </w:r>
      <w:r>
        <w:rPr>
          <w:spacing w:val="-9"/>
        </w:rPr>
        <w:t> </w:t>
      </w:r>
      <w:r>
        <w:rPr/>
        <w:t>AT</w:t>
      </w:r>
      <w:r>
        <w:rPr>
          <w:spacing w:val="-9"/>
        </w:rPr>
        <w:t> </w:t>
      </w:r>
      <w:r>
        <w:rPr/>
        <w:t>POST-ET1 </w:t>
      </w:r>
      <w:bookmarkEnd w:id="135"/>
      <w:r>
        <w:rPr>
          <w:spacing w:val="-2"/>
        </w:rPr>
        <w:t>CONCILIATION</w:t>
      </w:r>
    </w:p>
    <w:p>
      <w:pPr>
        <w:pStyle w:val="BodyText"/>
        <w:rPr>
          <w:b/>
          <w:sz w:val="34"/>
        </w:rPr>
      </w:pPr>
    </w:p>
    <w:p>
      <w:pPr>
        <w:pStyle w:val="BodyText"/>
        <w:spacing w:line="259" w:lineRule="auto" w:before="226"/>
        <w:ind w:left="1337" w:right="1217"/>
      </w:pPr>
      <w:r>
        <w:rPr>
          <w:b/>
        </w:rPr>
        <w:t>Synopsis: </w:t>
      </w:r>
      <w:r>
        <w:rPr/>
        <w:t>This chapter outlines the profiles of the four types of participants who took part in the survey:</w:t>
      </w:r>
    </w:p>
    <w:p>
      <w:pPr>
        <w:pStyle w:val="BodyText"/>
        <w:spacing w:before="8"/>
        <w:rPr>
          <w:sz w:val="22"/>
        </w:rPr>
      </w:pPr>
    </w:p>
    <w:p>
      <w:pPr>
        <w:pStyle w:val="ListParagraph"/>
        <w:numPr>
          <w:ilvl w:val="0"/>
          <w:numId w:val="31"/>
        </w:numPr>
        <w:tabs>
          <w:tab w:pos="2057" w:val="left" w:leader="none"/>
          <w:tab w:pos="2058" w:val="left" w:leader="none"/>
        </w:tabs>
        <w:spacing w:line="240" w:lineRule="auto" w:before="0" w:after="0"/>
        <w:ind w:left="2057" w:right="0" w:hanging="361"/>
        <w:jc w:val="left"/>
        <w:rPr>
          <w:sz w:val="20"/>
        </w:rPr>
      </w:pPr>
      <w:r>
        <w:rPr>
          <w:spacing w:val="-2"/>
          <w:sz w:val="20"/>
        </w:rPr>
        <w:t>Claimants</w:t>
      </w:r>
    </w:p>
    <w:p>
      <w:pPr>
        <w:pStyle w:val="ListParagraph"/>
        <w:numPr>
          <w:ilvl w:val="0"/>
          <w:numId w:val="31"/>
        </w:numPr>
        <w:tabs>
          <w:tab w:pos="2057" w:val="left" w:leader="none"/>
          <w:tab w:pos="2058" w:val="left" w:leader="none"/>
        </w:tabs>
        <w:spacing w:line="240" w:lineRule="auto" w:before="15" w:after="0"/>
        <w:ind w:left="2057" w:right="0" w:hanging="361"/>
        <w:jc w:val="left"/>
        <w:rPr>
          <w:sz w:val="20"/>
        </w:rPr>
      </w:pPr>
      <w:r>
        <w:rPr>
          <w:spacing w:val="-2"/>
          <w:sz w:val="20"/>
        </w:rPr>
        <w:t>Employers</w:t>
      </w:r>
    </w:p>
    <w:p>
      <w:pPr>
        <w:pStyle w:val="ListParagraph"/>
        <w:numPr>
          <w:ilvl w:val="0"/>
          <w:numId w:val="31"/>
        </w:numPr>
        <w:tabs>
          <w:tab w:pos="2057" w:val="left" w:leader="none"/>
          <w:tab w:pos="2058" w:val="left" w:leader="none"/>
        </w:tabs>
        <w:spacing w:line="240" w:lineRule="auto" w:before="15" w:after="0"/>
        <w:ind w:left="2057" w:right="0" w:hanging="361"/>
        <w:jc w:val="left"/>
        <w:rPr>
          <w:sz w:val="20"/>
        </w:rPr>
      </w:pPr>
      <w:r>
        <w:rPr>
          <w:sz w:val="20"/>
        </w:rPr>
        <w:t>Claimant</w:t>
      </w:r>
      <w:r>
        <w:rPr>
          <w:spacing w:val="-6"/>
          <w:sz w:val="20"/>
        </w:rPr>
        <w:t> </w:t>
      </w:r>
      <w:r>
        <w:rPr>
          <w:spacing w:val="-2"/>
          <w:sz w:val="20"/>
        </w:rPr>
        <w:t>representatives</w:t>
      </w:r>
    </w:p>
    <w:p>
      <w:pPr>
        <w:pStyle w:val="ListParagraph"/>
        <w:numPr>
          <w:ilvl w:val="0"/>
          <w:numId w:val="31"/>
        </w:numPr>
        <w:tabs>
          <w:tab w:pos="2057" w:val="left" w:leader="none"/>
          <w:tab w:pos="2058" w:val="left" w:leader="none"/>
        </w:tabs>
        <w:spacing w:line="240" w:lineRule="auto" w:before="15" w:after="0"/>
        <w:ind w:left="2057" w:right="0" w:hanging="361"/>
        <w:jc w:val="left"/>
        <w:rPr>
          <w:sz w:val="20"/>
        </w:rPr>
      </w:pPr>
      <w:r>
        <w:rPr>
          <w:sz w:val="20"/>
        </w:rPr>
        <w:t>Employer</w:t>
      </w:r>
      <w:r>
        <w:rPr>
          <w:spacing w:val="-6"/>
          <w:sz w:val="20"/>
        </w:rPr>
        <w:t> </w:t>
      </w:r>
      <w:r>
        <w:rPr>
          <w:spacing w:val="-2"/>
          <w:sz w:val="20"/>
        </w:rPr>
        <w:t>representatives</w:t>
      </w:r>
    </w:p>
    <w:p>
      <w:pPr>
        <w:pStyle w:val="BodyText"/>
      </w:pPr>
    </w:p>
    <w:p>
      <w:pPr>
        <w:pStyle w:val="BodyText"/>
        <w:spacing w:before="6"/>
        <w:rPr>
          <w:sz w:val="15"/>
        </w:rPr>
      </w:pPr>
    </w:p>
    <w:p>
      <w:pPr>
        <w:pStyle w:val="Heading3"/>
        <w:spacing w:before="100"/>
        <w:ind w:left="1383"/>
        <w:jc w:val="left"/>
      </w:pPr>
      <w:r>
        <w:rPr/>
        <w:pict>
          <v:group style="position:absolute;margin-left:81.540001pt;margin-top:-8.641206pt;width:444.75pt;height:418.5pt;mso-position-horizontal-relative:page;mso-position-vertical-relative:paragraph;z-index:-18104320" id="docshapegroup47" coordorigin="1631,-173" coordsize="8895,8370">
            <v:rect style="position:absolute;left:1659;top:-143;width:8836;height:8310" id="docshape48" filled="true" fillcolor="#f1f1f1" stroked="false">
              <v:fill type="solid"/>
            </v:rect>
            <v:shape style="position:absolute;left:1630;top:-173;width:8866;height:30" id="docshape49" coordorigin="1631,-173" coordsize="8866,30" path="m10496,-154l1660,-154,1650,-154,1650,-154,1650,-144,1650,-143,1660,-143,1660,-144,10496,-144,10496,-154xm10496,-173l1660,-173,1640,-173,1631,-173,1631,-163,1631,-143,1640,-143,1640,-163,1660,-163,10496,-163,10496,-173xe" filled="true" fillcolor="#000000" stroked="false">
              <v:path arrowok="t"/>
              <v:fill type="solid"/>
            </v:shape>
            <v:rect style="position:absolute;left:1659;top:-145;width:8837;height:2" id="docshape50" filled="true" fillcolor="#f1f1f1" stroked="false">
              <v:fill type="solid"/>
            </v:rect>
            <v:shape style="position:absolute;left:10496;top:-173;width:29;height:30" id="docshape51" coordorigin="10496,-173" coordsize="29,30" path="m10506,-154l10496,-154,10496,-154,10496,-144,10496,-143,10506,-143,10506,-144,10506,-154,10506,-154xm10525,-173l10516,-173,10496,-173,10496,-163,10516,-163,10516,-143,10525,-143,10525,-163,10525,-173xe" filled="true" fillcolor="#000000" stroked="false">
              <v:path arrowok="t"/>
              <v:fill type="solid"/>
            </v:shape>
            <v:rect style="position:absolute;left:1645;top:8167;width:8866;height:2" id="docshape52" filled="true" fillcolor="#f1f1f1" stroked="false">
              <v:fill type="solid"/>
            </v:rect>
            <v:shape style="position:absolute;left:1630;top:-143;width:8895;height:8340" id="docshape53" coordorigin="1631,-143" coordsize="8895,8340" path="m10496,8188l1660,8188,1640,8188,1640,-143,1631,-143,1631,8188,1631,8197,1640,8197,1660,8197,10496,8197,10496,8188xm10496,8168l1660,8168,1660,-143,1650,-143,1650,8168,1650,8178,1660,8178,10496,8178,10496,8168xm10506,-143l10496,-143,10496,8168,10496,8178,10506,8178,10506,8168,10506,-143xm10525,-143l10516,-143,10516,8168,10516,8188,10496,8188,10496,8197,10516,8197,10525,8197,10525,8188,10525,8168,10525,-143xe" filled="true" fillcolor="#000000" stroked="false">
              <v:path arrowok="t"/>
              <v:fill type="solid"/>
            </v:shape>
            <w10:wrap type="none"/>
          </v:group>
        </w:pict>
      </w:r>
      <w:r>
        <w:rPr/>
        <w:t>Key</w:t>
      </w:r>
      <w:r>
        <w:rPr>
          <w:spacing w:val="-5"/>
        </w:rPr>
        <w:t> </w:t>
      </w:r>
      <w:r>
        <w:rPr/>
        <w:t>trends</w:t>
      </w:r>
      <w:r>
        <w:rPr>
          <w:spacing w:val="-5"/>
        </w:rPr>
        <w:t> </w:t>
      </w:r>
      <w:r>
        <w:rPr/>
        <w:t>at-a-</w:t>
      </w:r>
      <w:r>
        <w:rPr>
          <w:spacing w:val="-2"/>
        </w:rPr>
        <w:t>glance</w:t>
      </w:r>
    </w:p>
    <w:p>
      <w:pPr>
        <w:pStyle w:val="BodyText"/>
        <w:spacing w:before="2"/>
        <w:rPr>
          <w:b/>
        </w:rPr>
      </w:pPr>
    </w:p>
    <w:p>
      <w:pPr>
        <w:pStyle w:val="ListParagraph"/>
        <w:numPr>
          <w:ilvl w:val="0"/>
          <w:numId w:val="31"/>
        </w:numPr>
        <w:tabs>
          <w:tab w:pos="2104" w:val="left" w:leader="none"/>
        </w:tabs>
        <w:spacing w:line="237" w:lineRule="auto" w:before="0" w:after="0"/>
        <w:ind w:left="2103" w:right="1182" w:hanging="361"/>
        <w:jc w:val="both"/>
        <w:rPr>
          <w:sz w:val="20"/>
        </w:rPr>
      </w:pPr>
      <w:r>
        <w:rPr>
          <w:sz w:val="20"/>
        </w:rPr>
        <w:t>The profile of participants in 2019 was very similar to the 2016 profile and is also broadly in line with the profile of participants at the EC stage.</w:t>
      </w:r>
    </w:p>
    <w:p>
      <w:pPr>
        <w:pStyle w:val="ListParagraph"/>
        <w:numPr>
          <w:ilvl w:val="0"/>
          <w:numId w:val="31"/>
        </w:numPr>
        <w:tabs>
          <w:tab w:pos="2104" w:val="left" w:leader="none"/>
        </w:tabs>
        <w:spacing w:line="240" w:lineRule="auto" w:before="1" w:after="0"/>
        <w:ind w:left="2103" w:right="1182" w:hanging="360"/>
        <w:jc w:val="both"/>
        <w:rPr>
          <w:sz w:val="20"/>
        </w:rPr>
      </w:pPr>
      <w:r>
        <w:rPr>
          <w:sz w:val="20"/>
        </w:rPr>
        <w:t>Claimants’</w:t>
      </w:r>
      <w:r>
        <w:rPr>
          <w:spacing w:val="-1"/>
          <w:sz w:val="20"/>
        </w:rPr>
        <w:t> </w:t>
      </w:r>
      <w:r>
        <w:rPr>
          <w:sz w:val="20"/>
        </w:rPr>
        <w:t>personal characteristics remained consistent with the</w:t>
      </w:r>
      <w:r>
        <w:rPr>
          <w:spacing w:val="-1"/>
          <w:sz w:val="20"/>
        </w:rPr>
        <w:t> </w:t>
      </w:r>
      <w:r>
        <w:rPr>
          <w:sz w:val="20"/>
        </w:rPr>
        <w:t>2016</w:t>
      </w:r>
      <w:r>
        <w:rPr>
          <w:spacing w:val="-1"/>
          <w:sz w:val="20"/>
        </w:rPr>
        <w:t> </w:t>
      </w:r>
      <w:r>
        <w:rPr>
          <w:sz w:val="20"/>
        </w:rPr>
        <w:t>survey and closely matched the profile of participants at the EC stage on characteristics including income, age and gender.</w:t>
      </w:r>
    </w:p>
    <w:p>
      <w:pPr>
        <w:pStyle w:val="ListParagraph"/>
        <w:numPr>
          <w:ilvl w:val="0"/>
          <w:numId w:val="31"/>
        </w:numPr>
        <w:tabs>
          <w:tab w:pos="2104" w:val="left" w:leader="none"/>
        </w:tabs>
        <w:spacing w:line="240" w:lineRule="auto" w:before="0" w:after="0"/>
        <w:ind w:left="2103" w:right="1180" w:hanging="360"/>
        <w:jc w:val="both"/>
        <w:rPr>
          <w:sz w:val="20"/>
        </w:rPr>
      </w:pPr>
      <w:r>
        <w:rPr>
          <w:sz w:val="20"/>
        </w:rPr>
        <w:t>Claimants’ employment characteristics were also largely consistent with the 2016 survey: the majority worked full-time in the private sector and had no previous ET experience. However, among those who had been job applicants or</w:t>
      </w:r>
      <w:r>
        <w:rPr>
          <w:spacing w:val="-5"/>
          <w:sz w:val="20"/>
        </w:rPr>
        <w:t> </w:t>
      </w:r>
      <w:r>
        <w:rPr>
          <w:sz w:val="20"/>
        </w:rPr>
        <w:t>else</w:t>
      </w:r>
      <w:r>
        <w:rPr>
          <w:spacing w:val="-5"/>
          <w:sz w:val="20"/>
        </w:rPr>
        <w:t> </w:t>
      </w:r>
      <w:r>
        <w:rPr>
          <w:sz w:val="20"/>
        </w:rPr>
        <w:t>no</w:t>
      </w:r>
      <w:r>
        <w:rPr>
          <w:spacing w:val="-5"/>
          <w:sz w:val="20"/>
        </w:rPr>
        <w:t> </w:t>
      </w:r>
      <w:r>
        <w:rPr>
          <w:sz w:val="20"/>
        </w:rPr>
        <w:t>longer</w:t>
      </w:r>
      <w:r>
        <w:rPr>
          <w:spacing w:val="-6"/>
          <w:sz w:val="20"/>
        </w:rPr>
        <w:t> </w:t>
      </w:r>
      <w:r>
        <w:rPr>
          <w:sz w:val="20"/>
        </w:rPr>
        <w:t>worked</w:t>
      </w:r>
      <w:r>
        <w:rPr>
          <w:spacing w:val="-5"/>
          <w:sz w:val="20"/>
        </w:rPr>
        <w:t> </w:t>
      </w:r>
      <w:r>
        <w:rPr>
          <w:sz w:val="20"/>
        </w:rPr>
        <w:t>for</w:t>
      </w:r>
      <w:r>
        <w:rPr>
          <w:spacing w:val="-5"/>
          <w:sz w:val="20"/>
        </w:rPr>
        <w:t> </w:t>
      </w:r>
      <w:r>
        <w:rPr>
          <w:sz w:val="20"/>
        </w:rPr>
        <w:t>the</w:t>
      </w:r>
      <w:r>
        <w:rPr>
          <w:spacing w:val="-6"/>
          <w:sz w:val="20"/>
        </w:rPr>
        <w:t> </w:t>
      </w:r>
      <w:r>
        <w:rPr>
          <w:sz w:val="20"/>
        </w:rPr>
        <w:t>employer</w:t>
      </w:r>
      <w:r>
        <w:rPr>
          <w:spacing w:val="-4"/>
          <w:sz w:val="20"/>
        </w:rPr>
        <w:t> </w:t>
      </w:r>
      <w:r>
        <w:rPr>
          <w:sz w:val="20"/>
        </w:rPr>
        <w:t>against</w:t>
      </w:r>
      <w:r>
        <w:rPr>
          <w:spacing w:val="-6"/>
          <w:sz w:val="20"/>
        </w:rPr>
        <w:t> </w:t>
      </w:r>
      <w:r>
        <w:rPr>
          <w:sz w:val="20"/>
        </w:rPr>
        <w:t>whom</w:t>
      </w:r>
      <w:r>
        <w:rPr>
          <w:spacing w:val="-7"/>
          <w:sz w:val="20"/>
        </w:rPr>
        <w:t> </w:t>
      </w:r>
      <w:r>
        <w:rPr>
          <w:sz w:val="20"/>
        </w:rPr>
        <w:t>they</w:t>
      </w:r>
      <w:r>
        <w:rPr>
          <w:spacing w:val="-4"/>
          <w:sz w:val="20"/>
        </w:rPr>
        <w:t> </w:t>
      </w:r>
      <w:r>
        <w:rPr>
          <w:sz w:val="20"/>
        </w:rPr>
        <w:t>brought</w:t>
      </w:r>
      <w:r>
        <w:rPr>
          <w:spacing w:val="-4"/>
          <w:sz w:val="20"/>
        </w:rPr>
        <w:t> </w:t>
      </w:r>
      <w:r>
        <w:rPr>
          <w:sz w:val="20"/>
        </w:rPr>
        <w:t>a</w:t>
      </w:r>
      <w:r>
        <w:rPr>
          <w:spacing w:val="-6"/>
          <w:sz w:val="20"/>
        </w:rPr>
        <w:t> </w:t>
      </w:r>
      <w:r>
        <w:rPr>
          <w:sz w:val="20"/>
        </w:rPr>
        <w:t>case, claimants were significantly more likely to be in full-time employment at the time of the interview compared with 2016.</w:t>
      </w:r>
    </w:p>
    <w:p>
      <w:pPr>
        <w:pStyle w:val="ListParagraph"/>
        <w:numPr>
          <w:ilvl w:val="0"/>
          <w:numId w:val="31"/>
        </w:numPr>
        <w:tabs>
          <w:tab w:pos="2104" w:val="left" w:leader="none"/>
        </w:tabs>
        <w:spacing w:line="240" w:lineRule="auto" w:before="0" w:after="0"/>
        <w:ind w:left="2103" w:right="1181" w:hanging="360"/>
        <w:jc w:val="both"/>
        <w:rPr>
          <w:sz w:val="20"/>
        </w:rPr>
      </w:pPr>
      <w:r>
        <w:rPr>
          <w:sz w:val="20"/>
        </w:rPr>
        <w:t>Employers’ characteristics were similarly largely consistent with 2016: most are smaller private sector organisations with one site in the UK. Compared with</w:t>
      </w:r>
      <w:r>
        <w:rPr>
          <w:spacing w:val="-2"/>
          <w:sz w:val="20"/>
        </w:rPr>
        <w:t> </w:t>
      </w:r>
      <w:r>
        <w:rPr>
          <w:sz w:val="20"/>
        </w:rPr>
        <w:t>EC,</w:t>
      </w:r>
      <w:r>
        <w:rPr>
          <w:spacing w:val="-2"/>
          <w:sz w:val="20"/>
        </w:rPr>
        <w:t> </w:t>
      </w:r>
      <w:r>
        <w:rPr>
          <w:sz w:val="20"/>
        </w:rPr>
        <w:t>employers</w:t>
      </w:r>
      <w:r>
        <w:rPr>
          <w:spacing w:val="-2"/>
          <w:sz w:val="20"/>
        </w:rPr>
        <w:t> </w:t>
      </w:r>
      <w:r>
        <w:rPr>
          <w:sz w:val="20"/>
        </w:rPr>
        <w:t>involved</w:t>
      </w:r>
      <w:r>
        <w:rPr>
          <w:spacing w:val="-2"/>
          <w:sz w:val="20"/>
        </w:rPr>
        <w:t> </w:t>
      </w:r>
      <w:r>
        <w:rPr>
          <w:sz w:val="20"/>
        </w:rPr>
        <w:t>in</w:t>
      </w:r>
      <w:r>
        <w:rPr>
          <w:spacing w:val="-2"/>
          <w:sz w:val="20"/>
        </w:rPr>
        <w:t> </w:t>
      </w:r>
      <w:r>
        <w:rPr>
          <w:sz w:val="20"/>
        </w:rPr>
        <w:t>post-ET1</w:t>
      </w:r>
      <w:r>
        <w:rPr>
          <w:spacing w:val="-3"/>
          <w:sz w:val="20"/>
        </w:rPr>
        <w:t> </w:t>
      </w:r>
      <w:r>
        <w:rPr>
          <w:sz w:val="20"/>
        </w:rPr>
        <w:t>conciliation</w:t>
      </w:r>
      <w:r>
        <w:rPr>
          <w:spacing w:val="-1"/>
          <w:sz w:val="20"/>
        </w:rPr>
        <w:t> </w:t>
      </w:r>
      <w:r>
        <w:rPr>
          <w:sz w:val="20"/>
        </w:rPr>
        <w:t>are</w:t>
      </w:r>
      <w:r>
        <w:rPr>
          <w:spacing w:val="-2"/>
          <w:sz w:val="20"/>
        </w:rPr>
        <w:t> </w:t>
      </w:r>
      <w:r>
        <w:rPr>
          <w:sz w:val="20"/>
        </w:rPr>
        <w:t>less</w:t>
      </w:r>
      <w:r>
        <w:rPr>
          <w:spacing w:val="-2"/>
          <w:sz w:val="20"/>
        </w:rPr>
        <w:t> </w:t>
      </w:r>
      <w:r>
        <w:rPr>
          <w:sz w:val="20"/>
        </w:rPr>
        <w:t>likely</w:t>
      </w:r>
      <w:r>
        <w:rPr>
          <w:spacing w:val="-1"/>
          <w:sz w:val="20"/>
        </w:rPr>
        <w:t> </w:t>
      </w:r>
      <w:r>
        <w:rPr>
          <w:sz w:val="20"/>
        </w:rPr>
        <w:t>to</w:t>
      </w:r>
      <w:r>
        <w:rPr>
          <w:spacing w:val="-3"/>
          <w:sz w:val="20"/>
        </w:rPr>
        <w:t> </w:t>
      </w:r>
      <w:r>
        <w:rPr>
          <w:sz w:val="20"/>
        </w:rPr>
        <w:t>be</w:t>
      </w:r>
      <w:r>
        <w:rPr>
          <w:spacing w:val="-2"/>
          <w:sz w:val="20"/>
        </w:rPr>
        <w:t> </w:t>
      </w:r>
      <w:r>
        <w:rPr>
          <w:sz w:val="20"/>
        </w:rPr>
        <w:t>from larger organisations and are also less likely to have internal legal or HR </w:t>
      </w:r>
      <w:r>
        <w:rPr>
          <w:spacing w:val="-2"/>
          <w:sz w:val="20"/>
        </w:rPr>
        <w:t>departments.</w:t>
      </w:r>
    </w:p>
    <w:p>
      <w:pPr>
        <w:pStyle w:val="ListParagraph"/>
        <w:numPr>
          <w:ilvl w:val="0"/>
          <w:numId w:val="31"/>
        </w:numPr>
        <w:tabs>
          <w:tab w:pos="2104" w:val="left" w:leader="none"/>
        </w:tabs>
        <w:spacing w:line="240" w:lineRule="auto" w:before="0" w:after="0"/>
        <w:ind w:left="2103" w:right="1180" w:hanging="360"/>
        <w:jc w:val="both"/>
        <w:rPr>
          <w:sz w:val="20"/>
        </w:rPr>
      </w:pPr>
      <w:r>
        <w:rPr>
          <w:sz w:val="20"/>
        </w:rPr>
        <w:t>Overall representation levels for claimants and employers have decreased since 2016, a pattern which may be correlated with an increase in fast track cases</w:t>
      </w:r>
      <w:r>
        <w:rPr>
          <w:spacing w:val="-9"/>
          <w:sz w:val="20"/>
        </w:rPr>
        <w:t> </w:t>
      </w:r>
      <w:r>
        <w:rPr>
          <w:sz w:val="20"/>
        </w:rPr>
        <w:t>compared</w:t>
      </w:r>
      <w:r>
        <w:rPr>
          <w:spacing w:val="-9"/>
          <w:sz w:val="20"/>
        </w:rPr>
        <w:t> </w:t>
      </w:r>
      <w:r>
        <w:rPr>
          <w:sz w:val="20"/>
        </w:rPr>
        <w:t>with</w:t>
      </w:r>
      <w:r>
        <w:rPr>
          <w:spacing w:val="-9"/>
          <w:sz w:val="20"/>
        </w:rPr>
        <w:t> </w:t>
      </w:r>
      <w:r>
        <w:rPr>
          <w:sz w:val="20"/>
        </w:rPr>
        <w:t>the</w:t>
      </w:r>
      <w:r>
        <w:rPr>
          <w:spacing w:val="-9"/>
          <w:sz w:val="20"/>
        </w:rPr>
        <w:t> </w:t>
      </w:r>
      <w:r>
        <w:rPr>
          <w:sz w:val="20"/>
        </w:rPr>
        <w:t>last</w:t>
      </w:r>
      <w:r>
        <w:rPr>
          <w:spacing w:val="-9"/>
          <w:sz w:val="20"/>
        </w:rPr>
        <w:t> </w:t>
      </w:r>
      <w:r>
        <w:rPr>
          <w:sz w:val="20"/>
        </w:rPr>
        <w:t>wave</w:t>
      </w:r>
      <w:r>
        <w:rPr>
          <w:spacing w:val="-10"/>
          <w:sz w:val="20"/>
        </w:rPr>
        <w:t> </w:t>
      </w:r>
      <w:r>
        <w:rPr>
          <w:sz w:val="20"/>
        </w:rPr>
        <w:t>of</w:t>
      </w:r>
      <w:r>
        <w:rPr>
          <w:spacing w:val="-10"/>
          <w:sz w:val="20"/>
        </w:rPr>
        <w:t> </w:t>
      </w:r>
      <w:r>
        <w:rPr>
          <w:sz w:val="20"/>
        </w:rPr>
        <w:t>the</w:t>
      </w:r>
      <w:r>
        <w:rPr>
          <w:spacing w:val="-9"/>
          <w:sz w:val="20"/>
        </w:rPr>
        <w:t> </w:t>
      </w:r>
      <w:r>
        <w:rPr>
          <w:sz w:val="20"/>
        </w:rPr>
        <w:t>survey.</w:t>
      </w:r>
      <w:r>
        <w:rPr>
          <w:spacing w:val="-10"/>
          <w:sz w:val="20"/>
        </w:rPr>
        <w:t> </w:t>
      </w:r>
      <w:r>
        <w:rPr>
          <w:sz w:val="20"/>
        </w:rPr>
        <w:t>Nevertheless,</w:t>
      </w:r>
      <w:r>
        <w:rPr>
          <w:spacing w:val="-9"/>
          <w:sz w:val="20"/>
        </w:rPr>
        <w:t> </w:t>
      </w:r>
      <w:r>
        <w:rPr>
          <w:sz w:val="20"/>
        </w:rPr>
        <w:t>claimants</w:t>
      </w:r>
      <w:r>
        <w:rPr>
          <w:spacing w:val="-10"/>
          <w:sz w:val="20"/>
        </w:rPr>
        <w:t> </w:t>
      </w:r>
      <w:r>
        <w:rPr>
          <w:sz w:val="20"/>
        </w:rPr>
        <w:t>and employers</w:t>
      </w:r>
      <w:r>
        <w:rPr>
          <w:spacing w:val="-9"/>
          <w:sz w:val="20"/>
        </w:rPr>
        <w:t> </w:t>
      </w:r>
      <w:r>
        <w:rPr>
          <w:sz w:val="20"/>
        </w:rPr>
        <w:t>remain</w:t>
      </w:r>
      <w:r>
        <w:rPr>
          <w:spacing w:val="-8"/>
          <w:sz w:val="20"/>
        </w:rPr>
        <w:t> </w:t>
      </w:r>
      <w:r>
        <w:rPr>
          <w:sz w:val="20"/>
        </w:rPr>
        <w:t>much</w:t>
      </w:r>
      <w:r>
        <w:rPr>
          <w:spacing w:val="-8"/>
          <w:sz w:val="20"/>
        </w:rPr>
        <w:t> </w:t>
      </w:r>
      <w:r>
        <w:rPr>
          <w:sz w:val="20"/>
        </w:rPr>
        <w:t>more</w:t>
      </w:r>
      <w:r>
        <w:rPr>
          <w:spacing w:val="-9"/>
          <w:sz w:val="20"/>
        </w:rPr>
        <w:t> </w:t>
      </w:r>
      <w:r>
        <w:rPr>
          <w:sz w:val="20"/>
        </w:rPr>
        <w:t>likely</w:t>
      </w:r>
      <w:r>
        <w:rPr>
          <w:spacing w:val="-8"/>
          <w:sz w:val="20"/>
        </w:rPr>
        <w:t> </w:t>
      </w:r>
      <w:r>
        <w:rPr>
          <w:sz w:val="20"/>
        </w:rPr>
        <w:t>to</w:t>
      </w:r>
      <w:r>
        <w:rPr>
          <w:spacing w:val="-9"/>
          <w:sz w:val="20"/>
        </w:rPr>
        <w:t> </w:t>
      </w:r>
      <w:r>
        <w:rPr>
          <w:sz w:val="20"/>
        </w:rPr>
        <w:t>be</w:t>
      </w:r>
      <w:r>
        <w:rPr>
          <w:spacing w:val="-9"/>
          <w:sz w:val="20"/>
        </w:rPr>
        <w:t> </w:t>
      </w:r>
      <w:r>
        <w:rPr>
          <w:sz w:val="20"/>
        </w:rPr>
        <w:t>represented</w:t>
      </w:r>
      <w:r>
        <w:rPr>
          <w:spacing w:val="-9"/>
          <w:sz w:val="20"/>
        </w:rPr>
        <w:t> </w:t>
      </w:r>
      <w:r>
        <w:rPr>
          <w:sz w:val="20"/>
        </w:rPr>
        <w:t>in</w:t>
      </w:r>
      <w:r>
        <w:rPr>
          <w:spacing w:val="-9"/>
          <w:sz w:val="20"/>
        </w:rPr>
        <w:t> </w:t>
      </w:r>
      <w:r>
        <w:rPr>
          <w:sz w:val="20"/>
        </w:rPr>
        <w:t>post-ET1</w:t>
      </w:r>
      <w:r>
        <w:rPr>
          <w:spacing w:val="-9"/>
          <w:sz w:val="20"/>
        </w:rPr>
        <w:t> </w:t>
      </w:r>
      <w:r>
        <w:rPr>
          <w:sz w:val="20"/>
        </w:rPr>
        <w:t>conciliation than EC, consistent with findings from the previous wave.</w:t>
      </w:r>
    </w:p>
    <w:p>
      <w:pPr>
        <w:pStyle w:val="ListParagraph"/>
        <w:numPr>
          <w:ilvl w:val="0"/>
          <w:numId w:val="31"/>
        </w:numPr>
        <w:tabs>
          <w:tab w:pos="2104" w:val="left" w:leader="none"/>
        </w:tabs>
        <w:spacing w:line="240" w:lineRule="auto" w:before="0" w:after="0"/>
        <w:ind w:left="2103" w:right="1180" w:hanging="360"/>
        <w:jc w:val="both"/>
        <w:rPr>
          <w:sz w:val="20"/>
        </w:rPr>
      </w:pPr>
      <w:r>
        <w:rPr>
          <w:sz w:val="20"/>
        </w:rPr>
        <w:t>Matching</w:t>
      </w:r>
      <w:r>
        <w:rPr>
          <w:spacing w:val="-8"/>
          <w:sz w:val="20"/>
        </w:rPr>
        <w:t> </w:t>
      </w:r>
      <w:r>
        <w:rPr>
          <w:sz w:val="20"/>
        </w:rPr>
        <w:t>the</w:t>
      </w:r>
      <w:r>
        <w:rPr>
          <w:spacing w:val="-7"/>
          <w:sz w:val="20"/>
        </w:rPr>
        <w:t> </w:t>
      </w:r>
      <w:r>
        <w:rPr>
          <w:sz w:val="20"/>
        </w:rPr>
        <w:t>picture</w:t>
      </w:r>
      <w:r>
        <w:rPr>
          <w:spacing w:val="-7"/>
          <w:sz w:val="20"/>
        </w:rPr>
        <w:t> </w:t>
      </w:r>
      <w:r>
        <w:rPr>
          <w:sz w:val="20"/>
        </w:rPr>
        <w:t>from</w:t>
      </w:r>
      <w:r>
        <w:rPr>
          <w:spacing w:val="-7"/>
          <w:sz w:val="20"/>
        </w:rPr>
        <w:t> </w:t>
      </w:r>
      <w:r>
        <w:rPr>
          <w:sz w:val="20"/>
        </w:rPr>
        <w:t>2016,</w:t>
      </w:r>
      <w:r>
        <w:rPr>
          <w:spacing w:val="-7"/>
          <w:sz w:val="20"/>
        </w:rPr>
        <w:t> </w:t>
      </w:r>
      <w:r>
        <w:rPr>
          <w:sz w:val="20"/>
        </w:rPr>
        <w:t>the</w:t>
      </w:r>
      <w:r>
        <w:rPr>
          <w:spacing w:val="-7"/>
          <w:sz w:val="20"/>
        </w:rPr>
        <w:t> </w:t>
      </w:r>
      <w:r>
        <w:rPr>
          <w:sz w:val="20"/>
        </w:rPr>
        <w:t>most</w:t>
      </w:r>
      <w:r>
        <w:rPr>
          <w:spacing w:val="-7"/>
          <w:sz w:val="20"/>
        </w:rPr>
        <w:t> </w:t>
      </w:r>
      <w:r>
        <w:rPr>
          <w:sz w:val="20"/>
        </w:rPr>
        <w:t>commonly-used</w:t>
      </w:r>
      <w:r>
        <w:rPr>
          <w:spacing w:val="-8"/>
          <w:sz w:val="20"/>
        </w:rPr>
        <w:t> </w:t>
      </w:r>
      <w:r>
        <w:rPr>
          <w:sz w:val="20"/>
        </w:rPr>
        <w:t>representatives</w:t>
      </w:r>
      <w:r>
        <w:rPr>
          <w:spacing w:val="-7"/>
          <w:sz w:val="20"/>
        </w:rPr>
        <w:t> </w:t>
      </w:r>
      <w:r>
        <w:rPr>
          <w:sz w:val="20"/>
        </w:rPr>
        <w:t>for both</w:t>
      </w:r>
      <w:r>
        <w:rPr>
          <w:spacing w:val="-11"/>
          <w:sz w:val="20"/>
        </w:rPr>
        <w:t> </w:t>
      </w:r>
      <w:r>
        <w:rPr>
          <w:sz w:val="20"/>
        </w:rPr>
        <w:t>claimants</w:t>
      </w:r>
      <w:r>
        <w:rPr>
          <w:spacing w:val="-11"/>
          <w:sz w:val="20"/>
        </w:rPr>
        <w:t> </w:t>
      </w:r>
      <w:r>
        <w:rPr>
          <w:sz w:val="20"/>
        </w:rPr>
        <w:t>and</w:t>
      </w:r>
      <w:r>
        <w:rPr>
          <w:spacing w:val="-11"/>
          <w:sz w:val="20"/>
        </w:rPr>
        <w:t> </w:t>
      </w:r>
      <w:r>
        <w:rPr>
          <w:sz w:val="20"/>
        </w:rPr>
        <w:t>employers</w:t>
      </w:r>
      <w:r>
        <w:rPr>
          <w:spacing w:val="-11"/>
          <w:sz w:val="20"/>
        </w:rPr>
        <w:t> </w:t>
      </w:r>
      <w:r>
        <w:rPr>
          <w:sz w:val="20"/>
        </w:rPr>
        <w:t>were</w:t>
      </w:r>
      <w:r>
        <w:rPr>
          <w:spacing w:val="-11"/>
          <w:sz w:val="20"/>
        </w:rPr>
        <w:t> </w:t>
      </w:r>
      <w:r>
        <w:rPr>
          <w:sz w:val="20"/>
        </w:rPr>
        <w:t>solicitors,</w:t>
      </w:r>
      <w:r>
        <w:rPr>
          <w:spacing w:val="-11"/>
          <w:sz w:val="20"/>
        </w:rPr>
        <w:t> </w:t>
      </w:r>
      <w:r>
        <w:rPr>
          <w:sz w:val="20"/>
        </w:rPr>
        <w:t>barristers</w:t>
      </w:r>
      <w:r>
        <w:rPr>
          <w:spacing w:val="-11"/>
          <w:sz w:val="20"/>
        </w:rPr>
        <w:t> </w:t>
      </w:r>
      <w:r>
        <w:rPr>
          <w:sz w:val="20"/>
        </w:rPr>
        <w:t>or</w:t>
      </w:r>
      <w:r>
        <w:rPr>
          <w:spacing w:val="-11"/>
          <w:sz w:val="20"/>
        </w:rPr>
        <w:t> </w:t>
      </w:r>
      <w:r>
        <w:rPr>
          <w:sz w:val="20"/>
        </w:rPr>
        <w:t>lawyers</w:t>
      </w:r>
      <w:r>
        <w:rPr>
          <w:spacing w:val="-11"/>
          <w:sz w:val="20"/>
        </w:rPr>
        <w:t> </w:t>
      </w:r>
      <w:r>
        <w:rPr>
          <w:sz w:val="20"/>
        </w:rPr>
        <w:t>–</w:t>
      </w:r>
      <w:r>
        <w:rPr>
          <w:spacing w:val="-12"/>
          <w:sz w:val="20"/>
        </w:rPr>
        <w:t> </w:t>
      </w:r>
      <w:r>
        <w:rPr>
          <w:sz w:val="20"/>
        </w:rPr>
        <w:t>although the</w:t>
      </w:r>
      <w:r>
        <w:rPr>
          <w:spacing w:val="-13"/>
          <w:sz w:val="20"/>
        </w:rPr>
        <w:t> </w:t>
      </w:r>
      <w:r>
        <w:rPr>
          <w:sz w:val="20"/>
        </w:rPr>
        <w:t>proportion</w:t>
      </w:r>
      <w:r>
        <w:rPr>
          <w:spacing w:val="-13"/>
          <w:sz w:val="20"/>
        </w:rPr>
        <w:t> </w:t>
      </w:r>
      <w:r>
        <w:rPr>
          <w:sz w:val="20"/>
        </w:rPr>
        <w:t>of</w:t>
      </w:r>
      <w:r>
        <w:rPr>
          <w:spacing w:val="-13"/>
          <w:sz w:val="20"/>
        </w:rPr>
        <w:t> </w:t>
      </w:r>
      <w:r>
        <w:rPr>
          <w:sz w:val="20"/>
        </w:rPr>
        <w:t>parties</w:t>
      </w:r>
      <w:r>
        <w:rPr>
          <w:spacing w:val="-13"/>
          <w:sz w:val="20"/>
        </w:rPr>
        <w:t> </w:t>
      </w:r>
      <w:r>
        <w:rPr>
          <w:sz w:val="20"/>
        </w:rPr>
        <w:t>using</w:t>
      </w:r>
      <w:r>
        <w:rPr>
          <w:spacing w:val="-13"/>
          <w:sz w:val="20"/>
        </w:rPr>
        <w:t> </w:t>
      </w:r>
      <w:r>
        <w:rPr>
          <w:sz w:val="20"/>
        </w:rPr>
        <w:t>legal</w:t>
      </w:r>
      <w:r>
        <w:rPr>
          <w:spacing w:val="-13"/>
          <w:sz w:val="20"/>
        </w:rPr>
        <w:t> </w:t>
      </w:r>
      <w:r>
        <w:rPr>
          <w:sz w:val="20"/>
        </w:rPr>
        <w:t>professionals</w:t>
      </w:r>
      <w:r>
        <w:rPr>
          <w:spacing w:val="-13"/>
          <w:sz w:val="20"/>
        </w:rPr>
        <w:t> </w:t>
      </w:r>
      <w:r>
        <w:rPr>
          <w:sz w:val="20"/>
        </w:rPr>
        <w:t>at</w:t>
      </w:r>
      <w:r>
        <w:rPr>
          <w:spacing w:val="-13"/>
          <w:sz w:val="20"/>
        </w:rPr>
        <w:t> </w:t>
      </w:r>
      <w:r>
        <w:rPr>
          <w:sz w:val="20"/>
        </w:rPr>
        <w:t>this</w:t>
      </w:r>
      <w:r>
        <w:rPr>
          <w:spacing w:val="-13"/>
          <w:sz w:val="20"/>
        </w:rPr>
        <w:t> </w:t>
      </w:r>
      <w:r>
        <w:rPr>
          <w:sz w:val="20"/>
        </w:rPr>
        <w:t>stage</w:t>
      </w:r>
      <w:r>
        <w:rPr>
          <w:spacing w:val="-13"/>
          <w:sz w:val="20"/>
        </w:rPr>
        <w:t> </w:t>
      </w:r>
      <w:r>
        <w:rPr>
          <w:sz w:val="20"/>
        </w:rPr>
        <w:t>has</w:t>
      </w:r>
      <w:r>
        <w:rPr>
          <w:spacing w:val="-14"/>
          <w:sz w:val="20"/>
        </w:rPr>
        <w:t> </w:t>
      </w:r>
      <w:r>
        <w:rPr>
          <w:sz w:val="20"/>
        </w:rPr>
        <w:t>fallen.</w:t>
      </w:r>
      <w:r>
        <w:rPr>
          <w:spacing w:val="-13"/>
          <w:sz w:val="20"/>
        </w:rPr>
        <w:t> </w:t>
      </w:r>
      <w:r>
        <w:rPr>
          <w:sz w:val="20"/>
        </w:rPr>
        <w:t>Both sides nevertheless remain more likely to use legal professionals as representatives at the post-ET stage compared with the EC stage.</w:t>
      </w:r>
    </w:p>
    <w:p>
      <w:pPr>
        <w:pStyle w:val="ListParagraph"/>
        <w:numPr>
          <w:ilvl w:val="0"/>
          <w:numId w:val="31"/>
        </w:numPr>
        <w:tabs>
          <w:tab w:pos="2104" w:val="left" w:leader="none"/>
        </w:tabs>
        <w:spacing w:line="240" w:lineRule="auto" w:before="0" w:after="0"/>
        <w:ind w:left="2103" w:right="1179" w:hanging="360"/>
        <w:jc w:val="both"/>
        <w:rPr>
          <w:sz w:val="20"/>
        </w:rPr>
      </w:pPr>
      <w:r>
        <w:rPr>
          <w:sz w:val="20"/>
        </w:rPr>
        <w:t>Representatives</w:t>
      </w:r>
      <w:r>
        <w:rPr>
          <w:spacing w:val="-3"/>
          <w:sz w:val="20"/>
        </w:rPr>
        <w:t> </w:t>
      </w:r>
      <w:r>
        <w:rPr>
          <w:sz w:val="20"/>
        </w:rPr>
        <w:t>used</w:t>
      </w:r>
      <w:r>
        <w:rPr>
          <w:spacing w:val="-3"/>
          <w:sz w:val="20"/>
        </w:rPr>
        <w:t> </w:t>
      </w:r>
      <w:r>
        <w:rPr>
          <w:sz w:val="20"/>
        </w:rPr>
        <w:t>in</w:t>
      </w:r>
      <w:r>
        <w:rPr>
          <w:spacing w:val="-3"/>
          <w:sz w:val="20"/>
        </w:rPr>
        <w:t> </w:t>
      </w:r>
      <w:r>
        <w:rPr>
          <w:sz w:val="20"/>
        </w:rPr>
        <w:t>post-ET1</w:t>
      </w:r>
      <w:r>
        <w:rPr>
          <w:spacing w:val="-3"/>
          <w:sz w:val="20"/>
        </w:rPr>
        <w:t> </w:t>
      </w:r>
      <w:r>
        <w:rPr>
          <w:sz w:val="20"/>
        </w:rPr>
        <w:t>conciliation</w:t>
      </w:r>
      <w:r>
        <w:rPr>
          <w:spacing w:val="-3"/>
          <w:sz w:val="20"/>
        </w:rPr>
        <w:t> </w:t>
      </w:r>
      <w:r>
        <w:rPr>
          <w:sz w:val="20"/>
        </w:rPr>
        <w:t>also</w:t>
      </w:r>
      <w:r>
        <w:rPr>
          <w:spacing w:val="-3"/>
          <w:sz w:val="20"/>
        </w:rPr>
        <w:t> </w:t>
      </w:r>
      <w:r>
        <w:rPr>
          <w:sz w:val="20"/>
        </w:rPr>
        <w:t>tended</w:t>
      </w:r>
      <w:r>
        <w:rPr>
          <w:spacing w:val="-3"/>
          <w:sz w:val="20"/>
        </w:rPr>
        <w:t> </w:t>
      </w:r>
      <w:r>
        <w:rPr>
          <w:sz w:val="20"/>
        </w:rPr>
        <w:t>to</w:t>
      </w:r>
      <w:r>
        <w:rPr>
          <w:spacing w:val="-5"/>
          <w:sz w:val="20"/>
        </w:rPr>
        <w:t> </w:t>
      </w:r>
      <w:r>
        <w:rPr>
          <w:sz w:val="20"/>
        </w:rPr>
        <w:t>have</w:t>
      </w:r>
      <w:r>
        <w:rPr>
          <w:spacing w:val="-3"/>
          <w:sz w:val="20"/>
        </w:rPr>
        <w:t> </w:t>
      </w:r>
      <w:r>
        <w:rPr>
          <w:sz w:val="20"/>
        </w:rPr>
        <w:t>more</w:t>
      </w:r>
      <w:r>
        <w:rPr>
          <w:spacing w:val="-3"/>
          <w:sz w:val="20"/>
        </w:rPr>
        <w:t> </w:t>
      </w:r>
      <w:r>
        <w:rPr>
          <w:sz w:val="20"/>
        </w:rPr>
        <w:t>years of experience than those used at the EC stage – again echoing findings from </w:t>
      </w:r>
      <w:r>
        <w:rPr>
          <w:spacing w:val="-2"/>
          <w:sz w:val="20"/>
        </w:rPr>
        <w:t>2016.</w:t>
      </w:r>
    </w:p>
    <w:p>
      <w:pPr>
        <w:spacing w:after="0" w:line="240" w:lineRule="auto"/>
        <w:jc w:val="both"/>
        <w:rPr>
          <w:sz w:val="20"/>
        </w:rPr>
        <w:sectPr>
          <w:pgSz w:w="11910" w:h="16840"/>
          <w:pgMar w:header="0" w:footer="996" w:top="1360" w:bottom="1180" w:left="460" w:right="318"/>
        </w:sectPr>
      </w:pPr>
    </w:p>
    <w:p>
      <w:pPr>
        <w:pStyle w:val="Heading3"/>
        <w:numPr>
          <w:ilvl w:val="1"/>
          <w:numId w:val="2"/>
        </w:numPr>
        <w:tabs>
          <w:tab w:pos="1906" w:val="left" w:leader="none"/>
        </w:tabs>
        <w:spacing w:line="240" w:lineRule="auto" w:before="82" w:after="0"/>
        <w:ind w:left="1905" w:right="0" w:hanging="569"/>
        <w:jc w:val="both"/>
      </w:pPr>
      <w:bookmarkStart w:name="_TOC_250003" w:id="136"/>
      <w:bookmarkStart w:name="1." w:id="137"/>
      <w:r>
        <w:rPr>
          <w:b w:val="0"/>
        </w:rPr>
      </w:r>
      <w:bookmarkStart w:name="2." w:id="138"/>
      <w:bookmarkEnd w:id="138"/>
      <w:r>
        <w:rPr>
          <w:b w:val="0"/>
        </w:rPr>
      </w:r>
      <w:bookmarkStart w:name="3." w:id="139"/>
      <w:bookmarkEnd w:id="139"/>
      <w:r>
        <w:rPr>
          <w:b w:val="0"/>
        </w:rPr>
      </w:r>
      <w:bookmarkStart w:name="4." w:id="140"/>
      <w:bookmarkEnd w:id="140"/>
      <w:r>
        <w:rPr>
          <w:b w:val="0"/>
        </w:rPr>
      </w:r>
      <w:bookmarkStart w:name="5." w:id="141"/>
      <w:bookmarkEnd w:id="141"/>
      <w:r>
        <w:rPr>
          <w:b w:val="0"/>
        </w:rPr>
      </w:r>
      <w:bookmarkStart w:name="6." w:id="142"/>
      <w:bookmarkEnd w:id="142"/>
      <w:r>
        <w:rPr>
          <w:b w:val="0"/>
        </w:rPr>
      </w:r>
      <w:bookmarkStart w:name="7." w:id="143"/>
      <w:bookmarkEnd w:id="143"/>
      <w:r>
        <w:rPr>
          <w:b w:val="0"/>
        </w:rPr>
      </w:r>
      <w:bookmarkStart w:name="8." w:id="144"/>
      <w:bookmarkEnd w:id="144"/>
      <w:r>
        <w:rPr>
          <w:b w:val="0"/>
        </w:rPr>
      </w:r>
      <w:bookmarkStart w:name="9." w:id="145"/>
      <w:bookmarkEnd w:id="145"/>
      <w:r>
        <w:rPr>
          <w:b w:val="0"/>
        </w:rPr>
      </w:r>
      <w:bookmarkStart w:name="10." w:id="146"/>
      <w:bookmarkEnd w:id="146"/>
      <w:r>
        <w:rPr>
          <w:b w:val="0"/>
        </w:rPr>
      </w:r>
      <w:bookmarkStart w:name="11." w:id="147"/>
      <w:bookmarkEnd w:id="147"/>
      <w:r>
        <w:rPr>
          <w:b w:val="0"/>
        </w:rPr>
      </w:r>
      <w:bookmarkStart w:name="12." w:id="148"/>
      <w:bookmarkEnd w:id="148"/>
      <w:r>
        <w:rPr>
          <w:b w:val="0"/>
        </w:rPr>
      </w:r>
      <w:bookmarkStart w:name="13." w:id="149"/>
      <w:bookmarkEnd w:id="149"/>
      <w:r>
        <w:rPr>
          <w:b w:val="0"/>
        </w:rPr>
      </w:r>
      <w:bookmarkStart w:name="14." w:id="150"/>
      <w:bookmarkEnd w:id="150"/>
      <w:r>
        <w:rPr>
          <w:b w:val="0"/>
        </w:rPr>
      </w:r>
      <w:bookmarkStart w:name="13.1 Profile of participants" w:id="151"/>
      <w:bookmarkEnd w:id="151"/>
      <w:r>
        <w:rPr/>
        <w:t>Pr</w:t>
      </w:r>
      <w:r>
        <w:rPr/>
        <w:t>ofile</w:t>
      </w:r>
      <w:r>
        <w:rPr>
          <w:spacing w:val="-4"/>
        </w:rPr>
        <w:t> </w:t>
      </w:r>
      <w:r>
        <w:rPr/>
        <w:t>of</w:t>
      </w:r>
      <w:r>
        <w:rPr>
          <w:spacing w:val="-3"/>
        </w:rPr>
        <w:t> </w:t>
      </w:r>
      <w:bookmarkEnd w:id="136"/>
      <w:r>
        <w:rPr>
          <w:spacing w:val="-2"/>
        </w:rPr>
        <w:t>participants</w:t>
      </w:r>
    </w:p>
    <w:p>
      <w:pPr>
        <w:pStyle w:val="BodyText"/>
        <w:spacing w:before="9"/>
        <w:rPr>
          <w:b/>
          <w:sz w:val="22"/>
        </w:rPr>
      </w:pPr>
    </w:p>
    <w:p>
      <w:pPr>
        <w:pStyle w:val="BodyText"/>
        <w:spacing w:line="256" w:lineRule="auto"/>
        <w:ind w:left="1337" w:right="1473"/>
        <w:jc w:val="both"/>
      </w:pPr>
      <w:r>
        <w:rPr/>
        <w:t>This</w:t>
      </w:r>
      <w:r>
        <w:rPr>
          <w:spacing w:val="-8"/>
        </w:rPr>
        <w:t> </w:t>
      </w:r>
      <w:r>
        <w:rPr/>
        <w:t>section</w:t>
      </w:r>
      <w:r>
        <w:rPr>
          <w:spacing w:val="-9"/>
        </w:rPr>
        <w:t> </w:t>
      </w:r>
      <w:r>
        <w:rPr/>
        <w:t>outlines</w:t>
      </w:r>
      <w:r>
        <w:rPr>
          <w:spacing w:val="-8"/>
        </w:rPr>
        <w:t> </w:t>
      </w:r>
      <w:r>
        <w:rPr/>
        <w:t>the</w:t>
      </w:r>
      <w:r>
        <w:rPr>
          <w:spacing w:val="-8"/>
        </w:rPr>
        <w:t> </w:t>
      </w:r>
      <w:r>
        <w:rPr/>
        <w:t>profile</w:t>
      </w:r>
      <w:r>
        <w:rPr>
          <w:spacing w:val="-9"/>
        </w:rPr>
        <w:t> </w:t>
      </w:r>
      <w:r>
        <w:rPr/>
        <w:t>of</w:t>
      </w:r>
      <w:r>
        <w:rPr>
          <w:spacing w:val="-7"/>
        </w:rPr>
        <w:t> </w:t>
      </w:r>
      <w:r>
        <w:rPr/>
        <w:t>the</w:t>
      </w:r>
      <w:r>
        <w:rPr>
          <w:spacing w:val="-8"/>
        </w:rPr>
        <w:t> </w:t>
      </w:r>
      <w:r>
        <w:rPr/>
        <w:t>claimants</w:t>
      </w:r>
      <w:r>
        <w:rPr>
          <w:spacing w:val="-6"/>
        </w:rPr>
        <w:t> </w:t>
      </w:r>
      <w:r>
        <w:rPr/>
        <w:t>and</w:t>
      </w:r>
      <w:r>
        <w:rPr>
          <w:spacing w:val="-9"/>
        </w:rPr>
        <w:t> </w:t>
      </w:r>
      <w:r>
        <w:rPr/>
        <w:t>employers</w:t>
      </w:r>
      <w:r>
        <w:rPr>
          <w:spacing w:val="-8"/>
        </w:rPr>
        <w:t> </w:t>
      </w:r>
      <w:r>
        <w:rPr/>
        <w:t>who</w:t>
      </w:r>
      <w:r>
        <w:rPr>
          <w:spacing w:val="-9"/>
        </w:rPr>
        <w:t> </w:t>
      </w:r>
      <w:r>
        <w:rPr/>
        <w:t>participated</w:t>
      </w:r>
      <w:r>
        <w:rPr>
          <w:spacing w:val="-8"/>
        </w:rPr>
        <w:t> </w:t>
      </w:r>
      <w:r>
        <w:rPr/>
        <w:t>in the survey. Comparisons are made with data from the first wave of the post-ET1 conciliation survey (from 2016) as well as the two waves of the EC survey (conducted in 2019 and 2015), to show how profiles vary both over time and between the two conciliation stages.</w:t>
      </w:r>
    </w:p>
    <w:p>
      <w:pPr>
        <w:pStyle w:val="BodyText"/>
        <w:spacing w:before="11"/>
        <w:rPr>
          <w:sz w:val="19"/>
        </w:rPr>
      </w:pPr>
    </w:p>
    <w:p>
      <w:pPr>
        <w:pStyle w:val="Heading4"/>
        <w:numPr>
          <w:ilvl w:val="2"/>
          <w:numId w:val="32"/>
        </w:numPr>
        <w:tabs>
          <w:tab w:pos="2189" w:val="left" w:leader="none"/>
        </w:tabs>
        <w:spacing w:line="240" w:lineRule="auto" w:before="1" w:after="0"/>
        <w:ind w:left="2188" w:right="0" w:hanging="852"/>
        <w:jc w:val="both"/>
        <w:rPr>
          <w:i/>
        </w:rPr>
      </w:pPr>
      <w:bookmarkStart w:name="13.1.1 Claimant characteristics" w:id="152"/>
      <w:bookmarkEnd w:id="152"/>
      <w:r>
        <w:rPr>
          <w:i/>
        </w:rPr>
        <w:t>C</w:t>
      </w:r>
      <w:r>
        <w:rPr>
          <w:i/>
        </w:rPr>
        <w:t>laimant</w:t>
      </w:r>
      <w:r>
        <w:rPr>
          <w:i/>
          <w:spacing w:val="-5"/>
        </w:rPr>
        <w:t> </w:t>
      </w:r>
      <w:r>
        <w:rPr>
          <w:i/>
          <w:spacing w:val="-2"/>
        </w:rPr>
        <w:t>characteristics</w:t>
      </w:r>
    </w:p>
    <w:p>
      <w:pPr>
        <w:pStyle w:val="BodyText"/>
        <w:spacing w:before="59"/>
        <w:ind w:left="1337" w:right="1474"/>
        <w:jc w:val="both"/>
      </w:pPr>
      <w:r>
        <w:rPr/>
        <w:t>A large majority (82 per cent) of claimants worked full-time (more than 30 hours a</w:t>
      </w:r>
      <w:r>
        <w:rPr>
          <w:spacing w:val="-1"/>
        </w:rPr>
        <w:t> </w:t>
      </w:r>
      <w:r>
        <w:rPr/>
        <w:t>week),</w:t>
      </w:r>
      <w:r>
        <w:rPr>
          <w:spacing w:val="-2"/>
        </w:rPr>
        <w:t> </w:t>
      </w:r>
      <w:r>
        <w:rPr/>
        <w:t>while</w:t>
      </w:r>
      <w:r>
        <w:rPr>
          <w:spacing w:val="-2"/>
        </w:rPr>
        <w:t> </w:t>
      </w:r>
      <w:r>
        <w:rPr/>
        <w:t>14</w:t>
      </w:r>
      <w:r>
        <w:rPr>
          <w:spacing w:val="-1"/>
        </w:rPr>
        <w:t> </w:t>
      </w:r>
      <w:r>
        <w:rPr/>
        <w:t>per</w:t>
      </w:r>
      <w:r>
        <w:rPr>
          <w:spacing w:val="-1"/>
        </w:rPr>
        <w:t> </w:t>
      </w:r>
      <w:r>
        <w:rPr/>
        <w:t>cent</w:t>
      </w:r>
      <w:r>
        <w:rPr>
          <w:spacing w:val="-2"/>
        </w:rPr>
        <w:t> </w:t>
      </w:r>
      <w:r>
        <w:rPr/>
        <w:t>worked</w:t>
      </w:r>
      <w:r>
        <w:rPr>
          <w:spacing w:val="-1"/>
        </w:rPr>
        <w:t> </w:t>
      </w:r>
      <w:r>
        <w:rPr/>
        <w:t>part-time.</w:t>
      </w:r>
      <w:r>
        <w:rPr>
          <w:spacing w:val="-1"/>
        </w:rPr>
        <w:t> </w:t>
      </w:r>
      <w:r>
        <w:rPr/>
        <w:t>Four</w:t>
      </w:r>
      <w:r>
        <w:rPr>
          <w:spacing w:val="-2"/>
        </w:rPr>
        <w:t> </w:t>
      </w:r>
      <w:r>
        <w:rPr/>
        <w:t>per</w:t>
      </w:r>
      <w:r>
        <w:rPr>
          <w:spacing w:val="-1"/>
        </w:rPr>
        <w:t> </w:t>
      </w:r>
      <w:r>
        <w:rPr/>
        <w:t>cent</w:t>
      </w:r>
      <w:r>
        <w:rPr>
          <w:spacing w:val="-1"/>
        </w:rPr>
        <w:t> </w:t>
      </w:r>
      <w:r>
        <w:rPr/>
        <w:t>of</w:t>
      </w:r>
      <w:r>
        <w:rPr>
          <w:spacing w:val="-1"/>
        </w:rPr>
        <w:t> </w:t>
      </w:r>
      <w:r>
        <w:rPr/>
        <w:t>claimants</w:t>
      </w:r>
      <w:r>
        <w:rPr>
          <w:spacing w:val="-2"/>
        </w:rPr>
        <w:t> </w:t>
      </w:r>
      <w:r>
        <w:rPr/>
        <w:t>said</w:t>
      </w:r>
      <w:r>
        <w:rPr>
          <w:spacing w:val="-1"/>
        </w:rPr>
        <w:t> </w:t>
      </w:r>
      <w:r>
        <w:rPr/>
        <w:t>their employment depended on work being available, or on being contacted by their employer. This profile matches other surveys:</w:t>
      </w:r>
    </w:p>
    <w:p>
      <w:pPr>
        <w:pStyle w:val="BodyText"/>
      </w:pPr>
    </w:p>
    <w:p>
      <w:pPr>
        <w:pStyle w:val="ListParagraph"/>
        <w:numPr>
          <w:ilvl w:val="3"/>
          <w:numId w:val="32"/>
        </w:numPr>
        <w:tabs>
          <w:tab w:pos="2058" w:val="left" w:leader="none"/>
        </w:tabs>
        <w:spacing w:line="240" w:lineRule="auto" w:before="1" w:after="0"/>
        <w:ind w:left="2057" w:right="1473" w:hanging="360"/>
        <w:jc w:val="both"/>
        <w:rPr>
          <w:rFonts w:ascii="Symbol" w:hAnsi="Symbol"/>
          <w:sz w:val="20"/>
        </w:rPr>
      </w:pPr>
      <w:r>
        <w:rPr>
          <w:sz w:val="20"/>
        </w:rPr>
        <w:t>In the 2019 EC survey 78 per cent of claimants worked full-time, 15 per cent</w:t>
      </w:r>
      <w:r>
        <w:rPr>
          <w:spacing w:val="-8"/>
          <w:sz w:val="20"/>
        </w:rPr>
        <w:t> </w:t>
      </w:r>
      <w:r>
        <w:rPr>
          <w:sz w:val="20"/>
        </w:rPr>
        <w:t>worked</w:t>
      </w:r>
      <w:r>
        <w:rPr>
          <w:spacing w:val="-8"/>
          <w:sz w:val="20"/>
        </w:rPr>
        <w:t> </w:t>
      </w:r>
      <w:r>
        <w:rPr>
          <w:sz w:val="20"/>
        </w:rPr>
        <w:t>part-time</w:t>
      </w:r>
      <w:r>
        <w:rPr>
          <w:spacing w:val="-7"/>
          <w:sz w:val="20"/>
        </w:rPr>
        <w:t> </w:t>
      </w:r>
      <w:r>
        <w:rPr>
          <w:sz w:val="20"/>
        </w:rPr>
        <w:t>and</w:t>
      </w:r>
      <w:r>
        <w:rPr>
          <w:spacing w:val="-7"/>
          <w:sz w:val="20"/>
        </w:rPr>
        <w:t> </w:t>
      </w:r>
      <w:r>
        <w:rPr>
          <w:sz w:val="20"/>
        </w:rPr>
        <w:t>five</w:t>
      </w:r>
      <w:r>
        <w:rPr>
          <w:spacing w:val="-7"/>
          <w:sz w:val="20"/>
        </w:rPr>
        <w:t> </w:t>
      </w:r>
      <w:r>
        <w:rPr>
          <w:sz w:val="20"/>
        </w:rPr>
        <w:t>per</w:t>
      </w:r>
      <w:r>
        <w:rPr>
          <w:spacing w:val="-8"/>
          <w:sz w:val="20"/>
        </w:rPr>
        <w:t> </w:t>
      </w:r>
      <w:r>
        <w:rPr>
          <w:sz w:val="20"/>
        </w:rPr>
        <w:t>cent</w:t>
      </w:r>
      <w:r>
        <w:rPr>
          <w:spacing w:val="-8"/>
          <w:sz w:val="20"/>
        </w:rPr>
        <w:t> </w:t>
      </w:r>
      <w:r>
        <w:rPr>
          <w:sz w:val="20"/>
        </w:rPr>
        <w:t>had</w:t>
      </w:r>
      <w:r>
        <w:rPr>
          <w:spacing w:val="-7"/>
          <w:sz w:val="20"/>
        </w:rPr>
        <w:t> </w:t>
      </w:r>
      <w:r>
        <w:rPr>
          <w:sz w:val="20"/>
        </w:rPr>
        <w:t>employment</w:t>
      </w:r>
      <w:r>
        <w:rPr>
          <w:spacing w:val="-6"/>
          <w:sz w:val="20"/>
        </w:rPr>
        <w:t> </w:t>
      </w:r>
      <w:r>
        <w:rPr>
          <w:sz w:val="20"/>
        </w:rPr>
        <w:t>contingent</w:t>
      </w:r>
      <w:r>
        <w:rPr>
          <w:spacing w:val="-9"/>
          <w:sz w:val="20"/>
        </w:rPr>
        <w:t> </w:t>
      </w:r>
      <w:r>
        <w:rPr>
          <w:sz w:val="20"/>
        </w:rPr>
        <w:t>on</w:t>
      </w:r>
      <w:r>
        <w:rPr>
          <w:spacing w:val="-6"/>
          <w:sz w:val="20"/>
        </w:rPr>
        <w:t> </w:t>
      </w:r>
      <w:r>
        <w:rPr>
          <w:sz w:val="20"/>
        </w:rPr>
        <w:t>the availability of work or employer demand.</w:t>
      </w:r>
    </w:p>
    <w:p>
      <w:pPr>
        <w:pStyle w:val="ListParagraph"/>
        <w:numPr>
          <w:ilvl w:val="3"/>
          <w:numId w:val="32"/>
        </w:numPr>
        <w:tabs>
          <w:tab w:pos="2058" w:val="left" w:leader="none"/>
        </w:tabs>
        <w:spacing w:line="237" w:lineRule="auto" w:before="0" w:after="0"/>
        <w:ind w:left="2056" w:right="1474" w:hanging="360"/>
        <w:jc w:val="both"/>
        <w:rPr>
          <w:rFonts w:ascii="Symbol" w:hAnsi="Symbol"/>
          <w:sz w:val="20"/>
        </w:rPr>
      </w:pPr>
      <w:r>
        <w:rPr>
          <w:sz w:val="20"/>
        </w:rPr>
        <w:t>In the 2016 post-ET1 conciliation survey the figures were 79 per cent, 15 per cent and five per cent</w:t>
      </w:r>
    </w:p>
    <w:p>
      <w:pPr>
        <w:pStyle w:val="BodyText"/>
        <w:spacing w:before="1"/>
      </w:pPr>
    </w:p>
    <w:p>
      <w:pPr>
        <w:pStyle w:val="BodyText"/>
        <w:ind w:left="1336" w:right="1475"/>
        <w:jc w:val="both"/>
      </w:pPr>
      <w:r>
        <w:rPr/>
        <w:t>Two thirds (66 per cent) of claimants had worked for their employer for at least one year at the time of contacting Acas about the workplace problem.</w:t>
      </w:r>
    </w:p>
    <w:p>
      <w:pPr>
        <w:pStyle w:val="ListParagraph"/>
        <w:numPr>
          <w:ilvl w:val="3"/>
          <w:numId w:val="32"/>
        </w:numPr>
        <w:tabs>
          <w:tab w:pos="2057" w:val="left" w:leader="none"/>
        </w:tabs>
        <w:spacing w:line="240" w:lineRule="auto" w:before="1" w:after="0"/>
        <w:ind w:left="2056" w:right="1473" w:hanging="360"/>
        <w:jc w:val="both"/>
        <w:rPr>
          <w:rFonts w:ascii="Symbol" w:hAnsi="Symbol"/>
          <w:sz w:val="20"/>
        </w:rPr>
      </w:pPr>
      <w:r>
        <w:rPr>
          <w:sz w:val="20"/>
        </w:rPr>
        <w:t>This is in line with the general profile of claimants who submitted EC notifications – the 2019 EC survey reports that 68 per cent of claimants notifying had worked for their employer for at least one year.</w:t>
      </w:r>
    </w:p>
    <w:p>
      <w:pPr>
        <w:pStyle w:val="ListParagraph"/>
        <w:numPr>
          <w:ilvl w:val="3"/>
          <w:numId w:val="32"/>
        </w:numPr>
        <w:tabs>
          <w:tab w:pos="2057" w:val="left" w:leader="none"/>
        </w:tabs>
        <w:spacing w:line="240" w:lineRule="auto" w:before="0" w:after="0"/>
        <w:ind w:left="2056" w:right="1473" w:hanging="360"/>
        <w:jc w:val="both"/>
        <w:rPr>
          <w:rFonts w:ascii="Symbol" w:hAnsi="Symbol"/>
          <w:sz w:val="20"/>
        </w:rPr>
      </w:pPr>
      <w:r>
        <w:rPr>
          <w:sz w:val="20"/>
        </w:rPr>
        <w:t>However,</w:t>
      </w:r>
      <w:r>
        <w:rPr>
          <w:spacing w:val="-2"/>
          <w:sz w:val="20"/>
        </w:rPr>
        <w:t> </w:t>
      </w:r>
      <w:r>
        <w:rPr>
          <w:sz w:val="20"/>
        </w:rPr>
        <w:t>it</w:t>
      </w:r>
      <w:r>
        <w:rPr>
          <w:spacing w:val="-3"/>
          <w:sz w:val="20"/>
        </w:rPr>
        <w:t> </w:t>
      </w:r>
      <w:r>
        <w:rPr>
          <w:sz w:val="20"/>
        </w:rPr>
        <w:t>is</w:t>
      </w:r>
      <w:r>
        <w:rPr>
          <w:spacing w:val="-2"/>
          <w:sz w:val="20"/>
        </w:rPr>
        <w:t> </w:t>
      </w:r>
      <w:r>
        <w:rPr>
          <w:sz w:val="20"/>
        </w:rPr>
        <w:t>a</w:t>
      </w:r>
      <w:r>
        <w:rPr>
          <w:spacing w:val="-2"/>
          <w:sz w:val="20"/>
        </w:rPr>
        <w:t> </w:t>
      </w:r>
      <w:r>
        <w:rPr>
          <w:sz w:val="20"/>
        </w:rPr>
        <w:t>lower</w:t>
      </w:r>
      <w:r>
        <w:rPr>
          <w:spacing w:val="-2"/>
          <w:sz w:val="20"/>
        </w:rPr>
        <w:t> </w:t>
      </w:r>
      <w:r>
        <w:rPr>
          <w:sz w:val="20"/>
        </w:rPr>
        <w:t>figure</w:t>
      </w:r>
      <w:r>
        <w:rPr>
          <w:spacing w:val="-3"/>
          <w:sz w:val="20"/>
        </w:rPr>
        <w:t> </w:t>
      </w:r>
      <w:r>
        <w:rPr>
          <w:sz w:val="20"/>
        </w:rPr>
        <w:t>than</w:t>
      </w:r>
      <w:r>
        <w:rPr>
          <w:spacing w:val="-2"/>
          <w:sz w:val="20"/>
        </w:rPr>
        <w:t> </w:t>
      </w:r>
      <w:r>
        <w:rPr>
          <w:sz w:val="20"/>
        </w:rPr>
        <w:t>the</w:t>
      </w:r>
      <w:r>
        <w:rPr>
          <w:spacing w:val="-3"/>
          <w:sz w:val="20"/>
        </w:rPr>
        <w:t> </w:t>
      </w:r>
      <w:r>
        <w:rPr>
          <w:sz w:val="20"/>
        </w:rPr>
        <w:t>previous</w:t>
      </w:r>
      <w:r>
        <w:rPr>
          <w:spacing w:val="-2"/>
          <w:sz w:val="20"/>
        </w:rPr>
        <w:t> </w:t>
      </w:r>
      <w:r>
        <w:rPr>
          <w:sz w:val="20"/>
        </w:rPr>
        <w:t>ET</w:t>
      </w:r>
      <w:r>
        <w:rPr>
          <w:spacing w:val="-2"/>
          <w:sz w:val="20"/>
        </w:rPr>
        <w:t> </w:t>
      </w:r>
      <w:r>
        <w:rPr>
          <w:sz w:val="20"/>
        </w:rPr>
        <w:t>survey</w:t>
      </w:r>
      <w:r>
        <w:rPr>
          <w:spacing w:val="-4"/>
          <w:sz w:val="20"/>
        </w:rPr>
        <w:t> </w:t>
      </w:r>
      <w:r>
        <w:rPr>
          <w:sz w:val="20"/>
        </w:rPr>
        <w:t>data.</w:t>
      </w:r>
      <w:r>
        <w:rPr>
          <w:spacing w:val="-2"/>
          <w:sz w:val="20"/>
        </w:rPr>
        <w:t> </w:t>
      </w:r>
      <w:r>
        <w:rPr>
          <w:sz w:val="20"/>
        </w:rPr>
        <w:t>In</w:t>
      </w:r>
      <w:r>
        <w:rPr>
          <w:spacing w:val="-2"/>
          <w:sz w:val="20"/>
        </w:rPr>
        <w:t> </w:t>
      </w:r>
      <w:r>
        <w:rPr>
          <w:sz w:val="20"/>
        </w:rPr>
        <w:t>2016,</w:t>
      </w:r>
      <w:r>
        <w:rPr>
          <w:spacing w:val="-2"/>
          <w:sz w:val="20"/>
        </w:rPr>
        <w:t> </w:t>
      </w:r>
      <w:r>
        <w:rPr>
          <w:sz w:val="20"/>
        </w:rPr>
        <w:t>79 per</w:t>
      </w:r>
      <w:r>
        <w:rPr>
          <w:spacing w:val="-14"/>
          <w:sz w:val="20"/>
        </w:rPr>
        <w:t> </w:t>
      </w:r>
      <w:r>
        <w:rPr>
          <w:sz w:val="20"/>
        </w:rPr>
        <w:t>cent</w:t>
      </w:r>
      <w:r>
        <w:rPr>
          <w:spacing w:val="-14"/>
          <w:sz w:val="20"/>
        </w:rPr>
        <w:t> </w:t>
      </w:r>
      <w:r>
        <w:rPr>
          <w:sz w:val="20"/>
        </w:rPr>
        <w:t>of</w:t>
      </w:r>
      <w:r>
        <w:rPr>
          <w:spacing w:val="-15"/>
          <w:sz w:val="20"/>
        </w:rPr>
        <w:t> </w:t>
      </w:r>
      <w:r>
        <w:rPr>
          <w:sz w:val="20"/>
        </w:rPr>
        <w:t>ET</w:t>
      </w:r>
      <w:r>
        <w:rPr>
          <w:spacing w:val="-15"/>
          <w:sz w:val="20"/>
        </w:rPr>
        <w:t> </w:t>
      </w:r>
      <w:r>
        <w:rPr>
          <w:sz w:val="20"/>
        </w:rPr>
        <w:t>claimants</w:t>
      </w:r>
      <w:r>
        <w:rPr>
          <w:spacing w:val="-14"/>
          <w:sz w:val="20"/>
        </w:rPr>
        <w:t> </w:t>
      </w:r>
      <w:r>
        <w:rPr>
          <w:sz w:val="20"/>
        </w:rPr>
        <w:t>had</w:t>
      </w:r>
      <w:r>
        <w:rPr>
          <w:spacing w:val="-15"/>
          <w:sz w:val="20"/>
        </w:rPr>
        <w:t> </w:t>
      </w:r>
      <w:r>
        <w:rPr>
          <w:sz w:val="20"/>
        </w:rPr>
        <w:t>worked</w:t>
      </w:r>
      <w:r>
        <w:rPr>
          <w:spacing w:val="-14"/>
          <w:sz w:val="20"/>
        </w:rPr>
        <w:t> </w:t>
      </w:r>
      <w:r>
        <w:rPr>
          <w:sz w:val="20"/>
        </w:rPr>
        <w:t>for</w:t>
      </w:r>
      <w:r>
        <w:rPr>
          <w:spacing w:val="-16"/>
          <w:sz w:val="20"/>
        </w:rPr>
        <w:t> </w:t>
      </w:r>
      <w:r>
        <w:rPr>
          <w:sz w:val="20"/>
        </w:rPr>
        <w:t>their</w:t>
      </w:r>
      <w:r>
        <w:rPr>
          <w:spacing w:val="-14"/>
          <w:sz w:val="20"/>
        </w:rPr>
        <w:t> </w:t>
      </w:r>
      <w:r>
        <w:rPr>
          <w:sz w:val="20"/>
        </w:rPr>
        <w:t>employer</w:t>
      </w:r>
      <w:r>
        <w:rPr>
          <w:spacing w:val="-14"/>
          <w:sz w:val="20"/>
        </w:rPr>
        <w:t> </w:t>
      </w:r>
      <w:r>
        <w:rPr>
          <w:sz w:val="20"/>
        </w:rPr>
        <w:t>for</w:t>
      </w:r>
      <w:r>
        <w:rPr>
          <w:spacing w:val="-14"/>
          <w:sz w:val="20"/>
        </w:rPr>
        <w:t> </w:t>
      </w:r>
      <w:r>
        <w:rPr>
          <w:sz w:val="20"/>
        </w:rPr>
        <w:t>at</w:t>
      </w:r>
      <w:r>
        <w:rPr>
          <w:spacing w:val="-14"/>
          <w:sz w:val="20"/>
        </w:rPr>
        <w:t> </w:t>
      </w:r>
      <w:r>
        <w:rPr>
          <w:sz w:val="20"/>
        </w:rPr>
        <w:t>least</w:t>
      </w:r>
      <w:r>
        <w:rPr>
          <w:spacing w:val="-14"/>
          <w:sz w:val="20"/>
        </w:rPr>
        <w:t> </w:t>
      </w:r>
      <w:r>
        <w:rPr>
          <w:sz w:val="20"/>
        </w:rPr>
        <w:t>one</w:t>
      </w:r>
      <w:r>
        <w:rPr>
          <w:spacing w:val="-16"/>
          <w:sz w:val="20"/>
        </w:rPr>
        <w:t> </w:t>
      </w:r>
      <w:r>
        <w:rPr>
          <w:sz w:val="20"/>
        </w:rPr>
        <w:t>year. This</w:t>
      </w:r>
      <w:r>
        <w:rPr>
          <w:spacing w:val="-2"/>
          <w:sz w:val="20"/>
        </w:rPr>
        <w:t> </w:t>
      </w:r>
      <w:r>
        <w:rPr>
          <w:sz w:val="20"/>
        </w:rPr>
        <w:t>drop</w:t>
      </w:r>
      <w:r>
        <w:rPr>
          <w:spacing w:val="-2"/>
          <w:sz w:val="20"/>
        </w:rPr>
        <w:t> </w:t>
      </w:r>
      <w:r>
        <w:rPr>
          <w:sz w:val="20"/>
        </w:rPr>
        <w:t>is</w:t>
      </w:r>
      <w:r>
        <w:rPr>
          <w:spacing w:val="-3"/>
          <w:sz w:val="20"/>
        </w:rPr>
        <w:t> </w:t>
      </w:r>
      <w:r>
        <w:rPr>
          <w:sz w:val="20"/>
        </w:rPr>
        <w:t>likely</w:t>
      </w:r>
      <w:r>
        <w:rPr>
          <w:spacing w:val="-2"/>
          <w:sz w:val="20"/>
        </w:rPr>
        <w:t> </w:t>
      </w:r>
      <w:r>
        <w:rPr>
          <w:sz w:val="20"/>
        </w:rPr>
        <w:t>related</w:t>
      </w:r>
      <w:r>
        <w:rPr>
          <w:spacing w:val="-2"/>
          <w:sz w:val="20"/>
        </w:rPr>
        <w:t> </w:t>
      </w:r>
      <w:r>
        <w:rPr>
          <w:sz w:val="20"/>
        </w:rPr>
        <w:t>to</w:t>
      </w:r>
      <w:r>
        <w:rPr>
          <w:spacing w:val="-2"/>
          <w:sz w:val="20"/>
        </w:rPr>
        <w:t> </w:t>
      </w:r>
      <w:r>
        <w:rPr>
          <w:sz w:val="20"/>
        </w:rPr>
        <w:t>the</w:t>
      </w:r>
      <w:r>
        <w:rPr>
          <w:spacing w:val="-3"/>
          <w:sz w:val="20"/>
        </w:rPr>
        <w:t> </w:t>
      </w:r>
      <w:r>
        <w:rPr>
          <w:sz w:val="20"/>
        </w:rPr>
        <w:t>increase</w:t>
      </w:r>
      <w:r>
        <w:rPr>
          <w:spacing w:val="-3"/>
          <w:sz w:val="20"/>
        </w:rPr>
        <w:t> </w:t>
      </w:r>
      <w:r>
        <w:rPr>
          <w:sz w:val="20"/>
        </w:rPr>
        <w:t>in</w:t>
      </w:r>
      <w:r>
        <w:rPr>
          <w:spacing w:val="-2"/>
          <w:sz w:val="20"/>
        </w:rPr>
        <w:t> </w:t>
      </w:r>
      <w:r>
        <w:rPr>
          <w:sz w:val="20"/>
        </w:rPr>
        <w:t>fast</w:t>
      </w:r>
      <w:r>
        <w:rPr>
          <w:spacing w:val="-2"/>
          <w:sz w:val="20"/>
        </w:rPr>
        <w:t> </w:t>
      </w:r>
      <w:r>
        <w:rPr>
          <w:sz w:val="20"/>
        </w:rPr>
        <w:t>track</w:t>
      </w:r>
      <w:r>
        <w:rPr>
          <w:spacing w:val="-2"/>
          <w:sz w:val="20"/>
        </w:rPr>
        <w:t> </w:t>
      </w:r>
      <w:r>
        <w:rPr>
          <w:sz w:val="20"/>
        </w:rPr>
        <w:t>cases</w:t>
      </w:r>
      <w:r>
        <w:rPr>
          <w:spacing w:val="-2"/>
          <w:sz w:val="20"/>
        </w:rPr>
        <w:t> </w:t>
      </w:r>
      <w:r>
        <w:rPr>
          <w:sz w:val="20"/>
        </w:rPr>
        <w:t>as</w:t>
      </w:r>
      <w:r>
        <w:rPr>
          <w:spacing w:val="-2"/>
          <w:sz w:val="20"/>
        </w:rPr>
        <w:t> </w:t>
      </w:r>
      <w:r>
        <w:rPr>
          <w:sz w:val="20"/>
        </w:rPr>
        <w:t>a</w:t>
      </w:r>
      <w:r>
        <w:rPr>
          <w:spacing w:val="-2"/>
          <w:sz w:val="20"/>
        </w:rPr>
        <w:t> </w:t>
      </w:r>
      <w:r>
        <w:rPr>
          <w:sz w:val="20"/>
        </w:rPr>
        <w:t>proportion of the overall caseload since 2016: the data from the 2019 survey shows that among claimant-side participants more generally, three in ten (29 per cent)</w:t>
      </w:r>
      <w:r>
        <w:rPr>
          <w:spacing w:val="-14"/>
          <w:sz w:val="20"/>
        </w:rPr>
        <w:t> </w:t>
      </w:r>
      <w:r>
        <w:rPr>
          <w:sz w:val="20"/>
        </w:rPr>
        <w:t>fast</w:t>
      </w:r>
      <w:r>
        <w:rPr>
          <w:spacing w:val="-14"/>
          <w:sz w:val="20"/>
        </w:rPr>
        <w:t> </w:t>
      </w:r>
      <w:r>
        <w:rPr>
          <w:sz w:val="20"/>
        </w:rPr>
        <w:t>track</w:t>
      </w:r>
      <w:r>
        <w:rPr>
          <w:spacing w:val="-14"/>
          <w:sz w:val="20"/>
        </w:rPr>
        <w:t> </w:t>
      </w:r>
      <w:r>
        <w:rPr>
          <w:sz w:val="20"/>
        </w:rPr>
        <w:t>claimant-side</w:t>
      </w:r>
      <w:r>
        <w:rPr>
          <w:spacing w:val="-14"/>
          <w:sz w:val="20"/>
        </w:rPr>
        <w:t> </w:t>
      </w:r>
      <w:r>
        <w:rPr>
          <w:sz w:val="20"/>
        </w:rPr>
        <w:t>participants</w:t>
      </w:r>
      <w:r>
        <w:rPr>
          <w:spacing w:val="-14"/>
          <w:sz w:val="20"/>
        </w:rPr>
        <w:t> </w:t>
      </w:r>
      <w:r>
        <w:rPr>
          <w:sz w:val="20"/>
        </w:rPr>
        <w:t>had</w:t>
      </w:r>
      <w:r>
        <w:rPr>
          <w:spacing w:val="-15"/>
          <w:sz w:val="20"/>
        </w:rPr>
        <w:t> </w:t>
      </w:r>
      <w:r>
        <w:rPr>
          <w:sz w:val="20"/>
        </w:rPr>
        <w:t>worked</w:t>
      </w:r>
      <w:r>
        <w:rPr>
          <w:spacing w:val="-14"/>
          <w:sz w:val="20"/>
        </w:rPr>
        <w:t> </w:t>
      </w:r>
      <w:r>
        <w:rPr>
          <w:sz w:val="20"/>
        </w:rPr>
        <w:t>with</w:t>
      </w:r>
      <w:r>
        <w:rPr>
          <w:spacing w:val="-15"/>
          <w:sz w:val="20"/>
        </w:rPr>
        <w:t> </w:t>
      </w:r>
      <w:r>
        <w:rPr>
          <w:sz w:val="20"/>
        </w:rPr>
        <w:t>the</w:t>
      </w:r>
      <w:r>
        <w:rPr>
          <w:spacing w:val="-14"/>
          <w:sz w:val="20"/>
        </w:rPr>
        <w:t> </w:t>
      </w:r>
      <w:r>
        <w:rPr>
          <w:sz w:val="20"/>
        </w:rPr>
        <w:t>employer</w:t>
      </w:r>
      <w:r>
        <w:rPr>
          <w:spacing w:val="-14"/>
          <w:sz w:val="20"/>
        </w:rPr>
        <w:t> </w:t>
      </w:r>
      <w:r>
        <w:rPr>
          <w:sz w:val="20"/>
        </w:rPr>
        <w:t>for less</w:t>
      </w:r>
      <w:r>
        <w:rPr>
          <w:spacing w:val="-2"/>
          <w:sz w:val="20"/>
        </w:rPr>
        <w:t> </w:t>
      </w:r>
      <w:r>
        <w:rPr>
          <w:sz w:val="20"/>
        </w:rPr>
        <w:t>than</w:t>
      </w:r>
      <w:r>
        <w:rPr>
          <w:spacing w:val="-3"/>
          <w:sz w:val="20"/>
        </w:rPr>
        <w:t> </w:t>
      </w:r>
      <w:r>
        <w:rPr>
          <w:sz w:val="20"/>
        </w:rPr>
        <w:t>6</w:t>
      </w:r>
      <w:r>
        <w:rPr>
          <w:spacing w:val="-3"/>
          <w:sz w:val="20"/>
        </w:rPr>
        <w:t> </w:t>
      </w:r>
      <w:r>
        <w:rPr>
          <w:sz w:val="20"/>
        </w:rPr>
        <w:t>months,</w:t>
      </w:r>
      <w:r>
        <w:rPr>
          <w:spacing w:val="-2"/>
          <w:sz w:val="20"/>
        </w:rPr>
        <w:t> </w:t>
      </w:r>
      <w:r>
        <w:rPr>
          <w:sz w:val="20"/>
        </w:rPr>
        <w:t>compared</w:t>
      </w:r>
      <w:r>
        <w:rPr>
          <w:spacing w:val="-2"/>
          <w:sz w:val="20"/>
        </w:rPr>
        <w:t> </w:t>
      </w:r>
      <w:r>
        <w:rPr>
          <w:sz w:val="20"/>
        </w:rPr>
        <w:t>with</w:t>
      </w:r>
      <w:r>
        <w:rPr>
          <w:spacing w:val="-1"/>
          <w:sz w:val="20"/>
        </w:rPr>
        <w:t> </w:t>
      </w:r>
      <w:r>
        <w:rPr>
          <w:sz w:val="20"/>
        </w:rPr>
        <w:t>eight</w:t>
      </w:r>
      <w:r>
        <w:rPr>
          <w:spacing w:val="-3"/>
          <w:sz w:val="20"/>
        </w:rPr>
        <w:t> </w:t>
      </w:r>
      <w:r>
        <w:rPr>
          <w:sz w:val="20"/>
        </w:rPr>
        <w:t>per</w:t>
      </w:r>
      <w:r>
        <w:rPr>
          <w:spacing w:val="-3"/>
          <w:sz w:val="20"/>
        </w:rPr>
        <w:t> </w:t>
      </w:r>
      <w:r>
        <w:rPr>
          <w:sz w:val="20"/>
        </w:rPr>
        <w:t>cent</w:t>
      </w:r>
      <w:r>
        <w:rPr>
          <w:spacing w:val="-3"/>
          <w:sz w:val="20"/>
        </w:rPr>
        <w:t> </w:t>
      </w:r>
      <w:r>
        <w:rPr>
          <w:sz w:val="20"/>
        </w:rPr>
        <w:t>for</w:t>
      </w:r>
      <w:r>
        <w:rPr>
          <w:spacing w:val="-2"/>
          <w:sz w:val="20"/>
        </w:rPr>
        <w:t> </w:t>
      </w:r>
      <w:r>
        <w:rPr>
          <w:sz w:val="20"/>
        </w:rPr>
        <w:t>open</w:t>
      </w:r>
      <w:r>
        <w:rPr>
          <w:spacing w:val="-1"/>
          <w:sz w:val="20"/>
        </w:rPr>
        <w:t> </w:t>
      </w:r>
      <w:r>
        <w:rPr>
          <w:sz w:val="20"/>
        </w:rPr>
        <w:t>track</w:t>
      </w:r>
      <w:r>
        <w:rPr>
          <w:spacing w:val="-3"/>
          <w:sz w:val="20"/>
        </w:rPr>
        <w:t> </w:t>
      </w:r>
      <w:r>
        <w:rPr>
          <w:sz w:val="20"/>
        </w:rPr>
        <w:t>cases</w:t>
      </w:r>
      <w:r>
        <w:rPr>
          <w:spacing w:val="-2"/>
          <w:sz w:val="20"/>
        </w:rPr>
        <w:t> </w:t>
      </w:r>
      <w:r>
        <w:rPr>
          <w:sz w:val="20"/>
        </w:rPr>
        <w:t>and seven per cent for standard track cases.</w:t>
      </w:r>
    </w:p>
    <w:p>
      <w:pPr>
        <w:pStyle w:val="BodyText"/>
        <w:spacing w:before="8"/>
        <w:rPr>
          <w:sz w:val="19"/>
        </w:rPr>
      </w:pPr>
    </w:p>
    <w:p>
      <w:pPr>
        <w:pStyle w:val="BodyText"/>
        <w:ind w:left="1336" w:right="1475"/>
        <w:jc w:val="both"/>
      </w:pPr>
      <w:r>
        <w:rPr/>
        <w:t>One in five (20 per cent) claimants reported being a member of a Trade Union or staff association – close to the level recorded in the 2019 EC survey</w:t>
      </w:r>
      <w:r>
        <w:rPr>
          <w:spacing w:val="-1"/>
        </w:rPr>
        <w:t> </w:t>
      </w:r>
      <w:r>
        <w:rPr/>
        <w:t>(19 per cent) and the 2016 ET survey (also 19 per cent).</w:t>
      </w:r>
    </w:p>
    <w:p>
      <w:pPr>
        <w:pStyle w:val="BodyText"/>
        <w:spacing w:before="1"/>
      </w:pPr>
    </w:p>
    <w:p>
      <w:pPr>
        <w:pStyle w:val="BodyText"/>
        <w:ind w:left="1336" w:right="1474"/>
        <w:jc w:val="both"/>
      </w:pPr>
      <w:r>
        <w:rPr/>
        <w:t>Claimants were also asked about their employment situation at the time of the interview. Among claimants who were job applicants or no longer worked for the employer</w:t>
      </w:r>
      <w:r>
        <w:rPr>
          <w:spacing w:val="-13"/>
        </w:rPr>
        <w:t> </w:t>
      </w:r>
      <w:r>
        <w:rPr/>
        <w:t>against</w:t>
      </w:r>
      <w:r>
        <w:rPr>
          <w:spacing w:val="-14"/>
        </w:rPr>
        <w:t> </w:t>
      </w:r>
      <w:r>
        <w:rPr/>
        <w:t>whom</w:t>
      </w:r>
      <w:r>
        <w:rPr>
          <w:spacing w:val="-13"/>
        </w:rPr>
        <w:t> </w:t>
      </w:r>
      <w:r>
        <w:rPr/>
        <w:t>they</w:t>
      </w:r>
      <w:r>
        <w:rPr>
          <w:spacing w:val="-13"/>
        </w:rPr>
        <w:t> </w:t>
      </w:r>
      <w:r>
        <w:rPr/>
        <w:t>raised</w:t>
      </w:r>
      <w:r>
        <w:rPr>
          <w:spacing w:val="-13"/>
        </w:rPr>
        <w:t> </w:t>
      </w:r>
      <w:r>
        <w:rPr/>
        <w:t>the</w:t>
      </w:r>
      <w:r>
        <w:rPr>
          <w:spacing w:val="-15"/>
        </w:rPr>
        <w:t> </w:t>
      </w:r>
      <w:r>
        <w:rPr/>
        <w:t>case,</w:t>
      </w:r>
      <w:r>
        <w:rPr>
          <w:spacing w:val="-14"/>
        </w:rPr>
        <w:t> </w:t>
      </w:r>
      <w:r>
        <w:rPr/>
        <w:t>nearly</w:t>
      </w:r>
      <w:r>
        <w:rPr>
          <w:spacing w:val="-13"/>
        </w:rPr>
        <w:t> </w:t>
      </w:r>
      <w:r>
        <w:rPr/>
        <w:t>eight</w:t>
      </w:r>
      <w:r>
        <w:rPr>
          <w:spacing w:val="-13"/>
        </w:rPr>
        <w:t> </w:t>
      </w:r>
      <w:r>
        <w:rPr/>
        <w:t>in</w:t>
      </w:r>
      <w:r>
        <w:rPr>
          <w:spacing w:val="-14"/>
        </w:rPr>
        <w:t> </w:t>
      </w:r>
      <w:r>
        <w:rPr/>
        <w:t>ten</w:t>
      </w:r>
      <w:r>
        <w:rPr>
          <w:spacing w:val="-14"/>
        </w:rPr>
        <w:t> </w:t>
      </w:r>
      <w:r>
        <w:rPr/>
        <w:t>(77</w:t>
      </w:r>
      <w:r>
        <w:rPr>
          <w:spacing w:val="-15"/>
        </w:rPr>
        <w:t> </w:t>
      </w:r>
      <w:r>
        <w:rPr/>
        <w:t>per</w:t>
      </w:r>
      <w:r>
        <w:rPr>
          <w:spacing w:val="-13"/>
        </w:rPr>
        <w:t> </w:t>
      </w:r>
      <w:r>
        <w:rPr/>
        <w:t>cent)</w:t>
      </w:r>
      <w:r>
        <w:rPr>
          <w:spacing w:val="-14"/>
        </w:rPr>
        <w:t> </w:t>
      </w:r>
      <w:r>
        <w:rPr/>
        <w:t>were in full-time employment. This is significantly higher than the level recorded in the previous wave of this survey (59 per cent).</w:t>
      </w:r>
    </w:p>
    <w:p>
      <w:pPr>
        <w:pStyle w:val="BodyText"/>
        <w:spacing w:before="2"/>
      </w:pPr>
    </w:p>
    <w:p>
      <w:pPr>
        <w:pStyle w:val="BodyText"/>
        <w:ind w:left="1336" w:right="1474"/>
        <w:jc w:val="both"/>
      </w:pPr>
      <w:r>
        <w:rPr/>
        <w:t>Among those who were not in paid employment at the time of the interview, one third (35 per cent) confirmed having had paid work at some point since leaving their employer. This is significantly higher than those at the EC stage, when only 15</w:t>
      </w:r>
      <w:r>
        <w:rPr>
          <w:spacing w:val="-14"/>
        </w:rPr>
        <w:t> </w:t>
      </w:r>
      <w:r>
        <w:rPr/>
        <w:t>per</w:t>
      </w:r>
      <w:r>
        <w:rPr>
          <w:spacing w:val="-14"/>
        </w:rPr>
        <w:t> </w:t>
      </w:r>
      <w:r>
        <w:rPr/>
        <w:t>cent</w:t>
      </w:r>
      <w:r>
        <w:rPr>
          <w:spacing w:val="-14"/>
        </w:rPr>
        <w:t> </w:t>
      </w:r>
      <w:r>
        <w:rPr/>
        <w:t>reported</w:t>
      </w:r>
      <w:r>
        <w:rPr>
          <w:spacing w:val="-14"/>
        </w:rPr>
        <w:t> </w:t>
      </w:r>
      <w:r>
        <w:rPr/>
        <w:t>having</w:t>
      </w:r>
      <w:r>
        <w:rPr>
          <w:spacing w:val="-14"/>
        </w:rPr>
        <w:t> </w:t>
      </w:r>
      <w:r>
        <w:rPr/>
        <w:t>paid</w:t>
      </w:r>
      <w:r>
        <w:rPr>
          <w:spacing w:val="-14"/>
        </w:rPr>
        <w:t> </w:t>
      </w:r>
      <w:r>
        <w:rPr/>
        <w:t>work</w:t>
      </w:r>
      <w:r>
        <w:rPr>
          <w:spacing w:val="-14"/>
        </w:rPr>
        <w:t> </w:t>
      </w:r>
      <w:r>
        <w:rPr/>
        <w:t>since</w:t>
      </w:r>
      <w:r>
        <w:rPr>
          <w:spacing w:val="-15"/>
        </w:rPr>
        <w:t> </w:t>
      </w:r>
      <w:r>
        <w:rPr/>
        <w:t>leaving</w:t>
      </w:r>
      <w:r>
        <w:rPr>
          <w:spacing w:val="-14"/>
        </w:rPr>
        <w:t> </w:t>
      </w:r>
      <w:r>
        <w:rPr/>
        <w:t>their</w:t>
      </w:r>
      <w:r>
        <w:rPr>
          <w:spacing w:val="-14"/>
        </w:rPr>
        <w:t> </w:t>
      </w:r>
      <w:r>
        <w:rPr/>
        <w:t>employer</w:t>
      </w:r>
      <w:r>
        <w:rPr>
          <w:spacing w:val="-14"/>
        </w:rPr>
        <w:t> </w:t>
      </w:r>
      <w:r>
        <w:rPr/>
        <w:t>–</w:t>
      </w:r>
      <w:r>
        <w:rPr>
          <w:spacing w:val="-13"/>
        </w:rPr>
        <w:t> </w:t>
      </w:r>
      <w:r>
        <w:rPr/>
        <w:t>a</w:t>
      </w:r>
      <w:r>
        <w:rPr>
          <w:spacing w:val="-14"/>
        </w:rPr>
        <w:t> </w:t>
      </w:r>
      <w:r>
        <w:rPr/>
        <w:t>factor</w:t>
      </w:r>
      <w:r>
        <w:rPr>
          <w:spacing w:val="-14"/>
        </w:rPr>
        <w:t> </w:t>
      </w:r>
      <w:r>
        <w:rPr/>
        <w:t>which may be explained by the longer time lag between the</w:t>
      </w:r>
      <w:r>
        <w:rPr>
          <w:spacing w:val="-1"/>
        </w:rPr>
        <w:t> </w:t>
      </w:r>
      <w:r>
        <w:rPr/>
        <w:t>dispute and</w:t>
      </w:r>
      <w:r>
        <w:rPr>
          <w:spacing w:val="-1"/>
        </w:rPr>
        <w:t> </w:t>
      </w:r>
      <w:r>
        <w:rPr/>
        <w:t>the interview in the post-ET1 survey.</w:t>
      </w:r>
      <w:r>
        <w:rPr>
          <w:spacing w:val="-1"/>
        </w:rPr>
        <w:t> </w:t>
      </w:r>
      <w:r>
        <w:rPr/>
        <w:t>It</w:t>
      </w:r>
      <w:r>
        <w:rPr>
          <w:spacing w:val="-1"/>
        </w:rPr>
        <w:t> </w:t>
      </w:r>
      <w:r>
        <w:rPr/>
        <w:t>is also an increase on</w:t>
      </w:r>
      <w:r>
        <w:rPr>
          <w:spacing w:val="-2"/>
        </w:rPr>
        <w:t> </w:t>
      </w:r>
      <w:r>
        <w:rPr/>
        <w:t>the level</w:t>
      </w:r>
      <w:r>
        <w:rPr>
          <w:spacing w:val="-1"/>
        </w:rPr>
        <w:t> </w:t>
      </w:r>
      <w:r>
        <w:rPr/>
        <w:t>recorded in the 2016 post- ET1 conciliation survey, when one fifth (21 per cent) said they had had paid work since leaving their employer.</w:t>
      </w:r>
    </w:p>
    <w:p>
      <w:pPr>
        <w:spacing w:after="0"/>
        <w:jc w:val="both"/>
        <w:sectPr>
          <w:pgSz w:w="11910" w:h="16840"/>
          <w:pgMar w:header="0" w:footer="996" w:top="1340" w:bottom="1180" w:left="460" w:right="320"/>
        </w:sectPr>
      </w:pPr>
    </w:p>
    <w:p>
      <w:pPr>
        <w:pStyle w:val="BodyText"/>
        <w:spacing w:before="82"/>
        <w:ind w:left="1337" w:right="1472"/>
        <w:jc w:val="both"/>
      </w:pPr>
      <w:r>
        <w:rPr/>
        <w:t>Eighty-nine</w:t>
      </w:r>
      <w:r>
        <w:rPr>
          <w:spacing w:val="-16"/>
        </w:rPr>
        <w:t> </w:t>
      </w:r>
      <w:r>
        <w:rPr/>
        <w:t>per</w:t>
      </w:r>
      <w:r>
        <w:rPr>
          <w:spacing w:val="-14"/>
        </w:rPr>
        <w:t> </w:t>
      </w:r>
      <w:r>
        <w:rPr/>
        <w:t>cent</w:t>
      </w:r>
      <w:r>
        <w:rPr>
          <w:spacing w:val="-15"/>
        </w:rPr>
        <w:t> </w:t>
      </w:r>
      <w:r>
        <w:rPr/>
        <w:t>of</w:t>
      </w:r>
      <w:r>
        <w:rPr>
          <w:spacing w:val="-16"/>
        </w:rPr>
        <w:t> </w:t>
      </w:r>
      <w:r>
        <w:rPr/>
        <w:t>claimants</w:t>
      </w:r>
      <w:r>
        <w:rPr>
          <w:spacing w:val="-15"/>
        </w:rPr>
        <w:t> </w:t>
      </w:r>
      <w:r>
        <w:rPr/>
        <w:t>had</w:t>
      </w:r>
      <w:r>
        <w:rPr>
          <w:spacing w:val="-14"/>
        </w:rPr>
        <w:t> </w:t>
      </w:r>
      <w:r>
        <w:rPr/>
        <w:t>not</w:t>
      </w:r>
      <w:r>
        <w:rPr>
          <w:spacing w:val="-14"/>
        </w:rPr>
        <w:t> </w:t>
      </w:r>
      <w:r>
        <w:rPr/>
        <w:t>previously</w:t>
      </w:r>
      <w:r>
        <w:rPr>
          <w:spacing w:val="-14"/>
        </w:rPr>
        <w:t> </w:t>
      </w:r>
      <w:r>
        <w:rPr/>
        <w:t>made</w:t>
      </w:r>
      <w:r>
        <w:rPr>
          <w:spacing w:val="-16"/>
        </w:rPr>
        <w:t> </w:t>
      </w:r>
      <w:r>
        <w:rPr/>
        <w:t>an</w:t>
      </w:r>
      <w:r>
        <w:rPr>
          <w:spacing w:val="-15"/>
        </w:rPr>
        <w:t> </w:t>
      </w:r>
      <w:r>
        <w:rPr/>
        <w:t>Employment</w:t>
      </w:r>
      <w:r>
        <w:rPr>
          <w:spacing w:val="-15"/>
        </w:rPr>
        <w:t> </w:t>
      </w:r>
      <w:r>
        <w:rPr/>
        <w:t>Tribunal claim</w:t>
      </w:r>
      <w:r>
        <w:rPr>
          <w:spacing w:val="-8"/>
        </w:rPr>
        <w:t> </w:t>
      </w:r>
      <w:r>
        <w:rPr/>
        <w:t>at</w:t>
      </w:r>
      <w:r>
        <w:rPr>
          <w:spacing w:val="-7"/>
        </w:rPr>
        <w:t> </w:t>
      </w:r>
      <w:r>
        <w:rPr/>
        <w:t>any</w:t>
      </w:r>
      <w:r>
        <w:rPr>
          <w:spacing w:val="-9"/>
        </w:rPr>
        <w:t> </w:t>
      </w:r>
      <w:r>
        <w:rPr/>
        <w:t>workplace.</w:t>
      </w:r>
      <w:r>
        <w:rPr>
          <w:spacing w:val="-9"/>
        </w:rPr>
        <w:t> </w:t>
      </w:r>
      <w:r>
        <w:rPr/>
        <w:t>This</w:t>
      </w:r>
      <w:r>
        <w:rPr>
          <w:spacing w:val="-8"/>
        </w:rPr>
        <w:t> </w:t>
      </w:r>
      <w:r>
        <w:rPr/>
        <w:t>matches</w:t>
      </w:r>
      <w:r>
        <w:rPr>
          <w:spacing w:val="-8"/>
        </w:rPr>
        <w:t> </w:t>
      </w:r>
      <w:r>
        <w:rPr/>
        <w:t>claimants</w:t>
      </w:r>
      <w:r>
        <w:rPr>
          <w:spacing w:val="-9"/>
        </w:rPr>
        <w:t> </w:t>
      </w:r>
      <w:r>
        <w:rPr/>
        <w:t>at</w:t>
      </w:r>
      <w:r>
        <w:rPr>
          <w:spacing w:val="-8"/>
        </w:rPr>
        <w:t> </w:t>
      </w:r>
      <w:r>
        <w:rPr/>
        <w:t>the</w:t>
      </w:r>
      <w:r>
        <w:rPr>
          <w:spacing w:val="-10"/>
        </w:rPr>
        <w:t> </w:t>
      </w:r>
      <w:r>
        <w:rPr/>
        <w:t>EC</w:t>
      </w:r>
      <w:r>
        <w:rPr>
          <w:spacing w:val="-8"/>
        </w:rPr>
        <w:t> </w:t>
      </w:r>
      <w:r>
        <w:rPr/>
        <w:t>notification</w:t>
      </w:r>
      <w:r>
        <w:rPr>
          <w:spacing w:val="-7"/>
        </w:rPr>
        <w:t> </w:t>
      </w:r>
      <w:r>
        <w:rPr/>
        <w:t>stage,</w:t>
      </w:r>
      <w:r>
        <w:rPr>
          <w:spacing w:val="-9"/>
        </w:rPr>
        <w:t> </w:t>
      </w:r>
      <w:r>
        <w:rPr/>
        <w:t>where 92</w:t>
      </w:r>
      <w:r>
        <w:rPr>
          <w:spacing w:val="-18"/>
        </w:rPr>
        <w:t> </w:t>
      </w:r>
      <w:r>
        <w:rPr/>
        <w:t>per</w:t>
      </w:r>
      <w:r>
        <w:rPr>
          <w:spacing w:val="-18"/>
        </w:rPr>
        <w:t> </w:t>
      </w:r>
      <w:r>
        <w:rPr/>
        <w:t>cent</w:t>
      </w:r>
      <w:r>
        <w:rPr>
          <w:spacing w:val="-17"/>
        </w:rPr>
        <w:t> </w:t>
      </w:r>
      <w:r>
        <w:rPr/>
        <w:t>of</w:t>
      </w:r>
      <w:r>
        <w:rPr>
          <w:spacing w:val="-18"/>
        </w:rPr>
        <w:t> </w:t>
      </w:r>
      <w:r>
        <w:rPr/>
        <w:t>claimants</w:t>
      </w:r>
      <w:r>
        <w:rPr>
          <w:spacing w:val="-17"/>
        </w:rPr>
        <w:t> </w:t>
      </w:r>
      <w:r>
        <w:rPr/>
        <w:t>reported</w:t>
      </w:r>
      <w:r>
        <w:rPr>
          <w:spacing w:val="-18"/>
        </w:rPr>
        <w:t> </w:t>
      </w:r>
      <w:r>
        <w:rPr/>
        <w:t>never</w:t>
      </w:r>
      <w:r>
        <w:rPr>
          <w:spacing w:val="-18"/>
        </w:rPr>
        <w:t> </w:t>
      </w:r>
      <w:r>
        <w:rPr/>
        <w:t>having</w:t>
      </w:r>
      <w:r>
        <w:rPr>
          <w:spacing w:val="-17"/>
        </w:rPr>
        <w:t> </w:t>
      </w:r>
      <w:r>
        <w:rPr/>
        <w:t>made</w:t>
      </w:r>
      <w:r>
        <w:rPr>
          <w:spacing w:val="-18"/>
        </w:rPr>
        <w:t> </w:t>
      </w:r>
      <w:r>
        <w:rPr/>
        <w:t>an</w:t>
      </w:r>
      <w:r>
        <w:rPr>
          <w:spacing w:val="-17"/>
        </w:rPr>
        <w:t> </w:t>
      </w:r>
      <w:r>
        <w:rPr/>
        <w:t>Employment</w:t>
      </w:r>
      <w:r>
        <w:rPr>
          <w:spacing w:val="-18"/>
        </w:rPr>
        <w:t> </w:t>
      </w:r>
      <w:r>
        <w:rPr/>
        <w:t>Tribunal</w:t>
      </w:r>
      <w:r>
        <w:rPr>
          <w:spacing w:val="-17"/>
        </w:rPr>
        <w:t> </w:t>
      </w:r>
      <w:r>
        <w:rPr/>
        <w:t>claim previously. It is also a similar level to that recorded in the 2016 post-ET1 conciliation survey, when 86 per cent had not made a previous claim.</w:t>
      </w:r>
    </w:p>
    <w:p>
      <w:pPr>
        <w:pStyle w:val="BodyText"/>
        <w:spacing w:before="1"/>
      </w:pPr>
    </w:p>
    <w:p>
      <w:pPr>
        <w:pStyle w:val="BodyText"/>
        <w:ind w:left="1337" w:right="1474" w:hanging="1"/>
        <w:jc w:val="both"/>
      </w:pPr>
      <w:r>
        <w:rPr/>
        <w:t>Claimants were also asked a series of questions about their personal </w:t>
      </w:r>
      <w:r>
        <w:rPr>
          <w:spacing w:val="-2"/>
        </w:rPr>
        <w:t>characteristics.</w:t>
      </w:r>
    </w:p>
    <w:p>
      <w:pPr>
        <w:pStyle w:val="BodyText"/>
      </w:pPr>
    </w:p>
    <w:p>
      <w:pPr>
        <w:pStyle w:val="ListParagraph"/>
        <w:numPr>
          <w:ilvl w:val="3"/>
          <w:numId w:val="32"/>
        </w:numPr>
        <w:tabs>
          <w:tab w:pos="2058" w:val="left" w:leader="none"/>
        </w:tabs>
        <w:spacing w:line="240" w:lineRule="auto" w:before="0" w:after="0"/>
        <w:ind w:left="2057" w:right="1474" w:hanging="360"/>
        <w:jc w:val="both"/>
        <w:rPr>
          <w:rFonts w:ascii="Symbol" w:hAnsi="Symbol"/>
          <w:sz w:val="20"/>
        </w:rPr>
      </w:pPr>
      <w:r>
        <w:rPr>
          <w:sz w:val="20"/>
        </w:rPr>
        <w:t>Six</w:t>
      </w:r>
      <w:r>
        <w:rPr>
          <w:spacing w:val="-8"/>
          <w:sz w:val="20"/>
        </w:rPr>
        <w:t> </w:t>
      </w:r>
      <w:r>
        <w:rPr>
          <w:sz w:val="20"/>
        </w:rPr>
        <w:t>in</w:t>
      </w:r>
      <w:r>
        <w:rPr>
          <w:spacing w:val="-8"/>
          <w:sz w:val="20"/>
        </w:rPr>
        <w:t> </w:t>
      </w:r>
      <w:r>
        <w:rPr>
          <w:sz w:val="20"/>
        </w:rPr>
        <w:t>ten</w:t>
      </w:r>
      <w:r>
        <w:rPr>
          <w:spacing w:val="-8"/>
          <w:sz w:val="20"/>
        </w:rPr>
        <w:t> </w:t>
      </w:r>
      <w:r>
        <w:rPr>
          <w:sz w:val="20"/>
        </w:rPr>
        <w:t>(60</w:t>
      </w:r>
      <w:r>
        <w:rPr>
          <w:spacing w:val="-8"/>
          <w:sz w:val="20"/>
        </w:rPr>
        <w:t> </w:t>
      </w:r>
      <w:r>
        <w:rPr>
          <w:sz w:val="20"/>
        </w:rPr>
        <w:t>per</w:t>
      </w:r>
      <w:r>
        <w:rPr>
          <w:spacing w:val="-8"/>
          <w:sz w:val="20"/>
        </w:rPr>
        <w:t> </w:t>
      </w:r>
      <w:r>
        <w:rPr>
          <w:sz w:val="20"/>
        </w:rPr>
        <w:t>cent)</w:t>
      </w:r>
      <w:r>
        <w:rPr>
          <w:spacing w:val="-8"/>
          <w:sz w:val="20"/>
        </w:rPr>
        <w:t> </w:t>
      </w:r>
      <w:r>
        <w:rPr>
          <w:sz w:val="20"/>
        </w:rPr>
        <w:t>claimants</w:t>
      </w:r>
      <w:r>
        <w:rPr>
          <w:spacing w:val="-8"/>
          <w:sz w:val="20"/>
        </w:rPr>
        <w:t> </w:t>
      </w:r>
      <w:r>
        <w:rPr>
          <w:sz w:val="20"/>
        </w:rPr>
        <w:t>were</w:t>
      </w:r>
      <w:r>
        <w:rPr>
          <w:spacing w:val="-9"/>
          <w:sz w:val="20"/>
        </w:rPr>
        <w:t> </w:t>
      </w:r>
      <w:r>
        <w:rPr>
          <w:sz w:val="20"/>
        </w:rPr>
        <w:t>male.</w:t>
      </w:r>
      <w:r>
        <w:rPr>
          <w:spacing w:val="-7"/>
          <w:sz w:val="20"/>
        </w:rPr>
        <w:t> </w:t>
      </w:r>
      <w:r>
        <w:rPr>
          <w:sz w:val="20"/>
        </w:rPr>
        <w:t>This</w:t>
      </w:r>
      <w:r>
        <w:rPr>
          <w:spacing w:val="-8"/>
          <w:sz w:val="20"/>
        </w:rPr>
        <w:t> </w:t>
      </w:r>
      <w:r>
        <w:rPr>
          <w:sz w:val="20"/>
        </w:rPr>
        <w:t>is</w:t>
      </w:r>
      <w:r>
        <w:rPr>
          <w:spacing w:val="-8"/>
          <w:sz w:val="20"/>
        </w:rPr>
        <w:t> </w:t>
      </w:r>
      <w:r>
        <w:rPr>
          <w:sz w:val="20"/>
        </w:rPr>
        <w:t>broadly</w:t>
      </w:r>
      <w:r>
        <w:rPr>
          <w:spacing w:val="-8"/>
          <w:sz w:val="20"/>
        </w:rPr>
        <w:t> </w:t>
      </w:r>
      <w:r>
        <w:rPr>
          <w:sz w:val="20"/>
        </w:rPr>
        <w:t>in</w:t>
      </w:r>
      <w:r>
        <w:rPr>
          <w:spacing w:val="-8"/>
          <w:sz w:val="20"/>
        </w:rPr>
        <w:t> </w:t>
      </w:r>
      <w:r>
        <w:rPr>
          <w:sz w:val="20"/>
        </w:rPr>
        <w:t>line</w:t>
      </w:r>
      <w:r>
        <w:rPr>
          <w:spacing w:val="-9"/>
          <w:sz w:val="20"/>
        </w:rPr>
        <w:t> </w:t>
      </w:r>
      <w:r>
        <w:rPr>
          <w:sz w:val="20"/>
        </w:rPr>
        <w:t>with</w:t>
      </w:r>
      <w:r>
        <w:rPr>
          <w:spacing w:val="-8"/>
          <w:sz w:val="20"/>
        </w:rPr>
        <w:t> </w:t>
      </w:r>
      <w:r>
        <w:rPr>
          <w:sz w:val="20"/>
        </w:rPr>
        <w:t>the 2019</w:t>
      </w:r>
      <w:r>
        <w:rPr>
          <w:spacing w:val="-2"/>
          <w:sz w:val="20"/>
        </w:rPr>
        <w:t> </w:t>
      </w:r>
      <w:r>
        <w:rPr>
          <w:sz w:val="20"/>
        </w:rPr>
        <w:t>EC</w:t>
      </w:r>
      <w:r>
        <w:rPr>
          <w:spacing w:val="-1"/>
          <w:sz w:val="20"/>
        </w:rPr>
        <w:t> </w:t>
      </w:r>
      <w:r>
        <w:rPr>
          <w:sz w:val="20"/>
        </w:rPr>
        <w:t>survey</w:t>
      </w:r>
      <w:r>
        <w:rPr>
          <w:spacing w:val="-1"/>
          <w:sz w:val="20"/>
        </w:rPr>
        <w:t> </w:t>
      </w:r>
      <w:r>
        <w:rPr>
          <w:sz w:val="20"/>
        </w:rPr>
        <w:t>(55</w:t>
      </w:r>
      <w:r>
        <w:rPr>
          <w:spacing w:val="-2"/>
          <w:sz w:val="20"/>
        </w:rPr>
        <w:t> </w:t>
      </w:r>
      <w:r>
        <w:rPr>
          <w:sz w:val="20"/>
        </w:rPr>
        <w:t>per</w:t>
      </w:r>
      <w:r>
        <w:rPr>
          <w:spacing w:val="-1"/>
          <w:sz w:val="20"/>
        </w:rPr>
        <w:t> </w:t>
      </w:r>
      <w:r>
        <w:rPr>
          <w:sz w:val="20"/>
        </w:rPr>
        <w:t>cent)</w:t>
      </w:r>
      <w:r>
        <w:rPr>
          <w:spacing w:val="-2"/>
          <w:sz w:val="20"/>
        </w:rPr>
        <w:t> </w:t>
      </w:r>
      <w:r>
        <w:rPr>
          <w:sz w:val="20"/>
        </w:rPr>
        <w:t>and</w:t>
      </w:r>
      <w:r>
        <w:rPr>
          <w:spacing w:val="-3"/>
          <w:sz w:val="20"/>
        </w:rPr>
        <w:t> </w:t>
      </w:r>
      <w:r>
        <w:rPr>
          <w:sz w:val="20"/>
        </w:rPr>
        <w:t>the</w:t>
      </w:r>
      <w:r>
        <w:rPr>
          <w:spacing w:val="-3"/>
          <w:sz w:val="20"/>
        </w:rPr>
        <w:t> </w:t>
      </w:r>
      <w:r>
        <w:rPr>
          <w:sz w:val="20"/>
        </w:rPr>
        <w:t>previous</w:t>
      </w:r>
      <w:r>
        <w:rPr>
          <w:spacing w:val="-2"/>
          <w:sz w:val="20"/>
        </w:rPr>
        <w:t> </w:t>
      </w:r>
      <w:r>
        <w:rPr>
          <w:sz w:val="20"/>
        </w:rPr>
        <w:t>wave</w:t>
      </w:r>
      <w:r>
        <w:rPr>
          <w:spacing w:val="-1"/>
          <w:sz w:val="20"/>
        </w:rPr>
        <w:t> </w:t>
      </w:r>
      <w:r>
        <w:rPr>
          <w:sz w:val="20"/>
        </w:rPr>
        <w:t>of</w:t>
      </w:r>
      <w:r>
        <w:rPr>
          <w:spacing w:val="-2"/>
          <w:sz w:val="20"/>
        </w:rPr>
        <w:t> </w:t>
      </w:r>
      <w:r>
        <w:rPr>
          <w:sz w:val="20"/>
        </w:rPr>
        <w:t>the</w:t>
      </w:r>
      <w:r>
        <w:rPr>
          <w:spacing w:val="-3"/>
          <w:sz w:val="20"/>
        </w:rPr>
        <w:t> </w:t>
      </w:r>
      <w:r>
        <w:rPr>
          <w:sz w:val="20"/>
        </w:rPr>
        <w:t>ET</w:t>
      </w:r>
      <w:r>
        <w:rPr>
          <w:spacing w:val="-2"/>
          <w:sz w:val="20"/>
        </w:rPr>
        <w:t> </w:t>
      </w:r>
      <w:r>
        <w:rPr>
          <w:sz w:val="20"/>
        </w:rPr>
        <w:t>survey.</w:t>
      </w:r>
      <w:r>
        <w:rPr>
          <w:spacing w:val="-2"/>
          <w:sz w:val="20"/>
        </w:rPr>
        <w:t> </w:t>
      </w:r>
      <w:r>
        <w:rPr>
          <w:sz w:val="20"/>
        </w:rPr>
        <w:t>See Table 18.</w:t>
      </w:r>
    </w:p>
    <w:p>
      <w:pPr>
        <w:pStyle w:val="ListParagraph"/>
        <w:numPr>
          <w:ilvl w:val="3"/>
          <w:numId w:val="32"/>
        </w:numPr>
        <w:tabs>
          <w:tab w:pos="2058" w:val="left" w:leader="none"/>
        </w:tabs>
        <w:spacing w:line="240" w:lineRule="auto" w:before="0" w:after="0"/>
        <w:ind w:left="2057" w:right="1474" w:hanging="360"/>
        <w:jc w:val="both"/>
        <w:rPr>
          <w:rFonts w:ascii="Symbol" w:hAnsi="Symbol"/>
          <w:sz w:val="20"/>
        </w:rPr>
      </w:pPr>
      <w:r>
        <w:rPr>
          <w:sz w:val="20"/>
        </w:rPr>
        <w:t>Also</w:t>
      </w:r>
      <w:r>
        <w:rPr>
          <w:spacing w:val="-1"/>
          <w:sz w:val="20"/>
        </w:rPr>
        <w:t> </w:t>
      </w:r>
      <w:r>
        <w:rPr>
          <w:sz w:val="20"/>
        </w:rPr>
        <w:t>matching</w:t>
      </w:r>
      <w:r>
        <w:rPr>
          <w:spacing w:val="-1"/>
          <w:sz w:val="20"/>
        </w:rPr>
        <w:t> </w:t>
      </w:r>
      <w:r>
        <w:rPr>
          <w:sz w:val="20"/>
        </w:rPr>
        <w:t>the</w:t>
      </w:r>
      <w:r>
        <w:rPr>
          <w:spacing w:val="-1"/>
          <w:sz w:val="20"/>
        </w:rPr>
        <w:t> </w:t>
      </w:r>
      <w:r>
        <w:rPr>
          <w:sz w:val="20"/>
        </w:rPr>
        <w:t>2016</w:t>
      </w:r>
      <w:r>
        <w:rPr>
          <w:spacing w:val="-1"/>
          <w:sz w:val="20"/>
        </w:rPr>
        <w:t> </w:t>
      </w:r>
      <w:r>
        <w:rPr>
          <w:sz w:val="20"/>
        </w:rPr>
        <w:t>ET</w:t>
      </w:r>
      <w:r>
        <w:rPr>
          <w:spacing w:val="-1"/>
          <w:sz w:val="20"/>
        </w:rPr>
        <w:t> </w:t>
      </w:r>
      <w:r>
        <w:rPr>
          <w:sz w:val="20"/>
        </w:rPr>
        <w:t>and</w:t>
      </w:r>
      <w:r>
        <w:rPr>
          <w:spacing w:val="-1"/>
          <w:sz w:val="20"/>
        </w:rPr>
        <w:t> </w:t>
      </w:r>
      <w:r>
        <w:rPr>
          <w:sz w:val="20"/>
        </w:rPr>
        <w:t>2019</w:t>
      </w:r>
      <w:r>
        <w:rPr>
          <w:spacing w:val="-1"/>
          <w:sz w:val="20"/>
        </w:rPr>
        <w:t> </w:t>
      </w:r>
      <w:r>
        <w:rPr>
          <w:sz w:val="20"/>
        </w:rPr>
        <w:t>EC results, more</w:t>
      </w:r>
      <w:r>
        <w:rPr>
          <w:spacing w:val="-1"/>
          <w:sz w:val="20"/>
        </w:rPr>
        <w:t> </w:t>
      </w:r>
      <w:r>
        <w:rPr>
          <w:sz w:val="20"/>
        </w:rPr>
        <w:t>than nine</w:t>
      </w:r>
      <w:r>
        <w:rPr>
          <w:spacing w:val="-1"/>
          <w:sz w:val="20"/>
        </w:rPr>
        <w:t> </w:t>
      </w:r>
      <w:r>
        <w:rPr>
          <w:sz w:val="20"/>
        </w:rPr>
        <w:t>in</w:t>
      </w:r>
      <w:r>
        <w:rPr>
          <w:spacing w:val="-1"/>
          <w:sz w:val="20"/>
        </w:rPr>
        <w:t> </w:t>
      </w:r>
      <w:r>
        <w:rPr>
          <w:sz w:val="20"/>
        </w:rPr>
        <w:t>ten (93 per cent) claimants identified as heterosexual.</w:t>
      </w:r>
    </w:p>
    <w:p>
      <w:pPr>
        <w:pStyle w:val="ListParagraph"/>
        <w:numPr>
          <w:ilvl w:val="3"/>
          <w:numId w:val="32"/>
        </w:numPr>
        <w:tabs>
          <w:tab w:pos="2058" w:val="left" w:leader="none"/>
        </w:tabs>
        <w:spacing w:line="240" w:lineRule="auto" w:before="0" w:after="0"/>
        <w:ind w:left="2057" w:right="1474" w:hanging="360"/>
        <w:jc w:val="both"/>
        <w:rPr>
          <w:rFonts w:ascii="Symbol" w:hAnsi="Symbol"/>
          <w:sz w:val="20"/>
        </w:rPr>
      </w:pPr>
      <w:r>
        <w:rPr>
          <w:sz w:val="20"/>
        </w:rPr>
        <w:t>Just</w:t>
      </w:r>
      <w:r>
        <w:rPr>
          <w:spacing w:val="-5"/>
          <w:sz w:val="20"/>
        </w:rPr>
        <w:t> </w:t>
      </w:r>
      <w:r>
        <w:rPr>
          <w:sz w:val="20"/>
        </w:rPr>
        <w:t>over</w:t>
      </w:r>
      <w:r>
        <w:rPr>
          <w:spacing w:val="-6"/>
          <w:sz w:val="20"/>
        </w:rPr>
        <w:t> </w:t>
      </w:r>
      <w:r>
        <w:rPr>
          <w:sz w:val="20"/>
        </w:rPr>
        <w:t>half</w:t>
      </w:r>
      <w:r>
        <w:rPr>
          <w:spacing w:val="-5"/>
          <w:sz w:val="20"/>
        </w:rPr>
        <w:t> </w:t>
      </w:r>
      <w:r>
        <w:rPr>
          <w:sz w:val="20"/>
        </w:rPr>
        <w:t>of</w:t>
      </w:r>
      <w:r>
        <w:rPr>
          <w:spacing w:val="-5"/>
          <w:sz w:val="20"/>
        </w:rPr>
        <w:t> </w:t>
      </w:r>
      <w:r>
        <w:rPr>
          <w:sz w:val="20"/>
        </w:rPr>
        <w:t>ET</w:t>
      </w:r>
      <w:r>
        <w:rPr>
          <w:spacing w:val="-5"/>
          <w:sz w:val="20"/>
        </w:rPr>
        <w:t> </w:t>
      </w:r>
      <w:r>
        <w:rPr>
          <w:sz w:val="20"/>
        </w:rPr>
        <w:t>claimants</w:t>
      </w:r>
      <w:r>
        <w:rPr>
          <w:spacing w:val="-6"/>
          <w:sz w:val="20"/>
        </w:rPr>
        <w:t> </w:t>
      </w:r>
      <w:r>
        <w:rPr>
          <w:sz w:val="20"/>
        </w:rPr>
        <w:t>(54</w:t>
      </w:r>
      <w:r>
        <w:rPr>
          <w:spacing w:val="-7"/>
          <w:sz w:val="20"/>
        </w:rPr>
        <w:t> </w:t>
      </w:r>
      <w:r>
        <w:rPr>
          <w:sz w:val="20"/>
        </w:rPr>
        <w:t>per</w:t>
      </w:r>
      <w:r>
        <w:rPr>
          <w:spacing w:val="-6"/>
          <w:sz w:val="20"/>
        </w:rPr>
        <w:t> </w:t>
      </w:r>
      <w:r>
        <w:rPr>
          <w:sz w:val="20"/>
        </w:rPr>
        <w:t>cent)</w:t>
      </w:r>
      <w:r>
        <w:rPr>
          <w:spacing w:val="-5"/>
          <w:sz w:val="20"/>
        </w:rPr>
        <w:t> </w:t>
      </w:r>
      <w:r>
        <w:rPr>
          <w:sz w:val="20"/>
        </w:rPr>
        <w:t>were</w:t>
      </w:r>
      <w:r>
        <w:rPr>
          <w:spacing w:val="-6"/>
          <w:sz w:val="20"/>
        </w:rPr>
        <w:t> </w:t>
      </w:r>
      <w:r>
        <w:rPr>
          <w:sz w:val="20"/>
        </w:rPr>
        <w:t>aged</w:t>
      </w:r>
      <w:r>
        <w:rPr>
          <w:spacing w:val="-6"/>
          <w:sz w:val="20"/>
        </w:rPr>
        <w:t> </w:t>
      </w:r>
      <w:r>
        <w:rPr>
          <w:sz w:val="20"/>
        </w:rPr>
        <w:t>over</w:t>
      </w:r>
      <w:r>
        <w:rPr>
          <w:spacing w:val="-6"/>
          <w:sz w:val="20"/>
        </w:rPr>
        <w:t> </w:t>
      </w:r>
      <w:r>
        <w:rPr>
          <w:sz w:val="20"/>
        </w:rPr>
        <w:t>45,</w:t>
      </w:r>
      <w:r>
        <w:rPr>
          <w:spacing w:val="-5"/>
          <w:sz w:val="20"/>
        </w:rPr>
        <w:t> </w:t>
      </w:r>
      <w:r>
        <w:rPr>
          <w:sz w:val="20"/>
        </w:rPr>
        <w:t>close</w:t>
      </w:r>
      <w:r>
        <w:rPr>
          <w:spacing w:val="-6"/>
          <w:sz w:val="20"/>
        </w:rPr>
        <w:t> </w:t>
      </w:r>
      <w:r>
        <w:rPr>
          <w:sz w:val="20"/>
        </w:rPr>
        <w:t>to</w:t>
      </w:r>
      <w:r>
        <w:rPr>
          <w:spacing w:val="-6"/>
          <w:sz w:val="20"/>
        </w:rPr>
        <w:t> </w:t>
      </w:r>
      <w:r>
        <w:rPr>
          <w:sz w:val="20"/>
        </w:rPr>
        <w:t>the 59 per cent figure recorded in 2016. In the EC survey, just under half of claimants (47 per cent) were aged over 45. See table 19.</w:t>
      </w:r>
    </w:p>
    <w:p>
      <w:pPr>
        <w:pStyle w:val="ListParagraph"/>
        <w:numPr>
          <w:ilvl w:val="3"/>
          <w:numId w:val="32"/>
        </w:numPr>
        <w:tabs>
          <w:tab w:pos="2058" w:val="left" w:leader="none"/>
        </w:tabs>
        <w:spacing w:line="240" w:lineRule="auto" w:before="0" w:after="0"/>
        <w:ind w:left="2057" w:right="1473" w:hanging="360"/>
        <w:jc w:val="both"/>
        <w:rPr>
          <w:rFonts w:ascii="Symbol" w:hAnsi="Symbol"/>
          <w:sz w:val="20"/>
        </w:rPr>
      </w:pPr>
      <w:r>
        <w:rPr>
          <w:sz w:val="20"/>
        </w:rPr>
        <w:t>Nearly eight in ten (78 per cent) claimants described their ethnic group as White. Seven per cent identified as Black, six per cent as Asian, three per cent as mixed ethnic background and two per cent from another ethnic </w:t>
      </w:r>
      <w:r>
        <w:rPr>
          <w:spacing w:val="-2"/>
          <w:sz w:val="20"/>
        </w:rPr>
        <w:t>group.</w:t>
      </w:r>
    </w:p>
    <w:p>
      <w:pPr>
        <w:pStyle w:val="ListParagraph"/>
        <w:numPr>
          <w:ilvl w:val="3"/>
          <w:numId w:val="32"/>
        </w:numPr>
        <w:tabs>
          <w:tab w:pos="2058" w:val="left" w:leader="none"/>
        </w:tabs>
        <w:spacing w:line="240" w:lineRule="auto" w:before="0" w:after="0"/>
        <w:ind w:left="2057" w:right="1472" w:hanging="360"/>
        <w:jc w:val="both"/>
        <w:rPr>
          <w:rFonts w:ascii="Symbol" w:hAnsi="Symbol"/>
          <w:sz w:val="20"/>
        </w:rPr>
      </w:pPr>
      <w:r>
        <w:rPr>
          <w:sz w:val="20"/>
        </w:rPr>
        <w:t>Half of all claimants (48 per cent) described their religion as Christian. Six per</w:t>
      </w:r>
      <w:r>
        <w:rPr>
          <w:spacing w:val="-13"/>
          <w:sz w:val="20"/>
        </w:rPr>
        <w:t> </w:t>
      </w:r>
      <w:r>
        <w:rPr>
          <w:sz w:val="20"/>
        </w:rPr>
        <w:t>cent</w:t>
      </w:r>
      <w:r>
        <w:rPr>
          <w:spacing w:val="-12"/>
          <w:sz w:val="20"/>
        </w:rPr>
        <w:t> </w:t>
      </w:r>
      <w:r>
        <w:rPr>
          <w:sz w:val="20"/>
        </w:rPr>
        <w:t>described</w:t>
      </w:r>
      <w:r>
        <w:rPr>
          <w:spacing w:val="-13"/>
          <w:sz w:val="20"/>
        </w:rPr>
        <w:t> </w:t>
      </w:r>
      <w:r>
        <w:rPr>
          <w:sz w:val="20"/>
        </w:rPr>
        <w:t>themselves</w:t>
      </w:r>
      <w:r>
        <w:rPr>
          <w:spacing w:val="-13"/>
          <w:sz w:val="20"/>
        </w:rPr>
        <w:t> </w:t>
      </w:r>
      <w:r>
        <w:rPr>
          <w:sz w:val="20"/>
        </w:rPr>
        <w:t>as</w:t>
      </w:r>
      <w:r>
        <w:rPr>
          <w:spacing w:val="-13"/>
          <w:sz w:val="20"/>
        </w:rPr>
        <w:t> </w:t>
      </w:r>
      <w:r>
        <w:rPr>
          <w:sz w:val="20"/>
        </w:rPr>
        <w:t>Muslim.</w:t>
      </w:r>
      <w:r>
        <w:rPr>
          <w:spacing w:val="-12"/>
          <w:sz w:val="20"/>
        </w:rPr>
        <w:t> </w:t>
      </w:r>
      <w:r>
        <w:rPr>
          <w:sz w:val="20"/>
        </w:rPr>
        <w:t>Thirty-nine</w:t>
      </w:r>
      <w:r>
        <w:rPr>
          <w:spacing w:val="-13"/>
          <w:sz w:val="20"/>
        </w:rPr>
        <w:t> </w:t>
      </w:r>
      <w:r>
        <w:rPr>
          <w:sz w:val="20"/>
        </w:rPr>
        <w:t>per</w:t>
      </w:r>
      <w:r>
        <w:rPr>
          <w:spacing w:val="-13"/>
          <w:sz w:val="20"/>
        </w:rPr>
        <w:t> </w:t>
      </w:r>
      <w:r>
        <w:rPr>
          <w:sz w:val="20"/>
        </w:rPr>
        <w:t>cent</w:t>
      </w:r>
      <w:r>
        <w:rPr>
          <w:spacing w:val="-12"/>
          <w:sz w:val="20"/>
        </w:rPr>
        <w:t> </w:t>
      </w:r>
      <w:r>
        <w:rPr>
          <w:sz w:val="20"/>
        </w:rPr>
        <w:t>reported</w:t>
      </w:r>
      <w:r>
        <w:rPr>
          <w:spacing w:val="-13"/>
          <w:sz w:val="20"/>
        </w:rPr>
        <w:t> </w:t>
      </w:r>
      <w:r>
        <w:rPr>
          <w:sz w:val="20"/>
        </w:rPr>
        <w:t>that they</w:t>
      </w:r>
      <w:r>
        <w:rPr>
          <w:spacing w:val="-6"/>
          <w:sz w:val="20"/>
        </w:rPr>
        <w:t> </w:t>
      </w:r>
      <w:r>
        <w:rPr>
          <w:sz w:val="20"/>
        </w:rPr>
        <w:t>were</w:t>
      </w:r>
      <w:r>
        <w:rPr>
          <w:spacing w:val="-6"/>
          <w:sz w:val="20"/>
        </w:rPr>
        <w:t> </w:t>
      </w:r>
      <w:r>
        <w:rPr>
          <w:sz w:val="20"/>
        </w:rPr>
        <w:t>of</w:t>
      </w:r>
      <w:r>
        <w:rPr>
          <w:spacing w:val="-5"/>
          <w:sz w:val="20"/>
        </w:rPr>
        <w:t> </w:t>
      </w:r>
      <w:r>
        <w:rPr>
          <w:sz w:val="20"/>
        </w:rPr>
        <w:t>no</w:t>
      </w:r>
      <w:r>
        <w:rPr>
          <w:spacing w:val="-6"/>
          <w:sz w:val="20"/>
        </w:rPr>
        <w:t> </w:t>
      </w:r>
      <w:r>
        <w:rPr>
          <w:sz w:val="20"/>
        </w:rPr>
        <w:t>religion.</w:t>
      </w:r>
      <w:r>
        <w:rPr>
          <w:spacing w:val="-5"/>
          <w:sz w:val="20"/>
        </w:rPr>
        <w:t> </w:t>
      </w:r>
      <w:r>
        <w:rPr>
          <w:sz w:val="20"/>
        </w:rPr>
        <w:t>This</w:t>
      </w:r>
      <w:r>
        <w:rPr>
          <w:spacing w:val="-5"/>
          <w:sz w:val="20"/>
        </w:rPr>
        <w:t> </w:t>
      </w:r>
      <w:r>
        <w:rPr>
          <w:sz w:val="20"/>
        </w:rPr>
        <w:t>broadly</w:t>
      </w:r>
      <w:r>
        <w:rPr>
          <w:spacing w:val="-5"/>
          <w:sz w:val="20"/>
        </w:rPr>
        <w:t> </w:t>
      </w:r>
      <w:r>
        <w:rPr>
          <w:sz w:val="20"/>
        </w:rPr>
        <w:t>reflects</w:t>
      </w:r>
      <w:r>
        <w:rPr>
          <w:spacing w:val="-5"/>
          <w:sz w:val="20"/>
        </w:rPr>
        <w:t> </w:t>
      </w:r>
      <w:r>
        <w:rPr>
          <w:sz w:val="20"/>
        </w:rPr>
        <w:t>the</w:t>
      </w:r>
      <w:r>
        <w:rPr>
          <w:spacing w:val="-6"/>
          <w:sz w:val="20"/>
        </w:rPr>
        <w:t> </w:t>
      </w:r>
      <w:r>
        <w:rPr>
          <w:sz w:val="20"/>
        </w:rPr>
        <w:t>profile</w:t>
      </w:r>
      <w:r>
        <w:rPr>
          <w:spacing w:val="-6"/>
          <w:sz w:val="20"/>
        </w:rPr>
        <w:t> </w:t>
      </w:r>
      <w:r>
        <w:rPr>
          <w:sz w:val="20"/>
        </w:rPr>
        <w:t>of</w:t>
      </w:r>
      <w:r>
        <w:rPr>
          <w:spacing w:val="-5"/>
          <w:sz w:val="20"/>
        </w:rPr>
        <w:t> </w:t>
      </w:r>
      <w:r>
        <w:rPr>
          <w:sz w:val="20"/>
        </w:rPr>
        <w:t>claimants</w:t>
      </w:r>
      <w:r>
        <w:rPr>
          <w:spacing w:val="-5"/>
          <w:sz w:val="20"/>
        </w:rPr>
        <w:t> </w:t>
      </w:r>
      <w:r>
        <w:rPr>
          <w:sz w:val="20"/>
        </w:rPr>
        <w:t>at</w:t>
      </w:r>
      <w:r>
        <w:rPr>
          <w:spacing w:val="-5"/>
          <w:sz w:val="20"/>
        </w:rPr>
        <w:t> </w:t>
      </w:r>
      <w:r>
        <w:rPr>
          <w:sz w:val="20"/>
        </w:rPr>
        <w:t>the EC notification stage and the 2016 survey.</w:t>
      </w:r>
    </w:p>
    <w:p>
      <w:pPr>
        <w:pStyle w:val="ListParagraph"/>
        <w:numPr>
          <w:ilvl w:val="3"/>
          <w:numId w:val="32"/>
        </w:numPr>
        <w:tabs>
          <w:tab w:pos="2057" w:val="left" w:leader="none"/>
        </w:tabs>
        <w:spacing w:line="240" w:lineRule="auto" w:before="0" w:after="0"/>
        <w:ind w:left="2056" w:right="1474" w:hanging="360"/>
        <w:jc w:val="both"/>
        <w:rPr>
          <w:rFonts w:ascii="Symbol" w:hAnsi="Symbol"/>
          <w:sz w:val="20"/>
        </w:rPr>
      </w:pPr>
      <w:r>
        <w:rPr>
          <w:sz w:val="20"/>
        </w:rPr>
        <w:t>Almost nine in ten (88 per cent) claimants spoke English as their first language.</w:t>
      </w:r>
      <w:r>
        <w:rPr>
          <w:spacing w:val="-3"/>
          <w:sz w:val="20"/>
        </w:rPr>
        <w:t> </w:t>
      </w:r>
      <w:r>
        <w:rPr>
          <w:sz w:val="20"/>
        </w:rPr>
        <w:t>There</w:t>
      </w:r>
      <w:r>
        <w:rPr>
          <w:spacing w:val="-3"/>
          <w:sz w:val="20"/>
        </w:rPr>
        <w:t> </w:t>
      </w:r>
      <w:r>
        <w:rPr>
          <w:sz w:val="20"/>
        </w:rPr>
        <w:t>was</w:t>
      </w:r>
      <w:r>
        <w:rPr>
          <w:spacing w:val="-3"/>
          <w:sz w:val="20"/>
        </w:rPr>
        <w:t> </w:t>
      </w:r>
      <w:r>
        <w:rPr>
          <w:sz w:val="20"/>
        </w:rPr>
        <w:t>a</w:t>
      </w:r>
      <w:r>
        <w:rPr>
          <w:spacing w:val="-5"/>
          <w:sz w:val="20"/>
        </w:rPr>
        <w:t> </w:t>
      </w:r>
      <w:r>
        <w:rPr>
          <w:sz w:val="20"/>
        </w:rPr>
        <w:t>similar</w:t>
      </w:r>
      <w:r>
        <w:rPr>
          <w:spacing w:val="-2"/>
          <w:sz w:val="20"/>
        </w:rPr>
        <w:t> </w:t>
      </w:r>
      <w:r>
        <w:rPr>
          <w:sz w:val="20"/>
        </w:rPr>
        <w:t>proportion</w:t>
      </w:r>
      <w:r>
        <w:rPr>
          <w:spacing w:val="-2"/>
          <w:sz w:val="20"/>
        </w:rPr>
        <w:t> </w:t>
      </w:r>
      <w:r>
        <w:rPr>
          <w:sz w:val="20"/>
        </w:rPr>
        <w:t>at</w:t>
      </w:r>
      <w:r>
        <w:rPr>
          <w:spacing w:val="-3"/>
          <w:sz w:val="20"/>
        </w:rPr>
        <w:t> </w:t>
      </w:r>
      <w:r>
        <w:rPr>
          <w:sz w:val="20"/>
        </w:rPr>
        <w:t>the</w:t>
      </w:r>
      <w:r>
        <w:rPr>
          <w:spacing w:val="-3"/>
          <w:sz w:val="20"/>
        </w:rPr>
        <w:t> </w:t>
      </w:r>
      <w:r>
        <w:rPr>
          <w:sz w:val="20"/>
        </w:rPr>
        <w:t>EC</w:t>
      </w:r>
      <w:r>
        <w:rPr>
          <w:spacing w:val="-3"/>
          <w:sz w:val="20"/>
        </w:rPr>
        <w:t> </w:t>
      </w:r>
      <w:r>
        <w:rPr>
          <w:sz w:val="20"/>
        </w:rPr>
        <w:t>stage</w:t>
      </w:r>
      <w:r>
        <w:rPr>
          <w:spacing w:val="-5"/>
          <w:sz w:val="20"/>
        </w:rPr>
        <w:t> </w:t>
      </w:r>
      <w:r>
        <w:rPr>
          <w:sz w:val="20"/>
        </w:rPr>
        <w:t>(85</w:t>
      </w:r>
      <w:r>
        <w:rPr>
          <w:spacing w:val="-2"/>
          <w:sz w:val="20"/>
        </w:rPr>
        <w:t> </w:t>
      </w:r>
      <w:r>
        <w:rPr>
          <w:sz w:val="20"/>
        </w:rPr>
        <w:t>per</w:t>
      </w:r>
      <w:r>
        <w:rPr>
          <w:spacing w:val="-4"/>
          <w:sz w:val="20"/>
        </w:rPr>
        <w:t> </w:t>
      </w:r>
      <w:r>
        <w:rPr>
          <w:sz w:val="20"/>
        </w:rPr>
        <w:t>cent)</w:t>
      </w:r>
      <w:r>
        <w:rPr>
          <w:spacing w:val="-3"/>
          <w:sz w:val="20"/>
        </w:rPr>
        <w:t> </w:t>
      </w:r>
      <w:r>
        <w:rPr>
          <w:sz w:val="20"/>
        </w:rPr>
        <w:t>and in 2016 (89 per cent).</w:t>
      </w:r>
    </w:p>
    <w:p>
      <w:pPr>
        <w:pStyle w:val="ListParagraph"/>
        <w:numPr>
          <w:ilvl w:val="3"/>
          <w:numId w:val="32"/>
        </w:numPr>
        <w:tabs>
          <w:tab w:pos="2057" w:val="left" w:leader="none"/>
        </w:tabs>
        <w:spacing w:line="240" w:lineRule="auto" w:before="0" w:after="0"/>
        <w:ind w:left="2056" w:right="1473" w:hanging="360"/>
        <w:jc w:val="both"/>
        <w:rPr>
          <w:rFonts w:ascii="Symbol" w:hAnsi="Symbol"/>
          <w:sz w:val="20"/>
        </w:rPr>
      </w:pPr>
      <w:r>
        <w:rPr>
          <w:sz w:val="20"/>
        </w:rPr>
        <w:t>As in 2016, a third (28 per cent) of claimants reported having a long-term illness,</w:t>
      </w:r>
      <w:r>
        <w:rPr>
          <w:spacing w:val="-6"/>
          <w:sz w:val="20"/>
        </w:rPr>
        <w:t> </w:t>
      </w:r>
      <w:r>
        <w:rPr>
          <w:sz w:val="20"/>
        </w:rPr>
        <w:t>health</w:t>
      </w:r>
      <w:r>
        <w:rPr>
          <w:spacing w:val="-6"/>
          <w:sz w:val="20"/>
        </w:rPr>
        <w:t> </w:t>
      </w:r>
      <w:r>
        <w:rPr>
          <w:sz w:val="20"/>
        </w:rPr>
        <w:t>problem</w:t>
      </w:r>
      <w:r>
        <w:rPr>
          <w:spacing w:val="-7"/>
          <w:sz w:val="20"/>
        </w:rPr>
        <w:t> </w:t>
      </w:r>
      <w:r>
        <w:rPr>
          <w:sz w:val="20"/>
        </w:rPr>
        <w:t>or</w:t>
      </w:r>
      <w:r>
        <w:rPr>
          <w:spacing w:val="-7"/>
          <w:sz w:val="20"/>
        </w:rPr>
        <w:t> </w:t>
      </w:r>
      <w:r>
        <w:rPr>
          <w:sz w:val="20"/>
        </w:rPr>
        <w:t>disability.</w:t>
      </w:r>
      <w:r>
        <w:rPr>
          <w:spacing w:val="-6"/>
          <w:sz w:val="20"/>
        </w:rPr>
        <w:t> </w:t>
      </w:r>
      <w:r>
        <w:rPr>
          <w:sz w:val="20"/>
        </w:rPr>
        <w:t>This</w:t>
      </w:r>
      <w:r>
        <w:rPr>
          <w:spacing w:val="-6"/>
          <w:sz w:val="20"/>
        </w:rPr>
        <w:t> </w:t>
      </w:r>
      <w:r>
        <w:rPr>
          <w:sz w:val="20"/>
        </w:rPr>
        <w:t>is</w:t>
      </w:r>
      <w:r>
        <w:rPr>
          <w:spacing w:val="-7"/>
          <w:sz w:val="20"/>
        </w:rPr>
        <w:t> </w:t>
      </w:r>
      <w:r>
        <w:rPr>
          <w:sz w:val="20"/>
        </w:rPr>
        <w:t>also</w:t>
      </w:r>
      <w:r>
        <w:rPr>
          <w:spacing w:val="-7"/>
          <w:sz w:val="20"/>
        </w:rPr>
        <w:t> </w:t>
      </w:r>
      <w:r>
        <w:rPr>
          <w:sz w:val="20"/>
        </w:rPr>
        <w:t>in</w:t>
      </w:r>
      <w:r>
        <w:rPr>
          <w:spacing w:val="-6"/>
          <w:sz w:val="20"/>
        </w:rPr>
        <w:t> </w:t>
      </w:r>
      <w:r>
        <w:rPr>
          <w:sz w:val="20"/>
        </w:rPr>
        <w:t>line</w:t>
      </w:r>
      <w:r>
        <w:rPr>
          <w:spacing w:val="-7"/>
          <w:sz w:val="20"/>
        </w:rPr>
        <w:t> </w:t>
      </w:r>
      <w:r>
        <w:rPr>
          <w:sz w:val="20"/>
        </w:rPr>
        <w:t>with</w:t>
      </w:r>
      <w:r>
        <w:rPr>
          <w:spacing w:val="-5"/>
          <w:sz w:val="20"/>
        </w:rPr>
        <w:t> </w:t>
      </w:r>
      <w:r>
        <w:rPr>
          <w:sz w:val="20"/>
        </w:rPr>
        <w:t>claimants</w:t>
      </w:r>
      <w:r>
        <w:rPr>
          <w:spacing w:val="-7"/>
          <w:sz w:val="20"/>
        </w:rPr>
        <w:t> </w:t>
      </w:r>
      <w:r>
        <w:rPr>
          <w:sz w:val="20"/>
        </w:rPr>
        <w:t>at</w:t>
      </w:r>
      <w:r>
        <w:rPr>
          <w:spacing w:val="-6"/>
          <w:sz w:val="20"/>
        </w:rPr>
        <w:t> </w:t>
      </w:r>
      <w:r>
        <w:rPr>
          <w:sz w:val="20"/>
        </w:rPr>
        <w:t>the EC notification stage, where 31 per cent reported the same.</w:t>
      </w:r>
    </w:p>
    <w:p>
      <w:pPr>
        <w:pStyle w:val="ListParagraph"/>
        <w:numPr>
          <w:ilvl w:val="3"/>
          <w:numId w:val="32"/>
        </w:numPr>
        <w:tabs>
          <w:tab w:pos="2058" w:val="left" w:leader="none"/>
        </w:tabs>
        <w:spacing w:line="262" w:lineRule="exact" w:before="0" w:after="0"/>
        <w:ind w:left="2057" w:right="0" w:hanging="361"/>
        <w:jc w:val="both"/>
        <w:rPr>
          <w:rFonts w:ascii="Symbol" w:hAnsi="Symbol"/>
          <w:sz w:val="22"/>
        </w:rPr>
      </w:pPr>
      <w:r>
        <w:rPr>
          <w:spacing w:val="-2"/>
          <w:sz w:val="20"/>
        </w:rPr>
        <w:t>Four</w:t>
      </w:r>
      <w:r>
        <w:rPr>
          <w:spacing w:val="-11"/>
          <w:sz w:val="20"/>
        </w:rPr>
        <w:t> </w:t>
      </w:r>
      <w:r>
        <w:rPr>
          <w:spacing w:val="-2"/>
          <w:sz w:val="20"/>
        </w:rPr>
        <w:t>in</w:t>
      </w:r>
      <w:r>
        <w:rPr>
          <w:spacing w:val="-8"/>
          <w:sz w:val="20"/>
        </w:rPr>
        <w:t> </w:t>
      </w:r>
      <w:r>
        <w:rPr>
          <w:spacing w:val="-2"/>
          <w:sz w:val="20"/>
        </w:rPr>
        <w:t>ten</w:t>
      </w:r>
      <w:r>
        <w:rPr>
          <w:spacing w:val="-8"/>
          <w:sz w:val="20"/>
        </w:rPr>
        <w:t> </w:t>
      </w:r>
      <w:r>
        <w:rPr>
          <w:spacing w:val="-2"/>
          <w:sz w:val="20"/>
        </w:rPr>
        <w:t>(40</w:t>
      </w:r>
      <w:r>
        <w:rPr>
          <w:spacing w:val="-9"/>
          <w:sz w:val="20"/>
        </w:rPr>
        <w:t> </w:t>
      </w:r>
      <w:r>
        <w:rPr>
          <w:spacing w:val="-2"/>
          <w:sz w:val="20"/>
        </w:rPr>
        <w:t>per</w:t>
      </w:r>
      <w:r>
        <w:rPr>
          <w:spacing w:val="-9"/>
          <w:sz w:val="20"/>
        </w:rPr>
        <w:t> </w:t>
      </w:r>
      <w:r>
        <w:rPr>
          <w:spacing w:val="-2"/>
          <w:sz w:val="20"/>
        </w:rPr>
        <w:t>cent)</w:t>
      </w:r>
      <w:r>
        <w:rPr>
          <w:spacing w:val="-10"/>
          <w:sz w:val="20"/>
        </w:rPr>
        <w:t> </w:t>
      </w:r>
      <w:r>
        <w:rPr>
          <w:spacing w:val="-2"/>
          <w:sz w:val="20"/>
        </w:rPr>
        <w:t>claimants</w:t>
      </w:r>
      <w:r>
        <w:rPr>
          <w:spacing w:val="-8"/>
          <w:sz w:val="20"/>
        </w:rPr>
        <w:t> </w:t>
      </w:r>
      <w:r>
        <w:rPr>
          <w:spacing w:val="-2"/>
          <w:sz w:val="20"/>
        </w:rPr>
        <w:t>confirmed</w:t>
      </w:r>
      <w:r>
        <w:rPr>
          <w:spacing w:val="-9"/>
          <w:sz w:val="20"/>
        </w:rPr>
        <w:t> </w:t>
      </w:r>
      <w:r>
        <w:rPr>
          <w:spacing w:val="-2"/>
          <w:sz w:val="20"/>
        </w:rPr>
        <w:t>having</w:t>
      </w:r>
      <w:r>
        <w:rPr>
          <w:spacing w:val="-9"/>
          <w:sz w:val="20"/>
        </w:rPr>
        <w:t> </w:t>
      </w:r>
      <w:r>
        <w:rPr>
          <w:spacing w:val="-2"/>
          <w:sz w:val="20"/>
        </w:rPr>
        <w:t>an</w:t>
      </w:r>
      <w:r>
        <w:rPr>
          <w:spacing w:val="-8"/>
          <w:sz w:val="20"/>
        </w:rPr>
        <w:t> </w:t>
      </w:r>
      <w:r>
        <w:rPr>
          <w:spacing w:val="-2"/>
          <w:sz w:val="20"/>
        </w:rPr>
        <w:t>income</w:t>
      </w:r>
      <w:r>
        <w:rPr>
          <w:spacing w:val="-9"/>
          <w:sz w:val="20"/>
        </w:rPr>
        <w:t> </w:t>
      </w:r>
      <w:r>
        <w:rPr>
          <w:spacing w:val="-2"/>
          <w:sz w:val="20"/>
        </w:rPr>
        <w:t>greater</w:t>
      </w:r>
      <w:r>
        <w:rPr>
          <w:spacing w:val="-7"/>
          <w:sz w:val="20"/>
        </w:rPr>
        <w:t> </w:t>
      </w:r>
      <w:r>
        <w:rPr>
          <w:spacing w:val="-4"/>
          <w:sz w:val="20"/>
        </w:rPr>
        <w:t>than</w:t>
      </w:r>
    </w:p>
    <w:p>
      <w:pPr>
        <w:pStyle w:val="BodyText"/>
        <w:ind w:left="2057" w:right="1474"/>
        <w:jc w:val="both"/>
        <w:rPr>
          <w:rFonts w:ascii="Calibri" w:hAnsi="Calibri"/>
        </w:rPr>
      </w:pPr>
      <w:r>
        <w:rPr/>
        <w:t>£30,000</w:t>
      </w:r>
      <w:r>
        <w:rPr>
          <w:spacing w:val="-3"/>
        </w:rPr>
        <w:t> </w:t>
      </w:r>
      <w:r>
        <w:rPr/>
        <w:t>per</w:t>
      </w:r>
      <w:r>
        <w:rPr>
          <w:spacing w:val="-4"/>
        </w:rPr>
        <w:t> </w:t>
      </w:r>
      <w:r>
        <w:rPr/>
        <w:t>year.</w:t>
      </w:r>
      <w:r>
        <w:rPr>
          <w:spacing w:val="-3"/>
        </w:rPr>
        <w:t> </w:t>
      </w:r>
      <w:r>
        <w:rPr/>
        <w:t>This</w:t>
      </w:r>
      <w:r>
        <w:rPr>
          <w:spacing w:val="-4"/>
        </w:rPr>
        <w:t> </w:t>
      </w:r>
      <w:r>
        <w:rPr/>
        <w:t>is</w:t>
      </w:r>
      <w:r>
        <w:rPr>
          <w:spacing w:val="-3"/>
        </w:rPr>
        <w:t> </w:t>
      </w:r>
      <w:r>
        <w:rPr/>
        <w:t>in</w:t>
      </w:r>
      <w:r>
        <w:rPr>
          <w:spacing w:val="-3"/>
        </w:rPr>
        <w:t> </w:t>
      </w:r>
      <w:r>
        <w:rPr/>
        <w:t>line</w:t>
      </w:r>
      <w:r>
        <w:rPr>
          <w:spacing w:val="-4"/>
        </w:rPr>
        <w:t> </w:t>
      </w:r>
      <w:r>
        <w:rPr/>
        <w:t>with</w:t>
      </w:r>
      <w:r>
        <w:rPr>
          <w:spacing w:val="-3"/>
        </w:rPr>
        <w:t> </w:t>
      </w:r>
      <w:r>
        <w:rPr/>
        <w:t>claimants</w:t>
      </w:r>
      <w:r>
        <w:rPr>
          <w:spacing w:val="-3"/>
        </w:rPr>
        <w:t> </w:t>
      </w:r>
      <w:r>
        <w:rPr/>
        <w:t>at</w:t>
      </w:r>
      <w:r>
        <w:rPr>
          <w:spacing w:val="-3"/>
        </w:rPr>
        <w:t> </w:t>
      </w:r>
      <w:r>
        <w:rPr/>
        <w:t>the</w:t>
      </w:r>
      <w:r>
        <w:rPr>
          <w:spacing w:val="-5"/>
        </w:rPr>
        <w:t> </w:t>
      </w:r>
      <w:r>
        <w:rPr/>
        <w:t>EC</w:t>
      </w:r>
      <w:r>
        <w:rPr>
          <w:spacing w:val="-4"/>
        </w:rPr>
        <w:t> </w:t>
      </w:r>
      <w:r>
        <w:rPr/>
        <w:t>notification</w:t>
      </w:r>
      <w:r>
        <w:rPr>
          <w:spacing w:val="-3"/>
        </w:rPr>
        <w:t> </w:t>
      </w:r>
      <w:r>
        <w:rPr/>
        <w:t>stage, where 44 per cent reported the same and also the 2016 survey (38 per cent), suggesting that the income levels of claimants have not noticeably shifted since the removal of Employment Tribunal fees</w:t>
      </w:r>
      <w:r>
        <w:rPr>
          <w:rFonts w:ascii="Calibri" w:hAnsi="Calibri"/>
        </w:rPr>
        <w:t>.</w:t>
      </w:r>
    </w:p>
    <w:p>
      <w:pPr>
        <w:pStyle w:val="BodyText"/>
        <w:rPr>
          <w:rFonts w:ascii="Calibri"/>
          <w:sz w:val="24"/>
        </w:rPr>
      </w:pPr>
    </w:p>
    <w:p>
      <w:pPr>
        <w:spacing w:before="182"/>
        <w:ind w:left="1337" w:right="0" w:firstLine="0"/>
        <w:jc w:val="both"/>
        <w:rPr>
          <w:b/>
          <w:sz w:val="20"/>
        </w:rPr>
      </w:pPr>
      <w:r>
        <w:rPr>
          <w:b/>
          <w:sz w:val="20"/>
        </w:rPr>
        <w:t>Table</w:t>
      </w:r>
      <w:r>
        <w:rPr>
          <w:b/>
          <w:spacing w:val="-2"/>
          <w:sz w:val="20"/>
        </w:rPr>
        <w:t> </w:t>
      </w:r>
      <w:r>
        <w:rPr>
          <w:b/>
          <w:sz w:val="20"/>
        </w:rPr>
        <w:t>18.</w:t>
      </w:r>
      <w:r>
        <w:rPr>
          <w:b/>
          <w:spacing w:val="-4"/>
          <w:sz w:val="20"/>
        </w:rPr>
        <w:t> </w:t>
      </w:r>
      <w:r>
        <w:rPr>
          <w:b/>
          <w:sz w:val="20"/>
        </w:rPr>
        <w:t>Gender</w:t>
      </w:r>
      <w:r>
        <w:rPr>
          <w:b/>
          <w:spacing w:val="-3"/>
          <w:sz w:val="20"/>
        </w:rPr>
        <w:t> </w:t>
      </w:r>
      <w:r>
        <w:rPr>
          <w:b/>
          <w:sz w:val="20"/>
        </w:rPr>
        <w:t>of</w:t>
      </w:r>
      <w:r>
        <w:rPr>
          <w:b/>
          <w:spacing w:val="-2"/>
          <w:sz w:val="20"/>
        </w:rPr>
        <w:t> claimants</w:t>
      </w:r>
    </w:p>
    <w:p>
      <w:pPr>
        <w:pStyle w:val="BodyText"/>
        <w:spacing w:before="7"/>
        <w:rPr>
          <w:b/>
          <w:sz w:val="11"/>
        </w:rPr>
      </w:pPr>
      <w:r>
        <w:rPr/>
        <w:drawing>
          <wp:anchor distT="0" distB="0" distL="0" distR="0" allowOverlap="1" layoutInCell="1" locked="0" behindDoc="0" simplePos="0" relativeHeight="46">
            <wp:simplePos x="0" y="0"/>
            <wp:positionH relativeFrom="page">
              <wp:posOffset>1196228</wp:posOffset>
            </wp:positionH>
            <wp:positionV relativeFrom="paragraph">
              <wp:posOffset>104950</wp:posOffset>
            </wp:positionV>
            <wp:extent cx="5064090" cy="1465897"/>
            <wp:effectExtent l="0" t="0" r="0" b="0"/>
            <wp:wrapTopAndBottom/>
            <wp:docPr id="67" name="image34.png" descr="Table showing gender of claimants"/>
            <wp:cNvGraphicFramePr>
              <a:graphicFrameLocks noChangeAspect="1"/>
            </wp:cNvGraphicFramePr>
            <a:graphic>
              <a:graphicData uri="http://schemas.openxmlformats.org/drawingml/2006/picture">
                <pic:pic>
                  <pic:nvPicPr>
                    <pic:cNvPr id="68" name="image34.png"/>
                    <pic:cNvPicPr/>
                  </pic:nvPicPr>
                  <pic:blipFill>
                    <a:blip r:embed="rId47" cstate="print"/>
                    <a:stretch>
                      <a:fillRect/>
                    </a:stretch>
                  </pic:blipFill>
                  <pic:spPr>
                    <a:xfrm>
                      <a:off x="0" y="0"/>
                      <a:ext cx="5064090" cy="1465897"/>
                    </a:xfrm>
                    <a:prstGeom prst="rect">
                      <a:avLst/>
                    </a:prstGeom>
                  </pic:spPr>
                </pic:pic>
              </a:graphicData>
            </a:graphic>
          </wp:anchor>
        </w:drawing>
      </w:r>
    </w:p>
    <w:p>
      <w:pPr>
        <w:spacing w:after="0"/>
        <w:rPr>
          <w:sz w:val="11"/>
        </w:rPr>
        <w:sectPr>
          <w:pgSz w:w="11910" w:h="16840"/>
          <w:pgMar w:header="0" w:footer="996" w:top="1340" w:bottom="1180" w:left="460" w:right="320"/>
        </w:sectPr>
      </w:pPr>
    </w:p>
    <w:p>
      <w:pPr>
        <w:spacing w:before="82"/>
        <w:ind w:left="1337" w:right="0" w:firstLine="0"/>
        <w:jc w:val="both"/>
        <w:rPr>
          <w:b/>
          <w:sz w:val="20"/>
        </w:rPr>
      </w:pPr>
      <w:r>
        <w:rPr>
          <w:b/>
          <w:sz w:val="20"/>
        </w:rPr>
        <w:t>Table</w:t>
      </w:r>
      <w:r>
        <w:rPr>
          <w:b/>
          <w:spacing w:val="-2"/>
          <w:sz w:val="20"/>
        </w:rPr>
        <w:t> </w:t>
      </w:r>
      <w:r>
        <w:rPr>
          <w:b/>
          <w:sz w:val="20"/>
        </w:rPr>
        <w:t>19.</w:t>
      </w:r>
      <w:r>
        <w:rPr>
          <w:b/>
          <w:spacing w:val="-3"/>
          <w:sz w:val="20"/>
        </w:rPr>
        <w:t> </w:t>
      </w:r>
      <w:r>
        <w:rPr>
          <w:b/>
          <w:sz w:val="20"/>
        </w:rPr>
        <w:t>Age</w:t>
      </w:r>
      <w:r>
        <w:rPr>
          <w:b/>
          <w:spacing w:val="-3"/>
          <w:sz w:val="20"/>
        </w:rPr>
        <w:t> </w:t>
      </w:r>
      <w:r>
        <w:rPr>
          <w:b/>
          <w:sz w:val="20"/>
        </w:rPr>
        <w:t>of</w:t>
      </w:r>
      <w:r>
        <w:rPr>
          <w:b/>
          <w:spacing w:val="-1"/>
          <w:sz w:val="20"/>
        </w:rPr>
        <w:t> </w:t>
      </w:r>
      <w:r>
        <w:rPr>
          <w:b/>
          <w:spacing w:val="-2"/>
          <w:sz w:val="20"/>
        </w:rPr>
        <w:t>claimants</w:t>
      </w:r>
    </w:p>
    <w:p>
      <w:pPr>
        <w:pStyle w:val="BodyText"/>
        <w:spacing w:before="9"/>
        <w:rPr>
          <w:b/>
          <w:sz w:val="5"/>
        </w:rPr>
      </w:pPr>
      <w:r>
        <w:rPr/>
        <w:drawing>
          <wp:anchor distT="0" distB="0" distL="0" distR="0" allowOverlap="1" layoutInCell="1" locked="0" behindDoc="0" simplePos="0" relativeHeight="47">
            <wp:simplePos x="0" y="0"/>
            <wp:positionH relativeFrom="page">
              <wp:posOffset>1233587</wp:posOffset>
            </wp:positionH>
            <wp:positionV relativeFrom="paragraph">
              <wp:posOffset>59921</wp:posOffset>
            </wp:positionV>
            <wp:extent cx="5033830" cy="2367153"/>
            <wp:effectExtent l="0" t="0" r="0" b="0"/>
            <wp:wrapTopAndBottom/>
            <wp:docPr id="69" name="image35.png" descr="Table showing age of claimants "/>
            <wp:cNvGraphicFramePr>
              <a:graphicFrameLocks noChangeAspect="1"/>
            </wp:cNvGraphicFramePr>
            <a:graphic>
              <a:graphicData uri="http://schemas.openxmlformats.org/drawingml/2006/picture">
                <pic:pic>
                  <pic:nvPicPr>
                    <pic:cNvPr id="70" name="image35.png"/>
                    <pic:cNvPicPr/>
                  </pic:nvPicPr>
                  <pic:blipFill>
                    <a:blip r:embed="rId48" cstate="print"/>
                    <a:stretch>
                      <a:fillRect/>
                    </a:stretch>
                  </pic:blipFill>
                  <pic:spPr>
                    <a:xfrm>
                      <a:off x="0" y="0"/>
                      <a:ext cx="5033830" cy="2367153"/>
                    </a:xfrm>
                    <a:prstGeom prst="rect">
                      <a:avLst/>
                    </a:prstGeom>
                  </pic:spPr>
                </pic:pic>
              </a:graphicData>
            </a:graphic>
          </wp:anchor>
        </w:drawing>
      </w:r>
    </w:p>
    <w:p>
      <w:pPr>
        <w:pStyle w:val="BodyText"/>
        <w:spacing w:before="2"/>
        <w:rPr>
          <w:b/>
          <w:sz w:val="34"/>
        </w:rPr>
      </w:pPr>
    </w:p>
    <w:p>
      <w:pPr>
        <w:pStyle w:val="Heading3"/>
        <w:numPr>
          <w:ilvl w:val="1"/>
          <w:numId w:val="2"/>
        </w:numPr>
        <w:tabs>
          <w:tab w:pos="1974" w:val="left" w:leader="none"/>
        </w:tabs>
        <w:spacing w:line="240" w:lineRule="auto" w:before="0" w:after="0"/>
        <w:ind w:left="1973" w:right="0" w:hanging="637"/>
        <w:jc w:val="both"/>
      </w:pPr>
      <w:bookmarkStart w:name="13.2  Employer characteristics" w:id="153"/>
      <w:bookmarkEnd w:id="153"/>
      <w:r>
        <w:rPr>
          <w:b w:val="0"/>
        </w:rPr>
      </w:r>
      <w:bookmarkStart w:name="_bookmark36" w:id="154"/>
      <w:bookmarkEnd w:id="154"/>
      <w:r>
        <w:rPr/>
        <w:t>E</w:t>
      </w:r>
      <w:r>
        <w:rPr/>
        <w:t>mployer</w:t>
      </w:r>
      <w:r>
        <w:rPr>
          <w:spacing w:val="-6"/>
        </w:rPr>
        <w:t> </w:t>
      </w:r>
      <w:r>
        <w:rPr>
          <w:spacing w:val="-2"/>
        </w:rPr>
        <w:t>characteristics</w:t>
      </w:r>
    </w:p>
    <w:p>
      <w:pPr>
        <w:pStyle w:val="BodyText"/>
        <w:spacing w:line="259" w:lineRule="auto" w:before="119"/>
        <w:ind w:left="1337" w:right="1473"/>
        <w:jc w:val="both"/>
        <w:rPr>
          <w:sz w:val="13"/>
        </w:rPr>
      </w:pPr>
      <w:r>
        <w:rPr/>
        <w:t>The profile of employers this year</w:t>
      </w:r>
      <w:r>
        <w:rPr>
          <w:spacing w:val="-1"/>
        </w:rPr>
        <w:t> </w:t>
      </w:r>
      <w:r>
        <w:rPr/>
        <w:t>broadly reflects the profile of employers both in 2016 and at the EC notification stage. However, following the increase in the proportion of fast track ET claims within our sample in 2019, the proportion of smaller organisations involved in ET claims has grown since 2016, while the proportion of larger organisations involved in claims appears to have fallen compared with the EC survey results. Please note that comparisons should be interpreted with care due to the low base size in 2016.</w:t>
      </w:r>
      <w:hyperlink w:history="true" w:anchor="_bookmark104">
        <w:r>
          <w:rPr>
            <w:position w:val="7"/>
            <w:sz w:val="13"/>
          </w:rPr>
          <w:t>24</w:t>
        </w:r>
      </w:hyperlink>
    </w:p>
    <w:p>
      <w:pPr>
        <w:pStyle w:val="BodyText"/>
        <w:spacing w:line="259" w:lineRule="auto" w:before="160"/>
        <w:ind w:left="1337" w:right="1473"/>
        <w:jc w:val="both"/>
      </w:pPr>
      <w:r>
        <w:rPr/>
        <w:t>Overall,</w:t>
      </w:r>
      <w:r>
        <w:rPr>
          <w:spacing w:val="-18"/>
        </w:rPr>
        <w:t> </w:t>
      </w:r>
      <w:r>
        <w:rPr/>
        <w:t>eight</w:t>
      </w:r>
      <w:r>
        <w:rPr>
          <w:spacing w:val="-18"/>
        </w:rPr>
        <w:t> </w:t>
      </w:r>
      <w:r>
        <w:rPr/>
        <w:t>in</w:t>
      </w:r>
      <w:r>
        <w:rPr>
          <w:spacing w:val="-17"/>
        </w:rPr>
        <w:t> </w:t>
      </w:r>
      <w:r>
        <w:rPr/>
        <w:t>ten</w:t>
      </w:r>
      <w:r>
        <w:rPr>
          <w:spacing w:val="-18"/>
        </w:rPr>
        <w:t> </w:t>
      </w:r>
      <w:r>
        <w:rPr/>
        <w:t>(80</w:t>
      </w:r>
      <w:r>
        <w:rPr>
          <w:spacing w:val="-17"/>
        </w:rPr>
        <w:t> </w:t>
      </w:r>
      <w:r>
        <w:rPr/>
        <w:t>per</w:t>
      </w:r>
      <w:r>
        <w:rPr>
          <w:spacing w:val="-18"/>
        </w:rPr>
        <w:t> </w:t>
      </w:r>
      <w:r>
        <w:rPr/>
        <w:t>cent)</w:t>
      </w:r>
      <w:r>
        <w:rPr>
          <w:spacing w:val="-18"/>
        </w:rPr>
        <w:t> </w:t>
      </w:r>
      <w:r>
        <w:rPr/>
        <w:t>employers</w:t>
      </w:r>
      <w:r>
        <w:rPr>
          <w:spacing w:val="-17"/>
        </w:rPr>
        <w:t> </w:t>
      </w:r>
      <w:r>
        <w:rPr/>
        <w:t>worked</w:t>
      </w:r>
      <w:r>
        <w:rPr>
          <w:spacing w:val="-18"/>
        </w:rPr>
        <w:t> </w:t>
      </w:r>
      <w:r>
        <w:rPr/>
        <w:t>in</w:t>
      </w:r>
      <w:r>
        <w:rPr>
          <w:spacing w:val="-17"/>
        </w:rPr>
        <w:t> </w:t>
      </w:r>
      <w:r>
        <w:rPr/>
        <w:t>private</w:t>
      </w:r>
      <w:r>
        <w:rPr>
          <w:spacing w:val="-18"/>
        </w:rPr>
        <w:t> </w:t>
      </w:r>
      <w:r>
        <w:rPr/>
        <w:t>sector</w:t>
      </w:r>
      <w:r>
        <w:rPr>
          <w:spacing w:val="-17"/>
        </w:rPr>
        <w:t> </w:t>
      </w:r>
      <w:r>
        <w:rPr/>
        <w:t>organisations. Twelve</w:t>
      </w:r>
      <w:r>
        <w:rPr>
          <w:spacing w:val="-1"/>
        </w:rPr>
        <w:t> </w:t>
      </w:r>
      <w:r>
        <w:rPr/>
        <w:t>per</w:t>
      </w:r>
      <w:r>
        <w:rPr>
          <w:spacing w:val="-1"/>
        </w:rPr>
        <w:t> </w:t>
      </w:r>
      <w:r>
        <w:rPr/>
        <w:t>cent</w:t>
      </w:r>
      <w:r>
        <w:rPr>
          <w:spacing w:val="-2"/>
        </w:rPr>
        <w:t> </w:t>
      </w:r>
      <w:r>
        <w:rPr/>
        <w:t>worked</w:t>
      </w:r>
      <w:r>
        <w:rPr>
          <w:spacing w:val="-1"/>
        </w:rPr>
        <w:t> </w:t>
      </w:r>
      <w:r>
        <w:rPr/>
        <w:t>in public</w:t>
      </w:r>
      <w:r>
        <w:rPr>
          <w:spacing w:val="-1"/>
        </w:rPr>
        <w:t> </w:t>
      </w:r>
      <w:r>
        <w:rPr/>
        <w:t>sector</w:t>
      </w:r>
      <w:r>
        <w:rPr>
          <w:spacing w:val="-1"/>
        </w:rPr>
        <w:t> </w:t>
      </w:r>
      <w:r>
        <w:rPr/>
        <w:t>organisations, and</w:t>
      </w:r>
      <w:r>
        <w:rPr>
          <w:spacing w:val="-2"/>
        </w:rPr>
        <w:t> </w:t>
      </w:r>
      <w:r>
        <w:rPr/>
        <w:t>seven per</w:t>
      </w:r>
      <w:r>
        <w:rPr>
          <w:spacing w:val="-2"/>
        </w:rPr>
        <w:t> </w:t>
      </w:r>
      <w:r>
        <w:rPr/>
        <w:t>cent</w:t>
      </w:r>
      <w:r>
        <w:rPr>
          <w:spacing w:val="-2"/>
        </w:rPr>
        <w:t> </w:t>
      </w:r>
      <w:r>
        <w:rPr/>
        <w:t>worked in non-profit/voluntary organisations. These figures are consistent with profile of employers at the EC stage and with the 2016 ET survey.</w:t>
      </w:r>
    </w:p>
    <w:p>
      <w:pPr>
        <w:pStyle w:val="BodyText"/>
        <w:spacing w:line="259" w:lineRule="auto" w:before="158"/>
        <w:ind w:left="1337" w:right="1472"/>
        <w:jc w:val="both"/>
      </w:pPr>
      <w:r>
        <w:rPr/>
        <w:t>Looking</w:t>
      </w:r>
      <w:r>
        <w:rPr>
          <w:spacing w:val="-6"/>
        </w:rPr>
        <w:t> </w:t>
      </w:r>
      <w:r>
        <w:rPr/>
        <w:t>at</w:t>
      </w:r>
      <w:r>
        <w:rPr>
          <w:spacing w:val="-8"/>
        </w:rPr>
        <w:t> </w:t>
      </w:r>
      <w:r>
        <w:rPr/>
        <w:t>workplace</w:t>
      </w:r>
      <w:r>
        <w:rPr>
          <w:spacing w:val="-6"/>
        </w:rPr>
        <w:t> </w:t>
      </w:r>
      <w:r>
        <w:rPr/>
        <w:t>size,</w:t>
      </w:r>
      <w:r>
        <w:rPr>
          <w:spacing w:val="-5"/>
        </w:rPr>
        <w:t> </w:t>
      </w:r>
      <w:r>
        <w:rPr/>
        <w:t>seven</w:t>
      </w:r>
      <w:r>
        <w:rPr>
          <w:spacing w:val="-6"/>
        </w:rPr>
        <w:t> </w:t>
      </w:r>
      <w:r>
        <w:rPr/>
        <w:t>in</w:t>
      </w:r>
      <w:r>
        <w:rPr>
          <w:spacing w:val="-5"/>
        </w:rPr>
        <w:t> </w:t>
      </w:r>
      <w:r>
        <w:rPr/>
        <w:t>ten</w:t>
      </w:r>
      <w:r>
        <w:rPr>
          <w:spacing w:val="-6"/>
        </w:rPr>
        <w:t> </w:t>
      </w:r>
      <w:r>
        <w:rPr/>
        <w:t>(70</w:t>
      </w:r>
      <w:r>
        <w:rPr>
          <w:spacing w:val="-7"/>
        </w:rPr>
        <w:t> </w:t>
      </w:r>
      <w:r>
        <w:rPr/>
        <w:t>per</w:t>
      </w:r>
      <w:r>
        <w:rPr>
          <w:spacing w:val="-6"/>
        </w:rPr>
        <w:t> </w:t>
      </w:r>
      <w:r>
        <w:rPr/>
        <w:t>cent)</w:t>
      </w:r>
      <w:r>
        <w:rPr>
          <w:spacing w:val="-7"/>
        </w:rPr>
        <w:t> </w:t>
      </w:r>
      <w:r>
        <w:rPr/>
        <w:t>employers</w:t>
      </w:r>
      <w:r>
        <w:rPr>
          <w:spacing w:val="-6"/>
        </w:rPr>
        <w:t> </w:t>
      </w:r>
      <w:r>
        <w:rPr/>
        <w:t>were</w:t>
      </w:r>
      <w:r>
        <w:rPr>
          <w:spacing w:val="-6"/>
        </w:rPr>
        <w:t> </w:t>
      </w:r>
      <w:r>
        <w:rPr/>
        <w:t>from</w:t>
      </w:r>
      <w:r>
        <w:rPr>
          <w:spacing w:val="-6"/>
        </w:rPr>
        <w:t> </w:t>
      </w:r>
      <w:r>
        <w:rPr/>
        <w:t>a</w:t>
      </w:r>
      <w:r>
        <w:rPr>
          <w:spacing w:val="-7"/>
        </w:rPr>
        <w:t> </w:t>
      </w:r>
      <w:r>
        <w:rPr/>
        <w:t>small workplace (between 1 and 49 employees), two in ten (19 per cent) were from a medium-size workplace (between 50 and 249 employees) and one in ten (9 per cent) were from large workplaces (250 or more employees). This represents a modest rebalancing of the profile compared with 2016, when 62 per cent of workplaces were small and 14 per cent were large.</w:t>
      </w:r>
    </w:p>
    <w:p>
      <w:pPr>
        <w:pStyle w:val="BodyText"/>
        <w:spacing w:line="259" w:lineRule="auto" w:before="159"/>
        <w:ind w:left="1337" w:right="1474"/>
        <w:jc w:val="both"/>
      </w:pPr>
      <w:r>
        <w:rPr/>
        <w:t>Around half (52 per cent) of employers involved in ET claims in 2019 worked for organisations with more than one workplace in the UK. This is close to the 57 per cent figure recorded at the EC notification stage and also matches the 2016 ET survey (59 per cent).</w:t>
      </w:r>
    </w:p>
    <w:p>
      <w:pPr>
        <w:pStyle w:val="BodyText"/>
        <w:spacing w:line="259" w:lineRule="auto" w:before="159"/>
        <w:ind w:left="1337" w:right="1473"/>
        <w:jc w:val="both"/>
      </w:pPr>
      <w:r>
        <w:rPr/>
        <w:t>In terms of overall organisation size, half (50 per cent) of employers were from small organisations (between 1 and 49</w:t>
      </w:r>
      <w:r>
        <w:rPr>
          <w:spacing w:val="-1"/>
        </w:rPr>
        <w:t> </w:t>
      </w:r>
      <w:r>
        <w:rPr/>
        <w:t>employees), two</w:t>
      </w:r>
      <w:r>
        <w:rPr>
          <w:spacing w:val="-1"/>
        </w:rPr>
        <w:t> </w:t>
      </w:r>
      <w:r>
        <w:rPr/>
        <w:t>in ten (20</w:t>
      </w:r>
      <w:r>
        <w:rPr>
          <w:spacing w:val="-1"/>
        </w:rPr>
        <w:t> </w:t>
      </w:r>
      <w:r>
        <w:rPr/>
        <w:t>per cent)</w:t>
      </w:r>
      <w:r>
        <w:rPr>
          <w:spacing w:val="-1"/>
        </w:rPr>
        <w:t> </w:t>
      </w:r>
      <w:r>
        <w:rPr/>
        <w:t>were from</w:t>
      </w:r>
      <w:r>
        <w:rPr>
          <w:spacing w:val="-12"/>
        </w:rPr>
        <w:t> </w:t>
      </w:r>
      <w:r>
        <w:rPr/>
        <w:t>medium-size</w:t>
      </w:r>
      <w:r>
        <w:rPr>
          <w:spacing w:val="-12"/>
        </w:rPr>
        <w:t> </w:t>
      </w:r>
      <w:r>
        <w:rPr/>
        <w:t>organisations</w:t>
      </w:r>
      <w:r>
        <w:rPr>
          <w:spacing w:val="-11"/>
        </w:rPr>
        <w:t> </w:t>
      </w:r>
      <w:r>
        <w:rPr/>
        <w:t>(between</w:t>
      </w:r>
      <w:r>
        <w:rPr>
          <w:spacing w:val="-11"/>
        </w:rPr>
        <w:t> </w:t>
      </w:r>
      <w:r>
        <w:rPr/>
        <w:t>50</w:t>
      </w:r>
      <w:r>
        <w:rPr>
          <w:spacing w:val="-12"/>
        </w:rPr>
        <w:t> </w:t>
      </w:r>
      <w:r>
        <w:rPr/>
        <w:t>and</w:t>
      </w:r>
      <w:r>
        <w:rPr>
          <w:spacing w:val="-11"/>
        </w:rPr>
        <w:t> </w:t>
      </w:r>
      <w:r>
        <w:rPr/>
        <w:t>249</w:t>
      </w:r>
      <w:r>
        <w:rPr>
          <w:spacing w:val="-12"/>
        </w:rPr>
        <w:t> </w:t>
      </w:r>
      <w:r>
        <w:rPr/>
        <w:t>employees)</w:t>
      </w:r>
      <w:r>
        <w:rPr>
          <w:spacing w:val="-11"/>
        </w:rPr>
        <w:t> </w:t>
      </w:r>
      <w:r>
        <w:rPr/>
        <w:t>and</w:t>
      </w:r>
      <w:r>
        <w:rPr>
          <w:spacing w:val="-11"/>
        </w:rPr>
        <w:t> </w:t>
      </w:r>
      <w:r>
        <w:rPr/>
        <w:t>three</w:t>
      </w:r>
      <w:r>
        <w:rPr>
          <w:spacing w:val="-12"/>
        </w:rPr>
        <w:t> </w:t>
      </w:r>
      <w:r>
        <w:rPr/>
        <w:t>in</w:t>
      </w:r>
      <w:r>
        <w:rPr>
          <w:spacing w:val="-11"/>
        </w:rPr>
        <w:t> </w:t>
      </w:r>
      <w:r>
        <w:rPr/>
        <w:t>ten (29 per cent) were from large organisations (250 or more employees). Reflecting the trend in workplace size there has been a small shift towards smaller organisations</w:t>
      </w:r>
      <w:r>
        <w:rPr>
          <w:spacing w:val="-4"/>
        </w:rPr>
        <w:t> </w:t>
      </w:r>
      <w:r>
        <w:rPr/>
        <w:t>since</w:t>
      </w:r>
      <w:r>
        <w:rPr>
          <w:spacing w:val="-6"/>
        </w:rPr>
        <w:t> </w:t>
      </w:r>
      <w:r>
        <w:rPr/>
        <w:t>2016</w:t>
      </w:r>
      <w:r>
        <w:rPr>
          <w:spacing w:val="-4"/>
        </w:rPr>
        <w:t> </w:t>
      </w:r>
      <w:r>
        <w:rPr/>
        <w:t>when</w:t>
      </w:r>
      <w:r>
        <w:rPr>
          <w:spacing w:val="-5"/>
        </w:rPr>
        <w:t> </w:t>
      </w:r>
      <w:r>
        <w:rPr/>
        <w:t>39</w:t>
      </w:r>
      <w:r>
        <w:rPr>
          <w:spacing w:val="-6"/>
        </w:rPr>
        <w:t> </w:t>
      </w:r>
      <w:r>
        <w:rPr/>
        <w:t>per</w:t>
      </w:r>
      <w:r>
        <w:rPr>
          <w:spacing w:val="-5"/>
        </w:rPr>
        <w:t> </w:t>
      </w:r>
      <w:r>
        <w:rPr/>
        <w:t>cent</w:t>
      </w:r>
      <w:r>
        <w:rPr>
          <w:spacing w:val="-5"/>
        </w:rPr>
        <w:t> </w:t>
      </w:r>
      <w:r>
        <w:rPr/>
        <w:t>had</w:t>
      </w:r>
      <w:r>
        <w:rPr>
          <w:spacing w:val="-4"/>
        </w:rPr>
        <w:t> </w:t>
      </w:r>
      <w:r>
        <w:rPr/>
        <w:t>been</w:t>
      </w:r>
      <w:r>
        <w:rPr>
          <w:spacing w:val="-5"/>
        </w:rPr>
        <w:t> </w:t>
      </w:r>
      <w:r>
        <w:rPr/>
        <w:t>from</w:t>
      </w:r>
      <w:r>
        <w:rPr>
          <w:spacing w:val="-5"/>
        </w:rPr>
        <w:t> </w:t>
      </w:r>
      <w:r>
        <w:rPr/>
        <w:t>small</w:t>
      </w:r>
      <w:r>
        <w:rPr>
          <w:spacing w:val="-5"/>
        </w:rPr>
        <w:t> </w:t>
      </w:r>
      <w:r>
        <w:rPr/>
        <w:t>organisations</w:t>
      </w:r>
      <w:r>
        <w:rPr>
          <w:spacing w:val="-4"/>
        </w:rPr>
        <w:t> </w:t>
      </w:r>
      <w:r>
        <w:rPr/>
        <w:t>and 37</w:t>
      </w:r>
      <w:r>
        <w:rPr>
          <w:spacing w:val="-9"/>
        </w:rPr>
        <w:t> </w:t>
      </w:r>
      <w:r>
        <w:rPr/>
        <w:t>per</w:t>
      </w:r>
      <w:r>
        <w:rPr>
          <w:spacing w:val="-9"/>
        </w:rPr>
        <w:t> </w:t>
      </w:r>
      <w:r>
        <w:rPr/>
        <w:t>cent</w:t>
      </w:r>
      <w:r>
        <w:rPr>
          <w:spacing w:val="-10"/>
        </w:rPr>
        <w:t> </w:t>
      </w:r>
      <w:r>
        <w:rPr/>
        <w:t>from</w:t>
      </w:r>
      <w:r>
        <w:rPr>
          <w:spacing w:val="-10"/>
        </w:rPr>
        <w:t> </w:t>
      </w:r>
      <w:r>
        <w:rPr/>
        <w:t>large</w:t>
      </w:r>
      <w:r>
        <w:rPr>
          <w:spacing w:val="-10"/>
        </w:rPr>
        <w:t> </w:t>
      </w:r>
      <w:r>
        <w:rPr/>
        <w:t>ones.</w:t>
      </w:r>
      <w:r>
        <w:rPr>
          <w:spacing w:val="-10"/>
        </w:rPr>
        <w:t> </w:t>
      </w:r>
      <w:r>
        <w:rPr/>
        <w:t>This</w:t>
      </w:r>
      <w:r>
        <w:rPr>
          <w:spacing w:val="-9"/>
        </w:rPr>
        <w:t> </w:t>
      </w:r>
      <w:r>
        <w:rPr/>
        <w:t>shift</w:t>
      </w:r>
      <w:r>
        <w:rPr>
          <w:spacing w:val="-9"/>
        </w:rPr>
        <w:t> </w:t>
      </w:r>
      <w:r>
        <w:rPr/>
        <w:t>should</w:t>
      </w:r>
      <w:r>
        <w:rPr>
          <w:spacing w:val="-9"/>
        </w:rPr>
        <w:t> </w:t>
      </w:r>
      <w:r>
        <w:rPr/>
        <w:t>be</w:t>
      </w:r>
      <w:r>
        <w:rPr>
          <w:spacing w:val="-10"/>
        </w:rPr>
        <w:t> </w:t>
      </w:r>
      <w:r>
        <w:rPr/>
        <w:t>interpreted</w:t>
      </w:r>
      <w:r>
        <w:rPr>
          <w:spacing w:val="-9"/>
        </w:rPr>
        <w:t> </w:t>
      </w:r>
      <w:r>
        <w:rPr/>
        <w:t>with</w:t>
      </w:r>
      <w:r>
        <w:rPr>
          <w:spacing w:val="-10"/>
        </w:rPr>
        <w:t> </w:t>
      </w:r>
      <w:r>
        <w:rPr/>
        <w:t>caution</w:t>
      </w:r>
      <w:r>
        <w:rPr>
          <w:spacing w:val="-9"/>
        </w:rPr>
        <w:t> </w:t>
      </w:r>
      <w:r>
        <w:rPr/>
        <w:t>however, as the 2016 base size was just 99 employers.</w:t>
      </w:r>
    </w:p>
    <w:p>
      <w:pPr>
        <w:pStyle w:val="BodyText"/>
        <w:spacing w:line="259" w:lineRule="auto" w:before="158"/>
        <w:ind w:left="1337" w:right="1475"/>
        <w:jc w:val="both"/>
      </w:pPr>
      <w:r>
        <w:rPr/>
        <w:t>This change is likely related to the increase in fast track ET claims compared with 2016:</w:t>
      </w:r>
      <w:r>
        <w:rPr>
          <w:spacing w:val="53"/>
        </w:rPr>
        <w:t> </w:t>
      </w:r>
      <w:r>
        <w:rPr/>
        <w:t>among</w:t>
      </w:r>
      <w:r>
        <w:rPr>
          <w:spacing w:val="53"/>
        </w:rPr>
        <w:t> </w:t>
      </w:r>
      <w:r>
        <w:rPr/>
        <w:t>employer-side</w:t>
      </w:r>
      <w:r>
        <w:rPr>
          <w:spacing w:val="53"/>
        </w:rPr>
        <w:t> </w:t>
      </w:r>
      <w:r>
        <w:rPr/>
        <w:t>participants</w:t>
      </w:r>
      <w:r>
        <w:rPr>
          <w:spacing w:val="53"/>
        </w:rPr>
        <w:t> </w:t>
      </w:r>
      <w:r>
        <w:rPr/>
        <w:t>one</w:t>
      </w:r>
      <w:r>
        <w:rPr>
          <w:spacing w:val="54"/>
        </w:rPr>
        <w:t> </w:t>
      </w:r>
      <w:r>
        <w:rPr/>
        <w:t>in</w:t>
      </w:r>
      <w:r>
        <w:rPr>
          <w:spacing w:val="54"/>
        </w:rPr>
        <w:t> </w:t>
      </w:r>
      <w:r>
        <w:rPr/>
        <w:t>five</w:t>
      </w:r>
      <w:r>
        <w:rPr>
          <w:spacing w:val="53"/>
        </w:rPr>
        <w:t> </w:t>
      </w:r>
      <w:r>
        <w:rPr/>
        <w:t>(19</w:t>
      </w:r>
      <w:r>
        <w:rPr>
          <w:spacing w:val="54"/>
        </w:rPr>
        <w:t> </w:t>
      </w:r>
      <w:r>
        <w:rPr/>
        <w:t>per</w:t>
      </w:r>
      <w:r>
        <w:rPr>
          <w:spacing w:val="53"/>
        </w:rPr>
        <w:t> </w:t>
      </w:r>
      <w:r>
        <w:rPr/>
        <w:t>cent)</w:t>
      </w:r>
      <w:r>
        <w:rPr>
          <w:spacing w:val="54"/>
        </w:rPr>
        <w:t> </w:t>
      </w:r>
      <w:r>
        <w:rPr>
          <w:spacing w:val="-2"/>
        </w:rPr>
        <w:t>employers</w:t>
      </w:r>
    </w:p>
    <w:p>
      <w:pPr>
        <w:spacing w:after="0" w:line="259" w:lineRule="auto"/>
        <w:jc w:val="both"/>
        <w:sectPr>
          <w:pgSz w:w="11910" w:h="16840"/>
          <w:pgMar w:header="0" w:footer="996" w:top="1340" w:bottom="1180" w:left="460" w:right="320"/>
        </w:sectPr>
      </w:pPr>
    </w:p>
    <w:p>
      <w:pPr>
        <w:pStyle w:val="BodyText"/>
        <w:spacing w:line="259" w:lineRule="auto" w:before="82"/>
        <w:ind w:left="1337" w:right="1474"/>
        <w:jc w:val="both"/>
      </w:pPr>
      <w:r>
        <w:rPr/>
        <w:t>involved in fast track claims are from large organisations with more than 500 employees, compared with to 39 per cent and 34 per cent for open and standard track cases respectively.</w:t>
      </w:r>
    </w:p>
    <w:p>
      <w:pPr>
        <w:pStyle w:val="BodyText"/>
        <w:spacing w:line="259" w:lineRule="auto" w:before="159"/>
        <w:ind w:left="1337" w:right="1473"/>
        <w:jc w:val="both"/>
      </w:pPr>
      <w:r>
        <w:rPr/>
        <w:t>Compared</w:t>
      </w:r>
      <w:r>
        <w:rPr>
          <w:spacing w:val="-7"/>
        </w:rPr>
        <w:t> </w:t>
      </w:r>
      <w:r>
        <w:rPr/>
        <w:t>with</w:t>
      </w:r>
      <w:r>
        <w:rPr>
          <w:spacing w:val="-6"/>
        </w:rPr>
        <w:t> </w:t>
      </w:r>
      <w:r>
        <w:rPr/>
        <w:t>the</w:t>
      </w:r>
      <w:r>
        <w:rPr>
          <w:spacing w:val="-7"/>
        </w:rPr>
        <w:t> </w:t>
      </w:r>
      <w:r>
        <w:rPr/>
        <w:t>2019</w:t>
      </w:r>
      <w:r>
        <w:rPr>
          <w:spacing w:val="-7"/>
        </w:rPr>
        <w:t> </w:t>
      </w:r>
      <w:r>
        <w:rPr/>
        <w:t>EC</w:t>
      </w:r>
      <w:r>
        <w:rPr>
          <w:spacing w:val="-6"/>
        </w:rPr>
        <w:t> </w:t>
      </w:r>
      <w:r>
        <w:rPr/>
        <w:t>survey,</w:t>
      </w:r>
      <w:r>
        <w:rPr>
          <w:spacing w:val="-6"/>
        </w:rPr>
        <w:t> </w:t>
      </w:r>
      <w:r>
        <w:rPr/>
        <w:t>organisations</w:t>
      </w:r>
      <w:r>
        <w:rPr>
          <w:spacing w:val="-5"/>
        </w:rPr>
        <w:t> </w:t>
      </w:r>
      <w:r>
        <w:rPr/>
        <w:t>involved</w:t>
      </w:r>
      <w:r>
        <w:rPr>
          <w:spacing w:val="-5"/>
        </w:rPr>
        <w:t> </w:t>
      </w:r>
      <w:r>
        <w:rPr/>
        <w:t>in</w:t>
      </w:r>
      <w:r>
        <w:rPr>
          <w:spacing w:val="-6"/>
        </w:rPr>
        <w:t> </w:t>
      </w:r>
      <w:r>
        <w:rPr/>
        <w:t>ET</w:t>
      </w:r>
      <w:r>
        <w:rPr>
          <w:spacing w:val="-6"/>
        </w:rPr>
        <w:t> </w:t>
      </w:r>
      <w:r>
        <w:rPr/>
        <w:t>claims</w:t>
      </w:r>
      <w:r>
        <w:rPr>
          <w:spacing w:val="-5"/>
        </w:rPr>
        <w:t> </w:t>
      </w:r>
      <w:r>
        <w:rPr/>
        <w:t>tend</w:t>
      </w:r>
      <w:r>
        <w:rPr>
          <w:spacing w:val="-7"/>
        </w:rPr>
        <w:t> </w:t>
      </w:r>
      <w:r>
        <w:rPr/>
        <w:t>to</w:t>
      </w:r>
      <w:r>
        <w:rPr>
          <w:spacing w:val="-7"/>
        </w:rPr>
        <w:t> </w:t>
      </w:r>
      <w:r>
        <w:rPr/>
        <w:t>be smaller than those at EC. Forty-four per cent of employers in the EC survey were from</w:t>
      </w:r>
      <w:r>
        <w:rPr>
          <w:spacing w:val="-3"/>
        </w:rPr>
        <w:t> </w:t>
      </w:r>
      <w:r>
        <w:rPr/>
        <w:t>large</w:t>
      </w:r>
      <w:r>
        <w:rPr>
          <w:spacing w:val="-3"/>
        </w:rPr>
        <w:t> </w:t>
      </w:r>
      <w:r>
        <w:rPr/>
        <w:t>organisations</w:t>
      </w:r>
      <w:r>
        <w:rPr>
          <w:spacing w:val="-2"/>
        </w:rPr>
        <w:t> </w:t>
      </w:r>
      <w:r>
        <w:rPr/>
        <w:t>of</w:t>
      </w:r>
      <w:r>
        <w:rPr>
          <w:spacing w:val="-3"/>
        </w:rPr>
        <w:t> </w:t>
      </w:r>
      <w:r>
        <w:rPr/>
        <w:t>250</w:t>
      </w:r>
      <w:r>
        <w:rPr>
          <w:spacing w:val="-2"/>
        </w:rPr>
        <w:t> </w:t>
      </w:r>
      <w:r>
        <w:rPr/>
        <w:t>or</w:t>
      </w:r>
      <w:r>
        <w:rPr>
          <w:spacing w:val="-4"/>
        </w:rPr>
        <w:t> </w:t>
      </w:r>
      <w:r>
        <w:rPr/>
        <w:t>more</w:t>
      </w:r>
      <w:r>
        <w:rPr>
          <w:spacing w:val="-3"/>
        </w:rPr>
        <w:t> </w:t>
      </w:r>
      <w:r>
        <w:rPr/>
        <w:t>employees,</w:t>
      </w:r>
      <w:r>
        <w:rPr>
          <w:spacing w:val="-2"/>
        </w:rPr>
        <w:t> </w:t>
      </w:r>
      <w:r>
        <w:rPr/>
        <w:t>compared</w:t>
      </w:r>
      <w:r>
        <w:rPr>
          <w:spacing w:val="-2"/>
        </w:rPr>
        <w:t> </w:t>
      </w:r>
      <w:r>
        <w:rPr/>
        <w:t>with</w:t>
      </w:r>
      <w:r>
        <w:rPr>
          <w:spacing w:val="-3"/>
        </w:rPr>
        <w:t> </w:t>
      </w:r>
      <w:r>
        <w:rPr/>
        <w:t>29</w:t>
      </w:r>
      <w:r>
        <w:rPr>
          <w:spacing w:val="-2"/>
        </w:rPr>
        <w:t> </w:t>
      </w:r>
      <w:r>
        <w:rPr/>
        <w:t>per</w:t>
      </w:r>
      <w:r>
        <w:rPr>
          <w:spacing w:val="-2"/>
        </w:rPr>
        <w:t> </w:t>
      </w:r>
      <w:r>
        <w:rPr/>
        <w:t>cent</w:t>
      </w:r>
      <w:r>
        <w:rPr>
          <w:spacing w:val="-3"/>
        </w:rPr>
        <w:t> </w:t>
      </w:r>
      <w:r>
        <w:rPr/>
        <w:t>at the ET stage. This relationship can also be observed between the previous waves of</w:t>
      </w:r>
      <w:r>
        <w:rPr>
          <w:spacing w:val="-2"/>
        </w:rPr>
        <w:t> </w:t>
      </w:r>
      <w:r>
        <w:rPr/>
        <w:t>the</w:t>
      </w:r>
      <w:r>
        <w:rPr>
          <w:spacing w:val="-4"/>
        </w:rPr>
        <w:t> </w:t>
      </w:r>
      <w:r>
        <w:rPr/>
        <w:t>EC</w:t>
      </w:r>
      <w:r>
        <w:rPr>
          <w:spacing w:val="-3"/>
        </w:rPr>
        <w:t> </w:t>
      </w:r>
      <w:r>
        <w:rPr/>
        <w:t>and</w:t>
      </w:r>
      <w:r>
        <w:rPr>
          <w:spacing w:val="-2"/>
        </w:rPr>
        <w:t> </w:t>
      </w:r>
      <w:r>
        <w:rPr/>
        <w:t>ET</w:t>
      </w:r>
      <w:r>
        <w:rPr>
          <w:spacing w:val="-2"/>
        </w:rPr>
        <w:t> </w:t>
      </w:r>
      <w:r>
        <w:rPr/>
        <w:t>surveys:</w:t>
      </w:r>
      <w:r>
        <w:rPr>
          <w:spacing w:val="-2"/>
        </w:rPr>
        <w:t> </w:t>
      </w:r>
      <w:r>
        <w:rPr/>
        <w:t>in</w:t>
      </w:r>
      <w:r>
        <w:rPr>
          <w:spacing w:val="-2"/>
        </w:rPr>
        <w:t> </w:t>
      </w:r>
      <w:r>
        <w:rPr/>
        <w:t>the</w:t>
      </w:r>
      <w:r>
        <w:rPr>
          <w:spacing w:val="-3"/>
        </w:rPr>
        <w:t> </w:t>
      </w:r>
      <w:r>
        <w:rPr/>
        <w:t>2016</w:t>
      </w:r>
      <w:r>
        <w:rPr>
          <w:spacing w:val="-3"/>
        </w:rPr>
        <w:t> </w:t>
      </w:r>
      <w:r>
        <w:rPr/>
        <w:t>post-ET1</w:t>
      </w:r>
      <w:r>
        <w:rPr>
          <w:spacing w:val="-2"/>
        </w:rPr>
        <w:t> </w:t>
      </w:r>
      <w:r>
        <w:rPr/>
        <w:t>conciliation</w:t>
      </w:r>
      <w:r>
        <w:rPr>
          <w:spacing w:val="-2"/>
        </w:rPr>
        <w:t> </w:t>
      </w:r>
      <w:r>
        <w:rPr/>
        <w:t>survey,</w:t>
      </w:r>
      <w:r>
        <w:rPr>
          <w:spacing w:val="-2"/>
        </w:rPr>
        <w:t> </w:t>
      </w:r>
      <w:r>
        <w:rPr/>
        <w:t>37</w:t>
      </w:r>
      <w:r>
        <w:rPr>
          <w:spacing w:val="-2"/>
        </w:rPr>
        <w:t> </w:t>
      </w:r>
      <w:r>
        <w:rPr/>
        <w:t>per</w:t>
      </w:r>
      <w:r>
        <w:rPr>
          <w:spacing w:val="-2"/>
        </w:rPr>
        <w:t> </w:t>
      </w:r>
      <w:r>
        <w:rPr/>
        <w:t>cent</w:t>
      </w:r>
      <w:r>
        <w:rPr>
          <w:spacing w:val="-2"/>
        </w:rPr>
        <w:t> </w:t>
      </w:r>
      <w:r>
        <w:rPr/>
        <w:t>of employers</w:t>
      </w:r>
      <w:r>
        <w:rPr>
          <w:spacing w:val="-2"/>
        </w:rPr>
        <w:t> </w:t>
      </w:r>
      <w:r>
        <w:rPr/>
        <w:t>were</w:t>
      </w:r>
      <w:r>
        <w:rPr>
          <w:spacing w:val="-4"/>
        </w:rPr>
        <w:t> </w:t>
      </w:r>
      <w:r>
        <w:rPr/>
        <w:t>from</w:t>
      </w:r>
      <w:r>
        <w:rPr>
          <w:spacing w:val="-4"/>
        </w:rPr>
        <w:t> </w:t>
      </w:r>
      <w:r>
        <w:rPr/>
        <w:t>large</w:t>
      </w:r>
      <w:r>
        <w:rPr>
          <w:spacing w:val="-4"/>
        </w:rPr>
        <w:t> </w:t>
      </w:r>
      <w:r>
        <w:rPr/>
        <w:t>organisations</w:t>
      </w:r>
      <w:r>
        <w:rPr>
          <w:spacing w:val="-3"/>
        </w:rPr>
        <w:t> </w:t>
      </w:r>
      <w:r>
        <w:rPr/>
        <w:t>and</w:t>
      </w:r>
      <w:r>
        <w:rPr>
          <w:spacing w:val="-6"/>
        </w:rPr>
        <w:t> </w:t>
      </w:r>
      <w:r>
        <w:rPr/>
        <w:t>in</w:t>
      </w:r>
      <w:r>
        <w:rPr>
          <w:spacing w:val="-3"/>
        </w:rPr>
        <w:t> </w:t>
      </w:r>
      <w:r>
        <w:rPr/>
        <w:t>the</w:t>
      </w:r>
      <w:r>
        <w:rPr>
          <w:spacing w:val="-4"/>
        </w:rPr>
        <w:t> </w:t>
      </w:r>
      <w:r>
        <w:rPr/>
        <w:t>2015</w:t>
      </w:r>
      <w:r>
        <w:rPr>
          <w:spacing w:val="-6"/>
        </w:rPr>
        <w:t> </w:t>
      </w:r>
      <w:r>
        <w:rPr/>
        <w:t>EC</w:t>
      </w:r>
      <w:r>
        <w:rPr>
          <w:spacing w:val="-4"/>
        </w:rPr>
        <w:t> </w:t>
      </w:r>
      <w:r>
        <w:rPr/>
        <w:t>report</w:t>
      </w:r>
      <w:r>
        <w:rPr>
          <w:spacing w:val="-3"/>
        </w:rPr>
        <w:t> </w:t>
      </w:r>
      <w:r>
        <w:rPr/>
        <w:t>the</w:t>
      </w:r>
      <w:r>
        <w:rPr>
          <w:spacing w:val="-4"/>
        </w:rPr>
        <w:t> </w:t>
      </w:r>
      <w:r>
        <w:rPr/>
        <w:t>equivalent number was 49 per cent.</w:t>
      </w:r>
    </w:p>
    <w:p>
      <w:pPr>
        <w:pStyle w:val="BodyText"/>
        <w:spacing w:line="259" w:lineRule="auto" w:before="159"/>
        <w:ind w:left="1337" w:right="1473"/>
        <w:jc w:val="both"/>
      </w:pPr>
      <w:r>
        <w:rPr/>
        <w:t>Half</w:t>
      </w:r>
      <w:r>
        <w:rPr>
          <w:spacing w:val="-18"/>
        </w:rPr>
        <w:t> </w:t>
      </w:r>
      <w:r>
        <w:rPr/>
        <w:t>(52</w:t>
      </w:r>
      <w:r>
        <w:rPr>
          <w:spacing w:val="-18"/>
        </w:rPr>
        <w:t> </w:t>
      </w:r>
      <w:r>
        <w:rPr/>
        <w:t>per</w:t>
      </w:r>
      <w:r>
        <w:rPr>
          <w:spacing w:val="-17"/>
        </w:rPr>
        <w:t> </w:t>
      </w:r>
      <w:r>
        <w:rPr/>
        <w:t>cent)</w:t>
      </w:r>
      <w:r>
        <w:rPr>
          <w:spacing w:val="-18"/>
        </w:rPr>
        <w:t> </w:t>
      </w:r>
      <w:r>
        <w:rPr/>
        <w:t>of</w:t>
      </w:r>
      <w:r>
        <w:rPr>
          <w:spacing w:val="-17"/>
        </w:rPr>
        <w:t> </w:t>
      </w:r>
      <w:r>
        <w:rPr/>
        <w:t>employer</w:t>
      </w:r>
      <w:r>
        <w:rPr>
          <w:spacing w:val="-18"/>
        </w:rPr>
        <w:t> </w:t>
      </w:r>
      <w:r>
        <w:rPr/>
        <w:t>organisations</w:t>
      </w:r>
      <w:r>
        <w:rPr>
          <w:spacing w:val="-18"/>
        </w:rPr>
        <w:t> </w:t>
      </w:r>
      <w:r>
        <w:rPr/>
        <w:t>had</w:t>
      </w:r>
      <w:r>
        <w:rPr>
          <w:spacing w:val="-17"/>
        </w:rPr>
        <w:t> </w:t>
      </w:r>
      <w:r>
        <w:rPr/>
        <w:t>an</w:t>
      </w:r>
      <w:r>
        <w:rPr>
          <w:spacing w:val="-18"/>
        </w:rPr>
        <w:t> </w:t>
      </w:r>
      <w:r>
        <w:rPr/>
        <w:t>internal</w:t>
      </w:r>
      <w:r>
        <w:rPr>
          <w:spacing w:val="-17"/>
        </w:rPr>
        <w:t> </w:t>
      </w:r>
      <w:r>
        <w:rPr/>
        <w:t>Human</w:t>
      </w:r>
      <w:r>
        <w:rPr>
          <w:spacing w:val="-18"/>
        </w:rPr>
        <w:t> </w:t>
      </w:r>
      <w:r>
        <w:rPr/>
        <w:t>Resources</w:t>
      </w:r>
      <w:r>
        <w:rPr>
          <w:spacing w:val="-17"/>
        </w:rPr>
        <w:t> </w:t>
      </w:r>
      <w:r>
        <w:rPr/>
        <w:t>(HR) or Personnel department that deals with personnel issues, compared with 67 per cent</w:t>
      </w:r>
      <w:r>
        <w:rPr>
          <w:spacing w:val="-14"/>
        </w:rPr>
        <w:t> </w:t>
      </w:r>
      <w:r>
        <w:rPr/>
        <w:t>in</w:t>
      </w:r>
      <w:r>
        <w:rPr>
          <w:spacing w:val="-13"/>
        </w:rPr>
        <w:t> </w:t>
      </w:r>
      <w:r>
        <w:rPr/>
        <w:t>2016.</w:t>
      </w:r>
      <w:r>
        <w:rPr>
          <w:spacing w:val="-13"/>
        </w:rPr>
        <w:t> </w:t>
      </w:r>
      <w:r>
        <w:rPr/>
        <w:t>One</w:t>
      </w:r>
      <w:r>
        <w:rPr>
          <w:spacing w:val="-13"/>
        </w:rPr>
        <w:t> </w:t>
      </w:r>
      <w:r>
        <w:rPr/>
        <w:t>quarter</w:t>
      </w:r>
      <w:r>
        <w:rPr>
          <w:spacing w:val="-13"/>
        </w:rPr>
        <w:t> </w:t>
      </w:r>
      <w:r>
        <w:rPr/>
        <w:t>(23</w:t>
      </w:r>
      <w:r>
        <w:rPr>
          <w:spacing w:val="-14"/>
        </w:rPr>
        <w:t> </w:t>
      </w:r>
      <w:r>
        <w:rPr/>
        <w:t>per</w:t>
      </w:r>
      <w:r>
        <w:rPr>
          <w:spacing w:val="-14"/>
        </w:rPr>
        <w:t> </w:t>
      </w:r>
      <w:r>
        <w:rPr/>
        <w:t>cent)</w:t>
      </w:r>
      <w:r>
        <w:rPr>
          <w:spacing w:val="-14"/>
        </w:rPr>
        <w:t> </w:t>
      </w:r>
      <w:r>
        <w:rPr/>
        <w:t>had</w:t>
      </w:r>
      <w:r>
        <w:rPr>
          <w:spacing w:val="-14"/>
        </w:rPr>
        <w:t> </w:t>
      </w:r>
      <w:r>
        <w:rPr/>
        <w:t>an</w:t>
      </w:r>
      <w:r>
        <w:rPr>
          <w:spacing w:val="-13"/>
        </w:rPr>
        <w:t> </w:t>
      </w:r>
      <w:r>
        <w:rPr/>
        <w:t>internal</w:t>
      </w:r>
      <w:r>
        <w:rPr>
          <w:spacing w:val="-14"/>
        </w:rPr>
        <w:t> </w:t>
      </w:r>
      <w:r>
        <w:rPr/>
        <w:t>legal</w:t>
      </w:r>
      <w:r>
        <w:rPr>
          <w:spacing w:val="-14"/>
        </w:rPr>
        <w:t> </w:t>
      </w:r>
      <w:r>
        <w:rPr/>
        <w:t>department</w:t>
      </w:r>
      <w:r>
        <w:rPr>
          <w:spacing w:val="-14"/>
        </w:rPr>
        <w:t> </w:t>
      </w:r>
      <w:r>
        <w:rPr/>
        <w:t>that</w:t>
      </w:r>
      <w:r>
        <w:rPr>
          <w:spacing w:val="-14"/>
        </w:rPr>
        <w:t> </w:t>
      </w:r>
      <w:r>
        <w:rPr/>
        <w:t>deals with personnel or employment issues, while three in ten (28 per cent) were members of an Employer’s or Trade Association. Around one in six (17 per cent) had active trade unions or staff associations in the workplace.</w:t>
      </w:r>
    </w:p>
    <w:p>
      <w:pPr>
        <w:pStyle w:val="BodyText"/>
        <w:spacing w:line="259" w:lineRule="auto" w:before="157"/>
        <w:ind w:left="1337" w:right="1473"/>
        <w:jc w:val="both"/>
      </w:pPr>
      <w:r>
        <w:rPr/>
        <w:t>Employers</w:t>
      </w:r>
      <w:r>
        <w:rPr>
          <w:spacing w:val="-2"/>
        </w:rPr>
        <w:t> </w:t>
      </w:r>
      <w:r>
        <w:rPr/>
        <w:t>in</w:t>
      </w:r>
      <w:r>
        <w:rPr>
          <w:spacing w:val="-2"/>
        </w:rPr>
        <w:t> </w:t>
      </w:r>
      <w:r>
        <w:rPr/>
        <w:t>the</w:t>
      </w:r>
      <w:r>
        <w:rPr>
          <w:spacing w:val="-4"/>
        </w:rPr>
        <w:t> </w:t>
      </w:r>
      <w:r>
        <w:rPr/>
        <w:t>ET</w:t>
      </w:r>
      <w:r>
        <w:rPr>
          <w:spacing w:val="-3"/>
        </w:rPr>
        <w:t> </w:t>
      </w:r>
      <w:r>
        <w:rPr/>
        <w:t>survey</w:t>
      </w:r>
      <w:r>
        <w:rPr>
          <w:spacing w:val="-3"/>
        </w:rPr>
        <w:t> </w:t>
      </w:r>
      <w:r>
        <w:rPr/>
        <w:t>were</w:t>
      </w:r>
      <w:r>
        <w:rPr>
          <w:spacing w:val="-2"/>
        </w:rPr>
        <w:t> </w:t>
      </w:r>
      <w:r>
        <w:rPr/>
        <w:t>much</w:t>
      </w:r>
      <w:r>
        <w:rPr>
          <w:spacing w:val="-3"/>
        </w:rPr>
        <w:t> </w:t>
      </w:r>
      <w:r>
        <w:rPr/>
        <w:t>less</w:t>
      </w:r>
      <w:r>
        <w:rPr>
          <w:spacing w:val="-2"/>
        </w:rPr>
        <w:t> </w:t>
      </w:r>
      <w:r>
        <w:rPr/>
        <w:t>likely</w:t>
      </w:r>
      <w:r>
        <w:rPr>
          <w:spacing w:val="-2"/>
        </w:rPr>
        <w:t> </w:t>
      </w:r>
      <w:r>
        <w:rPr/>
        <w:t>to</w:t>
      </w:r>
      <w:r>
        <w:rPr>
          <w:spacing w:val="-4"/>
        </w:rPr>
        <w:t> </w:t>
      </w:r>
      <w:r>
        <w:rPr/>
        <w:t>have</w:t>
      </w:r>
      <w:r>
        <w:rPr>
          <w:spacing w:val="-3"/>
        </w:rPr>
        <w:t> </w:t>
      </w:r>
      <w:r>
        <w:rPr/>
        <w:t>a</w:t>
      </w:r>
      <w:r>
        <w:rPr>
          <w:spacing w:val="-4"/>
        </w:rPr>
        <w:t> </w:t>
      </w:r>
      <w:r>
        <w:rPr/>
        <w:t>formal</w:t>
      </w:r>
      <w:r>
        <w:rPr>
          <w:spacing w:val="-3"/>
        </w:rPr>
        <w:t> </w:t>
      </w:r>
      <w:r>
        <w:rPr/>
        <w:t>HR</w:t>
      </w:r>
      <w:r>
        <w:rPr>
          <w:spacing w:val="-5"/>
        </w:rPr>
        <w:t> </w:t>
      </w:r>
      <w:r>
        <w:rPr/>
        <w:t>department than those in the EC survey (52 per cent compared with 71 per cent), likely a reflection of some of the differences in organisation size when comparing the two samples we have noted above.</w:t>
      </w:r>
    </w:p>
    <w:p>
      <w:pPr>
        <w:pStyle w:val="BodyText"/>
        <w:spacing w:line="259" w:lineRule="auto" w:before="160"/>
        <w:ind w:left="1336" w:right="1475"/>
        <w:jc w:val="both"/>
      </w:pPr>
      <w:r>
        <w:rPr/>
        <w:t>Nearly all (95 per cent) employers reported that, within their own organisation, they were the individuals who normally deal with employment disputes – this is consistent with the 2016 survey, when the figure was 89 per cent.</w:t>
      </w:r>
    </w:p>
    <w:p>
      <w:pPr>
        <w:pStyle w:val="Heading3"/>
        <w:numPr>
          <w:ilvl w:val="1"/>
          <w:numId w:val="2"/>
        </w:numPr>
        <w:tabs>
          <w:tab w:pos="1973" w:val="left" w:leader="none"/>
        </w:tabs>
        <w:spacing w:line="240" w:lineRule="auto" w:before="159" w:after="0"/>
        <w:ind w:left="1972" w:right="0" w:hanging="637"/>
        <w:jc w:val="both"/>
      </w:pPr>
      <w:bookmarkStart w:name="13.3  Profile of representatives" w:id="155"/>
      <w:bookmarkEnd w:id="155"/>
      <w:r>
        <w:rPr>
          <w:b w:val="0"/>
        </w:rPr>
      </w:r>
      <w:bookmarkStart w:name="_bookmark37" w:id="156"/>
      <w:bookmarkEnd w:id="156"/>
      <w:r>
        <w:rPr/>
        <w:t>Pr</w:t>
      </w:r>
      <w:r>
        <w:rPr/>
        <w:t>ofile</w:t>
      </w:r>
      <w:r>
        <w:rPr>
          <w:spacing w:val="-4"/>
        </w:rPr>
        <w:t> </w:t>
      </w:r>
      <w:r>
        <w:rPr/>
        <w:t>of</w:t>
      </w:r>
      <w:r>
        <w:rPr>
          <w:spacing w:val="-3"/>
        </w:rPr>
        <w:t> </w:t>
      </w:r>
      <w:r>
        <w:rPr>
          <w:spacing w:val="-2"/>
        </w:rPr>
        <w:t>representatives</w:t>
      </w:r>
    </w:p>
    <w:p>
      <w:pPr>
        <w:pStyle w:val="BodyText"/>
        <w:spacing w:line="259" w:lineRule="auto" w:before="120"/>
        <w:ind w:left="1336" w:right="1473"/>
        <w:jc w:val="both"/>
      </w:pPr>
      <w:r>
        <w:rPr/>
        <w:t>In cases where a claimant or employer were selected for the survey, but a representative was listed on Acas’ MI records as dealing with the case on their behalf,</w:t>
      </w:r>
      <w:r>
        <w:rPr>
          <w:spacing w:val="-18"/>
        </w:rPr>
        <w:t> </w:t>
      </w:r>
      <w:r>
        <w:rPr/>
        <w:t>the</w:t>
      </w:r>
      <w:r>
        <w:rPr>
          <w:spacing w:val="-18"/>
        </w:rPr>
        <w:t> </w:t>
      </w:r>
      <w:r>
        <w:rPr/>
        <w:t>representative</w:t>
      </w:r>
      <w:r>
        <w:rPr>
          <w:spacing w:val="-17"/>
        </w:rPr>
        <w:t> </w:t>
      </w:r>
      <w:r>
        <w:rPr/>
        <w:t>was</w:t>
      </w:r>
      <w:r>
        <w:rPr>
          <w:spacing w:val="-18"/>
        </w:rPr>
        <w:t> </w:t>
      </w:r>
      <w:r>
        <w:rPr/>
        <w:t>approached</w:t>
      </w:r>
      <w:r>
        <w:rPr>
          <w:spacing w:val="-17"/>
        </w:rPr>
        <w:t> </w:t>
      </w:r>
      <w:r>
        <w:rPr/>
        <w:t>for</w:t>
      </w:r>
      <w:r>
        <w:rPr>
          <w:spacing w:val="-18"/>
        </w:rPr>
        <w:t> </w:t>
      </w:r>
      <w:r>
        <w:rPr/>
        <w:t>an</w:t>
      </w:r>
      <w:r>
        <w:rPr>
          <w:spacing w:val="-18"/>
        </w:rPr>
        <w:t> </w:t>
      </w:r>
      <w:r>
        <w:rPr/>
        <w:t>interview</w:t>
      </w:r>
      <w:r>
        <w:rPr>
          <w:spacing w:val="-17"/>
        </w:rPr>
        <w:t> </w:t>
      </w:r>
      <w:r>
        <w:rPr/>
        <w:t>rather</w:t>
      </w:r>
      <w:r>
        <w:rPr>
          <w:spacing w:val="-18"/>
        </w:rPr>
        <w:t> </w:t>
      </w:r>
      <w:r>
        <w:rPr/>
        <w:t>than</w:t>
      </w:r>
      <w:r>
        <w:rPr>
          <w:spacing w:val="-17"/>
        </w:rPr>
        <w:t> </w:t>
      </w:r>
      <w:r>
        <w:rPr/>
        <w:t>the</w:t>
      </w:r>
      <w:r>
        <w:rPr>
          <w:spacing w:val="-18"/>
        </w:rPr>
        <w:t> </w:t>
      </w:r>
      <w:r>
        <w:rPr/>
        <w:t>claimant or employer.</w:t>
      </w:r>
    </w:p>
    <w:p>
      <w:pPr>
        <w:pStyle w:val="BodyText"/>
        <w:spacing w:line="259" w:lineRule="auto" w:before="160"/>
        <w:ind w:left="1336" w:right="1473"/>
        <w:jc w:val="both"/>
      </w:pPr>
      <w:r>
        <w:rPr/>
        <w:t>All representatives were asked a series of profiling questions, the findings from which are outlined in the following sub-sections.</w:t>
      </w:r>
    </w:p>
    <w:p>
      <w:pPr>
        <w:pStyle w:val="Heading4"/>
        <w:numPr>
          <w:ilvl w:val="2"/>
          <w:numId w:val="33"/>
        </w:numPr>
        <w:tabs>
          <w:tab w:pos="2188" w:val="left" w:leader="none"/>
        </w:tabs>
        <w:spacing w:line="240" w:lineRule="auto" w:before="158" w:after="0"/>
        <w:ind w:left="2187" w:right="0" w:hanging="852"/>
        <w:jc w:val="both"/>
        <w:rPr>
          <w:i/>
        </w:rPr>
      </w:pPr>
      <w:bookmarkStart w:name="13.3.1 Claimant representatives" w:id="157"/>
      <w:bookmarkEnd w:id="157"/>
      <w:r>
        <w:rPr>
          <w:i/>
        </w:rPr>
        <w:t>C</w:t>
      </w:r>
      <w:r>
        <w:rPr>
          <w:i/>
        </w:rPr>
        <w:t>laimant</w:t>
      </w:r>
      <w:r>
        <w:rPr>
          <w:i/>
          <w:spacing w:val="-5"/>
        </w:rPr>
        <w:t> </w:t>
      </w:r>
      <w:r>
        <w:rPr>
          <w:i/>
          <w:spacing w:val="-2"/>
        </w:rPr>
        <w:t>representatives</w:t>
      </w:r>
    </w:p>
    <w:p>
      <w:pPr>
        <w:pStyle w:val="BodyText"/>
        <w:spacing w:line="259" w:lineRule="auto" w:before="61"/>
        <w:ind w:left="1336" w:right="1473"/>
        <w:jc w:val="both"/>
        <w:rPr>
          <w:sz w:val="13"/>
        </w:rPr>
      </w:pPr>
      <w:r>
        <w:rPr/>
        <w:t>Half of claimant representatives</w:t>
      </w:r>
      <w:r>
        <w:rPr>
          <w:spacing w:val="-1"/>
        </w:rPr>
        <w:t> </w:t>
      </w:r>
      <w:r>
        <w:rPr/>
        <w:t>were solicitors, barristers or another</w:t>
      </w:r>
      <w:r>
        <w:rPr>
          <w:spacing w:val="-1"/>
        </w:rPr>
        <w:t> </w:t>
      </w:r>
      <w:r>
        <w:rPr/>
        <w:t>type of</w:t>
      </w:r>
      <w:r>
        <w:rPr>
          <w:spacing w:val="-1"/>
        </w:rPr>
        <w:t> </w:t>
      </w:r>
      <w:r>
        <w:rPr/>
        <w:t>legal professional (53 per cent). Just under one fifth (16 per cent) were friends, neighbours,</w:t>
      </w:r>
      <w:r>
        <w:rPr>
          <w:spacing w:val="-5"/>
        </w:rPr>
        <w:t> </w:t>
      </w:r>
      <w:r>
        <w:rPr/>
        <w:t>spouses</w:t>
      </w:r>
      <w:r>
        <w:rPr>
          <w:spacing w:val="-6"/>
        </w:rPr>
        <w:t> </w:t>
      </w:r>
      <w:r>
        <w:rPr/>
        <w:t>or</w:t>
      </w:r>
      <w:r>
        <w:rPr>
          <w:spacing w:val="-6"/>
        </w:rPr>
        <w:t> </w:t>
      </w:r>
      <w:r>
        <w:rPr/>
        <w:t>partners,</w:t>
      </w:r>
      <w:r>
        <w:rPr>
          <w:spacing w:val="-5"/>
        </w:rPr>
        <w:t> </w:t>
      </w:r>
      <w:r>
        <w:rPr/>
        <w:t>while</w:t>
      </w:r>
      <w:r>
        <w:rPr>
          <w:spacing w:val="-5"/>
        </w:rPr>
        <w:t> </w:t>
      </w:r>
      <w:r>
        <w:rPr/>
        <w:t>less</w:t>
      </w:r>
      <w:r>
        <w:rPr>
          <w:spacing w:val="-4"/>
        </w:rPr>
        <w:t> </w:t>
      </w:r>
      <w:r>
        <w:rPr/>
        <w:t>than</w:t>
      </w:r>
      <w:r>
        <w:rPr>
          <w:spacing w:val="-4"/>
        </w:rPr>
        <w:t> </w:t>
      </w:r>
      <w:r>
        <w:rPr/>
        <w:t>a</w:t>
      </w:r>
      <w:r>
        <w:rPr>
          <w:spacing w:val="-6"/>
        </w:rPr>
        <w:t> </w:t>
      </w:r>
      <w:r>
        <w:rPr/>
        <w:t>tenth</w:t>
      </w:r>
      <w:r>
        <w:rPr>
          <w:spacing w:val="-5"/>
        </w:rPr>
        <w:t> </w:t>
      </w:r>
      <w:r>
        <w:rPr/>
        <w:t>(7</w:t>
      </w:r>
      <w:r>
        <w:rPr>
          <w:spacing w:val="-6"/>
        </w:rPr>
        <w:t> </w:t>
      </w:r>
      <w:r>
        <w:rPr/>
        <w:t>per</w:t>
      </w:r>
      <w:r>
        <w:rPr>
          <w:spacing w:val="-5"/>
        </w:rPr>
        <w:t> </w:t>
      </w:r>
      <w:r>
        <w:rPr/>
        <w:t>cent)</w:t>
      </w:r>
      <w:r>
        <w:rPr>
          <w:spacing w:val="-5"/>
        </w:rPr>
        <w:t> </w:t>
      </w:r>
      <w:r>
        <w:rPr/>
        <w:t>were</w:t>
      </w:r>
      <w:r>
        <w:rPr>
          <w:spacing w:val="-5"/>
        </w:rPr>
        <w:t> </w:t>
      </w:r>
      <w:r>
        <w:rPr/>
        <w:t>a</w:t>
      </w:r>
      <w:r>
        <w:rPr>
          <w:spacing w:val="-5"/>
        </w:rPr>
        <w:t> </w:t>
      </w:r>
      <w:r>
        <w:rPr/>
        <w:t>Trade Union or worker representative.</w:t>
      </w:r>
      <w:hyperlink w:history="true" w:anchor="_bookmark103">
        <w:r>
          <w:rPr>
            <w:position w:val="7"/>
            <w:sz w:val="13"/>
          </w:rPr>
          <w:t>25</w:t>
        </w:r>
      </w:hyperlink>
    </w:p>
    <w:p>
      <w:pPr>
        <w:pStyle w:val="BodyText"/>
        <w:spacing w:before="160"/>
        <w:ind w:left="1337" w:right="1472"/>
        <w:jc w:val="both"/>
      </w:pPr>
      <w:r>
        <w:rPr/>
        <w:t>This</w:t>
      </w:r>
      <w:r>
        <w:rPr>
          <w:spacing w:val="-12"/>
        </w:rPr>
        <w:t> </w:t>
      </w:r>
      <w:r>
        <w:rPr/>
        <w:t>differs</w:t>
      </w:r>
      <w:r>
        <w:rPr>
          <w:spacing w:val="-12"/>
        </w:rPr>
        <w:t> </w:t>
      </w:r>
      <w:r>
        <w:rPr/>
        <w:t>from</w:t>
      </w:r>
      <w:r>
        <w:rPr>
          <w:spacing w:val="-12"/>
        </w:rPr>
        <w:t> </w:t>
      </w:r>
      <w:r>
        <w:rPr/>
        <w:t>the</w:t>
      </w:r>
      <w:r>
        <w:rPr>
          <w:spacing w:val="-12"/>
        </w:rPr>
        <w:t> </w:t>
      </w:r>
      <w:r>
        <w:rPr/>
        <w:t>profile</w:t>
      </w:r>
      <w:r>
        <w:rPr>
          <w:spacing w:val="-11"/>
        </w:rPr>
        <w:t> </w:t>
      </w:r>
      <w:r>
        <w:rPr/>
        <w:t>of</w:t>
      </w:r>
      <w:r>
        <w:rPr>
          <w:spacing w:val="-11"/>
        </w:rPr>
        <w:t> </w:t>
      </w:r>
      <w:r>
        <w:rPr/>
        <w:t>claimant</w:t>
      </w:r>
      <w:r>
        <w:rPr>
          <w:spacing w:val="-11"/>
        </w:rPr>
        <w:t> </w:t>
      </w:r>
      <w:r>
        <w:rPr/>
        <w:t>representatives</w:t>
      </w:r>
      <w:r>
        <w:rPr>
          <w:spacing w:val="-12"/>
        </w:rPr>
        <w:t> </w:t>
      </w:r>
      <w:r>
        <w:rPr/>
        <w:t>in</w:t>
      </w:r>
      <w:r>
        <w:rPr>
          <w:spacing w:val="-11"/>
        </w:rPr>
        <w:t> </w:t>
      </w:r>
      <w:r>
        <w:rPr/>
        <w:t>the</w:t>
      </w:r>
      <w:r>
        <w:rPr>
          <w:spacing w:val="-12"/>
        </w:rPr>
        <w:t> </w:t>
      </w:r>
      <w:r>
        <w:rPr/>
        <w:t>2019</w:t>
      </w:r>
      <w:r>
        <w:rPr>
          <w:spacing w:val="-13"/>
        </w:rPr>
        <w:t> </w:t>
      </w:r>
      <w:r>
        <w:rPr/>
        <w:t>EC</w:t>
      </w:r>
      <w:r>
        <w:rPr>
          <w:spacing w:val="-12"/>
        </w:rPr>
        <w:t> </w:t>
      </w:r>
      <w:r>
        <w:rPr/>
        <w:t>survey,</w:t>
      </w:r>
      <w:r>
        <w:rPr>
          <w:spacing w:val="-12"/>
        </w:rPr>
        <w:t> </w:t>
      </w:r>
      <w:r>
        <w:rPr/>
        <w:t>with a higher level of official legal representation: while legal professionals were also the largest single group in the EC survey, they constituted one third of all representatives (33 per</w:t>
      </w:r>
      <w:r>
        <w:rPr>
          <w:spacing w:val="-1"/>
        </w:rPr>
        <w:t> </w:t>
      </w:r>
      <w:r>
        <w:rPr/>
        <w:t>cent) at that earlier stage. Compared with the</w:t>
      </w:r>
      <w:r>
        <w:rPr>
          <w:spacing w:val="-1"/>
        </w:rPr>
        <w:t> </w:t>
      </w:r>
      <w:r>
        <w:rPr/>
        <w:t>ET</w:t>
      </w:r>
      <w:r>
        <w:rPr>
          <w:spacing w:val="-1"/>
        </w:rPr>
        <w:t> </w:t>
      </w:r>
      <w:r>
        <w:rPr/>
        <w:t>sample, representatives at EC were more likely to be informal representatives such as friends of family (24 per cent) or Trade Union workers (18 per cent).</w:t>
      </w:r>
    </w:p>
    <w:p>
      <w:pPr>
        <w:pStyle w:val="BodyText"/>
      </w:pPr>
    </w:p>
    <w:p>
      <w:pPr>
        <w:pStyle w:val="BodyText"/>
        <w:spacing w:before="1"/>
        <w:ind w:left="1337" w:right="1473"/>
        <w:jc w:val="both"/>
      </w:pPr>
      <w:r>
        <w:rPr/>
        <w:t>This difference between EC and ET is more pronounced than in the previous wave of the surveys, although the proportion of representatives who are legal professionals has declined in both EC and ET since then. We should also note that the</w:t>
      </w:r>
      <w:r>
        <w:rPr>
          <w:spacing w:val="-3"/>
        </w:rPr>
        <w:t> </w:t>
      </w:r>
      <w:r>
        <w:rPr/>
        <w:t>sample</w:t>
      </w:r>
      <w:r>
        <w:rPr>
          <w:spacing w:val="-2"/>
        </w:rPr>
        <w:t> </w:t>
      </w:r>
      <w:r>
        <w:rPr/>
        <w:t>size</w:t>
      </w:r>
      <w:r>
        <w:rPr>
          <w:spacing w:val="-2"/>
        </w:rPr>
        <w:t> </w:t>
      </w:r>
      <w:r>
        <w:rPr/>
        <w:t>of</w:t>
      </w:r>
      <w:r>
        <w:rPr>
          <w:spacing w:val="-1"/>
        </w:rPr>
        <w:t> </w:t>
      </w:r>
      <w:r>
        <w:rPr/>
        <w:t>representatives</w:t>
      </w:r>
      <w:r>
        <w:rPr>
          <w:spacing w:val="-3"/>
        </w:rPr>
        <w:t> </w:t>
      </w:r>
      <w:r>
        <w:rPr/>
        <w:t>at</w:t>
      </w:r>
      <w:r>
        <w:rPr>
          <w:spacing w:val="-2"/>
        </w:rPr>
        <w:t> </w:t>
      </w:r>
      <w:r>
        <w:rPr/>
        <w:t>the</w:t>
      </w:r>
      <w:r>
        <w:rPr>
          <w:spacing w:val="-3"/>
        </w:rPr>
        <w:t> </w:t>
      </w:r>
      <w:r>
        <w:rPr/>
        <w:t>ET</w:t>
      </w:r>
      <w:r>
        <w:rPr>
          <w:spacing w:val="-3"/>
        </w:rPr>
        <w:t> </w:t>
      </w:r>
      <w:r>
        <w:rPr/>
        <w:t>stage</w:t>
      </w:r>
      <w:r>
        <w:rPr>
          <w:spacing w:val="-2"/>
        </w:rPr>
        <w:t> </w:t>
      </w:r>
      <w:r>
        <w:rPr/>
        <w:t>in</w:t>
      </w:r>
      <w:r>
        <w:rPr>
          <w:spacing w:val="-1"/>
        </w:rPr>
        <w:t> </w:t>
      </w:r>
      <w:r>
        <w:rPr/>
        <w:t>2019</w:t>
      </w:r>
      <w:r>
        <w:rPr>
          <w:spacing w:val="-3"/>
        </w:rPr>
        <w:t> </w:t>
      </w:r>
      <w:r>
        <w:rPr/>
        <w:t>was</w:t>
      </w:r>
      <w:r>
        <w:rPr>
          <w:spacing w:val="-2"/>
        </w:rPr>
        <w:t> </w:t>
      </w:r>
      <w:r>
        <w:rPr/>
        <w:t>92,</w:t>
      </w:r>
      <w:r>
        <w:rPr>
          <w:spacing w:val="-3"/>
        </w:rPr>
        <w:t> </w:t>
      </w:r>
      <w:r>
        <w:rPr/>
        <w:t>compared</w:t>
      </w:r>
      <w:r>
        <w:rPr>
          <w:spacing w:val="-2"/>
        </w:rPr>
        <w:t> </w:t>
      </w:r>
      <w:r>
        <w:rPr/>
        <w:t>with 319 in 2016 so care should be taken in making comparisons across waves. See table 20 for a full breakdown.</w:t>
      </w:r>
    </w:p>
    <w:p>
      <w:pPr>
        <w:spacing w:after="0"/>
        <w:jc w:val="both"/>
        <w:sectPr>
          <w:pgSz w:w="11910" w:h="16840"/>
          <w:pgMar w:header="0" w:footer="996" w:top="1340" w:bottom="1180" w:left="460" w:right="320"/>
        </w:sectPr>
      </w:pPr>
    </w:p>
    <w:p>
      <w:pPr>
        <w:pStyle w:val="Heading3"/>
        <w:spacing w:before="82"/>
      </w:pPr>
      <w:r>
        <w:rPr/>
        <w:t>Table</w:t>
      </w:r>
      <w:r>
        <w:rPr>
          <w:spacing w:val="-3"/>
        </w:rPr>
        <w:t> </w:t>
      </w:r>
      <w:r>
        <w:rPr/>
        <w:t>20.</w:t>
      </w:r>
      <w:r>
        <w:rPr>
          <w:spacing w:val="-4"/>
        </w:rPr>
        <w:t> </w:t>
      </w:r>
      <w:r>
        <w:rPr/>
        <w:t>Type</w:t>
      </w:r>
      <w:r>
        <w:rPr>
          <w:spacing w:val="-3"/>
        </w:rPr>
        <w:t> </w:t>
      </w:r>
      <w:r>
        <w:rPr/>
        <w:t>of</w:t>
      </w:r>
      <w:r>
        <w:rPr>
          <w:spacing w:val="-2"/>
        </w:rPr>
        <w:t> </w:t>
      </w:r>
      <w:r>
        <w:rPr/>
        <w:t>claimant</w:t>
      </w:r>
      <w:r>
        <w:rPr>
          <w:spacing w:val="-3"/>
        </w:rPr>
        <w:t> </w:t>
      </w:r>
      <w:r>
        <w:rPr>
          <w:spacing w:val="-2"/>
        </w:rPr>
        <w:t>representative</w:t>
      </w:r>
    </w:p>
    <w:p>
      <w:pPr>
        <w:pStyle w:val="BodyText"/>
        <w:spacing w:before="5"/>
        <w:rPr>
          <w:b/>
          <w:sz w:val="11"/>
        </w:rPr>
      </w:pPr>
      <w:r>
        <w:rPr/>
        <w:drawing>
          <wp:anchor distT="0" distB="0" distL="0" distR="0" allowOverlap="1" layoutInCell="1" locked="0" behindDoc="0" simplePos="0" relativeHeight="48">
            <wp:simplePos x="0" y="0"/>
            <wp:positionH relativeFrom="page">
              <wp:posOffset>1250123</wp:posOffset>
            </wp:positionH>
            <wp:positionV relativeFrom="paragraph">
              <wp:posOffset>103652</wp:posOffset>
            </wp:positionV>
            <wp:extent cx="5060483" cy="2530030"/>
            <wp:effectExtent l="0" t="0" r="0" b="0"/>
            <wp:wrapTopAndBottom/>
            <wp:docPr id="71" name="image36.png" descr="Table showing type of claiment representative "/>
            <wp:cNvGraphicFramePr>
              <a:graphicFrameLocks noChangeAspect="1"/>
            </wp:cNvGraphicFramePr>
            <a:graphic>
              <a:graphicData uri="http://schemas.openxmlformats.org/drawingml/2006/picture">
                <pic:pic>
                  <pic:nvPicPr>
                    <pic:cNvPr id="72" name="image36.png"/>
                    <pic:cNvPicPr/>
                  </pic:nvPicPr>
                  <pic:blipFill>
                    <a:blip r:embed="rId49" cstate="print"/>
                    <a:stretch>
                      <a:fillRect/>
                    </a:stretch>
                  </pic:blipFill>
                  <pic:spPr>
                    <a:xfrm>
                      <a:off x="0" y="0"/>
                      <a:ext cx="5060483" cy="2530030"/>
                    </a:xfrm>
                    <a:prstGeom prst="rect">
                      <a:avLst/>
                    </a:prstGeom>
                  </pic:spPr>
                </pic:pic>
              </a:graphicData>
            </a:graphic>
          </wp:anchor>
        </w:drawing>
      </w:r>
    </w:p>
    <w:p>
      <w:pPr>
        <w:pStyle w:val="BodyText"/>
        <w:spacing w:before="9"/>
        <w:rPr>
          <w:b/>
          <w:sz w:val="31"/>
        </w:rPr>
      </w:pPr>
    </w:p>
    <w:p>
      <w:pPr>
        <w:pStyle w:val="BodyText"/>
        <w:spacing w:before="1"/>
        <w:ind w:left="1337" w:right="1472"/>
        <w:jc w:val="both"/>
      </w:pPr>
      <w:r>
        <w:rPr/>
        <w:t>Six in ten claimant representatives (60 per cent) had more than five years’ experience dealing with ET claims, while 19 per cent had between 1-5 years’ experience. One in ten (10 per cent) had worked with ET claims for less than a year,</w:t>
      </w:r>
      <w:r>
        <w:rPr>
          <w:spacing w:val="-18"/>
        </w:rPr>
        <w:t> </w:t>
      </w:r>
      <w:r>
        <w:rPr/>
        <w:t>and</w:t>
      </w:r>
      <w:r>
        <w:rPr>
          <w:spacing w:val="-18"/>
        </w:rPr>
        <w:t> </w:t>
      </w:r>
      <w:r>
        <w:rPr/>
        <w:t>a</w:t>
      </w:r>
      <w:r>
        <w:rPr>
          <w:spacing w:val="-17"/>
        </w:rPr>
        <w:t> </w:t>
      </w:r>
      <w:r>
        <w:rPr/>
        <w:t>similar</w:t>
      </w:r>
      <w:r>
        <w:rPr>
          <w:spacing w:val="-18"/>
        </w:rPr>
        <w:t> </w:t>
      </w:r>
      <w:r>
        <w:rPr/>
        <w:t>proportion</w:t>
      </w:r>
      <w:r>
        <w:rPr>
          <w:spacing w:val="-17"/>
        </w:rPr>
        <w:t> </w:t>
      </w:r>
      <w:r>
        <w:rPr/>
        <w:t>(12</w:t>
      </w:r>
      <w:r>
        <w:rPr>
          <w:spacing w:val="-18"/>
        </w:rPr>
        <w:t> </w:t>
      </w:r>
      <w:r>
        <w:rPr/>
        <w:t>per</w:t>
      </w:r>
      <w:r>
        <w:rPr>
          <w:spacing w:val="-18"/>
        </w:rPr>
        <w:t> </w:t>
      </w:r>
      <w:r>
        <w:rPr/>
        <w:t>cent)</w:t>
      </w:r>
      <w:r>
        <w:rPr>
          <w:spacing w:val="-17"/>
        </w:rPr>
        <w:t> </w:t>
      </w:r>
      <w:r>
        <w:rPr/>
        <w:t>had</w:t>
      </w:r>
      <w:r>
        <w:rPr>
          <w:spacing w:val="-18"/>
        </w:rPr>
        <w:t> </w:t>
      </w:r>
      <w:r>
        <w:rPr/>
        <w:t>never</w:t>
      </w:r>
      <w:r>
        <w:rPr>
          <w:spacing w:val="-17"/>
        </w:rPr>
        <w:t> </w:t>
      </w:r>
      <w:r>
        <w:rPr/>
        <w:t>dealt</w:t>
      </w:r>
      <w:r>
        <w:rPr>
          <w:spacing w:val="-18"/>
        </w:rPr>
        <w:t> </w:t>
      </w:r>
      <w:r>
        <w:rPr/>
        <w:t>with</w:t>
      </w:r>
      <w:r>
        <w:rPr>
          <w:spacing w:val="-17"/>
        </w:rPr>
        <w:t> </w:t>
      </w:r>
      <w:r>
        <w:rPr/>
        <w:t>an</w:t>
      </w:r>
      <w:r>
        <w:rPr>
          <w:spacing w:val="-18"/>
        </w:rPr>
        <w:t> </w:t>
      </w:r>
      <w:r>
        <w:rPr/>
        <w:t>ET</w:t>
      </w:r>
      <w:r>
        <w:rPr>
          <w:spacing w:val="-18"/>
        </w:rPr>
        <w:t> </w:t>
      </w:r>
      <w:r>
        <w:rPr/>
        <w:t>claim</w:t>
      </w:r>
      <w:r>
        <w:rPr>
          <w:spacing w:val="-17"/>
        </w:rPr>
        <w:t> </w:t>
      </w:r>
      <w:r>
        <w:rPr/>
        <w:t>before. This broadly reflects the profile of claimant representatives in 2016.</w:t>
      </w:r>
    </w:p>
    <w:p>
      <w:pPr>
        <w:pStyle w:val="BodyText"/>
      </w:pPr>
    </w:p>
    <w:p>
      <w:pPr>
        <w:pStyle w:val="BodyText"/>
        <w:ind w:left="1337" w:right="1474"/>
        <w:jc w:val="both"/>
      </w:pPr>
      <w:r>
        <w:rPr/>
        <w:t>Four in ten (41 per cent) claimant representatives reported that they usually represent</w:t>
      </w:r>
      <w:r>
        <w:rPr>
          <w:spacing w:val="-4"/>
        </w:rPr>
        <w:t> </w:t>
      </w:r>
      <w:r>
        <w:rPr/>
        <w:t>claimants</w:t>
      </w:r>
      <w:r>
        <w:rPr>
          <w:spacing w:val="-4"/>
        </w:rPr>
        <w:t> </w:t>
      </w:r>
      <w:r>
        <w:rPr/>
        <w:t>in</w:t>
      </w:r>
      <w:r>
        <w:rPr>
          <w:spacing w:val="-5"/>
        </w:rPr>
        <w:t> </w:t>
      </w:r>
      <w:r>
        <w:rPr/>
        <w:t>ET</w:t>
      </w:r>
      <w:r>
        <w:rPr>
          <w:spacing w:val="-5"/>
        </w:rPr>
        <w:t> </w:t>
      </w:r>
      <w:r>
        <w:rPr/>
        <w:t>proceedings.</w:t>
      </w:r>
      <w:r>
        <w:rPr>
          <w:spacing w:val="-5"/>
        </w:rPr>
        <w:t> </w:t>
      </w:r>
      <w:r>
        <w:rPr/>
        <w:t>A</w:t>
      </w:r>
      <w:r>
        <w:rPr>
          <w:spacing w:val="-6"/>
        </w:rPr>
        <w:t> </w:t>
      </w:r>
      <w:r>
        <w:rPr/>
        <w:t>similar</w:t>
      </w:r>
      <w:r>
        <w:rPr>
          <w:spacing w:val="-4"/>
        </w:rPr>
        <w:t> </w:t>
      </w:r>
      <w:r>
        <w:rPr/>
        <w:t>proportion</w:t>
      </w:r>
      <w:r>
        <w:rPr>
          <w:spacing w:val="-4"/>
        </w:rPr>
        <w:t> </w:t>
      </w:r>
      <w:r>
        <w:rPr/>
        <w:t>(39</w:t>
      </w:r>
      <w:r>
        <w:rPr>
          <w:spacing w:val="-4"/>
        </w:rPr>
        <w:t> </w:t>
      </w:r>
      <w:r>
        <w:rPr/>
        <w:t>per</w:t>
      </w:r>
      <w:r>
        <w:rPr>
          <w:spacing w:val="-6"/>
        </w:rPr>
        <w:t> </w:t>
      </w:r>
      <w:r>
        <w:rPr/>
        <w:t>cent)</w:t>
      </w:r>
      <w:r>
        <w:rPr>
          <w:spacing w:val="-5"/>
        </w:rPr>
        <w:t> </w:t>
      </w:r>
      <w:r>
        <w:rPr/>
        <w:t>said</w:t>
      </w:r>
      <w:r>
        <w:rPr>
          <w:spacing w:val="-4"/>
        </w:rPr>
        <w:t> </w:t>
      </w:r>
      <w:r>
        <w:rPr/>
        <w:t>that they usually represent either a claimant or an employer. One in ten (13 per cent) reported that they have never represented either party before, and a slightly smaller proportion (7 per cent) reported that they usually represent an employer.</w:t>
      </w:r>
    </w:p>
    <w:p>
      <w:pPr>
        <w:pStyle w:val="BodyText"/>
      </w:pPr>
    </w:p>
    <w:p>
      <w:pPr>
        <w:pStyle w:val="BodyText"/>
        <w:ind w:left="1336" w:right="1474"/>
        <w:jc w:val="both"/>
      </w:pPr>
      <w:r>
        <w:rPr/>
        <w:t>Claimant representatives at the post ET conciliation stage were more experienced than</w:t>
      </w:r>
      <w:r>
        <w:rPr>
          <w:spacing w:val="-4"/>
        </w:rPr>
        <w:t> </w:t>
      </w:r>
      <w:r>
        <w:rPr/>
        <w:t>those</w:t>
      </w:r>
      <w:r>
        <w:rPr>
          <w:spacing w:val="-5"/>
        </w:rPr>
        <w:t> </w:t>
      </w:r>
      <w:r>
        <w:rPr/>
        <w:t>at</w:t>
      </w:r>
      <w:r>
        <w:rPr>
          <w:spacing w:val="-3"/>
        </w:rPr>
        <w:t> </w:t>
      </w:r>
      <w:r>
        <w:rPr/>
        <w:t>the</w:t>
      </w:r>
      <w:r>
        <w:rPr>
          <w:spacing w:val="-5"/>
        </w:rPr>
        <w:t> </w:t>
      </w:r>
      <w:r>
        <w:rPr/>
        <w:t>EC</w:t>
      </w:r>
      <w:r>
        <w:rPr>
          <w:spacing w:val="-4"/>
        </w:rPr>
        <w:t> </w:t>
      </w:r>
      <w:r>
        <w:rPr/>
        <w:t>notification</w:t>
      </w:r>
      <w:r>
        <w:rPr>
          <w:spacing w:val="-3"/>
        </w:rPr>
        <w:t> </w:t>
      </w:r>
      <w:r>
        <w:rPr/>
        <w:t>stage.</w:t>
      </w:r>
      <w:r>
        <w:rPr>
          <w:spacing w:val="-3"/>
        </w:rPr>
        <w:t> </w:t>
      </w:r>
      <w:r>
        <w:rPr/>
        <w:t>At</w:t>
      </w:r>
      <w:r>
        <w:rPr>
          <w:spacing w:val="-4"/>
        </w:rPr>
        <w:t> </w:t>
      </w:r>
      <w:r>
        <w:rPr/>
        <w:t>the</w:t>
      </w:r>
      <w:r>
        <w:rPr>
          <w:spacing w:val="-5"/>
        </w:rPr>
        <w:t> </w:t>
      </w:r>
      <w:r>
        <w:rPr/>
        <w:t>EC</w:t>
      </w:r>
      <w:r>
        <w:rPr>
          <w:spacing w:val="-4"/>
        </w:rPr>
        <w:t> </w:t>
      </w:r>
      <w:r>
        <w:rPr/>
        <w:t>stage,</w:t>
      </w:r>
      <w:r>
        <w:rPr>
          <w:spacing w:val="-4"/>
        </w:rPr>
        <w:t> </w:t>
      </w:r>
      <w:r>
        <w:rPr/>
        <w:t>there</w:t>
      </w:r>
      <w:r>
        <w:rPr>
          <w:spacing w:val="-4"/>
        </w:rPr>
        <w:t> </w:t>
      </w:r>
      <w:r>
        <w:rPr/>
        <w:t>were</w:t>
      </w:r>
      <w:r>
        <w:rPr>
          <w:spacing w:val="-4"/>
        </w:rPr>
        <w:t> </w:t>
      </w:r>
      <w:r>
        <w:rPr/>
        <w:t>more</w:t>
      </w:r>
      <w:r>
        <w:rPr>
          <w:spacing w:val="-4"/>
        </w:rPr>
        <w:t> </w:t>
      </w:r>
      <w:r>
        <w:rPr/>
        <w:t>claimant representatives who had never dealt with an ET claim before (28 per cent). Additionally,</w:t>
      </w:r>
      <w:r>
        <w:rPr>
          <w:spacing w:val="-3"/>
        </w:rPr>
        <w:t> </w:t>
      </w:r>
      <w:r>
        <w:rPr/>
        <w:t>representatives</w:t>
      </w:r>
      <w:r>
        <w:rPr>
          <w:spacing w:val="-3"/>
        </w:rPr>
        <w:t> </w:t>
      </w:r>
      <w:r>
        <w:rPr/>
        <w:t>at</w:t>
      </w:r>
      <w:r>
        <w:rPr>
          <w:spacing w:val="-4"/>
        </w:rPr>
        <w:t> </w:t>
      </w:r>
      <w:r>
        <w:rPr/>
        <w:t>the</w:t>
      </w:r>
      <w:r>
        <w:rPr>
          <w:spacing w:val="-5"/>
        </w:rPr>
        <w:t> </w:t>
      </w:r>
      <w:r>
        <w:rPr/>
        <w:t>EC</w:t>
      </w:r>
      <w:r>
        <w:rPr>
          <w:spacing w:val="-4"/>
        </w:rPr>
        <w:t> </w:t>
      </w:r>
      <w:r>
        <w:rPr/>
        <w:t>stage</w:t>
      </w:r>
      <w:r>
        <w:rPr>
          <w:spacing w:val="-5"/>
        </w:rPr>
        <w:t> </w:t>
      </w:r>
      <w:r>
        <w:rPr/>
        <w:t>were</w:t>
      </w:r>
      <w:r>
        <w:rPr>
          <w:spacing w:val="-4"/>
        </w:rPr>
        <w:t> </w:t>
      </w:r>
      <w:r>
        <w:rPr/>
        <w:t>significantly</w:t>
      </w:r>
      <w:r>
        <w:rPr>
          <w:spacing w:val="-3"/>
        </w:rPr>
        <w:t> </w:t>
      </w:r>
      <w:r>
        <w:rPr/>
        <w:t>more</w:t>
      </w:r>
      <w:r>
        <w:rPr>
          <w:spacing w:val="-4"/>
        </w:rPr>
        <w:t> </w:t>
      </w:r>
      <w:r>
        <w:rPr/>
        <w:t>likely</w:t>
      </w:r>
      <w:r>
        <w:rPr>
          <w:spacing w:val="-3"/>
        </w:rPr>
        <w:t> </w:t>
      </w:r>
      <w:r>
        <w:rPr/>
        <w:t>to</w:t>
      </w:r>
      <w:r>
        <w:rPr>
          <w:spacing w:val="-5"/>
        </w:rPr>
        <w:t> </w:t>
      </w:r>
      <w:r>
        <w:rPr/>
        <w:t>have had no previous experience in representing either a claimant or an employer (28 per cent compared to 13 per cent at the ET stage). See table 21 for a full </w:t>
      </w:r>
      <w:r>
        <w:rPr>
          <w:spacing w:val="-2"/>
        </w:rPr>
        <w:t>breakdown.</w:t>
      </w:r>
    </w:p>
    <w:p>
      <w:pPr>
        <w:pStyle w:val="BodyText"/>
        <w:spacing w:before="1"/>
      </w:pPr>
    </w:p>
    <w:p>
      <w:pPr>
        <w:pStyle w:val="Heading3"/>
        <w:ind w:left="1336"/>
      </w:pPr>
      <w:r>
        <w:rPr/>
        <w:t>Table</w:t>
      </w:r>
      <w:r>
        <w:rPr>
          <w:spacing w:val="-17"/>
        </w:rPr>
        <w:t> </w:t>
      </w:r>
      <w:r>
        <w:rPr/>
        <w:t>21.</w:t>
      </w:r>
      <w:r>
        <w:rPr>
          <w:spacing w:val="-15"/>
        </w:rPr>
        <w:t> </w:t>
      </w:r>
      <w:r>
        <w:rPr/>
        <w:t>Length</w:t>
      </w:r>
      <w:r>
        <w:rPr>
          <w:spacing w:val="-14"/>
        </w:rPr>
        <w:t> </w:t>
      </w:r>
      <w:r>
        <w:rPr/>
        <w:t>of</w:t>
      </w:r>
      <w:r>
        <w:rPr>
          <w:spacing w:val="-14"/>
        </w:rPr>
        <w:t> </w:t>
      </w:r>
      <w:r>
        <w:rPr/>
        <w:t>time</w:t>
      </w:r>
      <w:r>
        <w:rPr>
          <w:spacing w:val="-14"/>
        </w:rPr>
        <w:t> </w:t>
      </w:r>
      <w:r>
        <w:rPr/>
        <w:t>claimant</w:t>
      </w:r>
      <w:r>
        <w:rPr>
          <w:spacing w:val="-13"/>
        </w:rPr>
        <w:t> </w:t>
      </w:r>
      <w:r>
        <w:rPr/>
        <w:t>representatives</w:t>
      </w:r>
      <w:r>
        <w:rPr>
          <w:spacing w:val="-14"/>
        </w:rPr>
        <w:t> </w:t>
      </w:r>
      <w:r>
        <w:rPr/>
        <w:t>had</w:t>
      </w:r>
      <w:r>
        <w:rPr>
          <w:spacing w:val="-15"/>
        </w:rPr>
        <w:t> </w:t>
      </w:r>
      <w:r>
        <w:rPr/>
        <w:t>dealt</w:t>
      </w:r>
      <w:r>
        <w:rPr>
          <w:spacing w:val="-14"/>
        </w:rPr>
        <w:t> </w:t>
      </w:r>
      <w:r>
        <w:rPr/>
        <w:t>with</w:t>
      </w:r>
      <w:r>
        <w:rPr>
          <w:spacing w:val="-13"/>
        </w:rPr>
        <w:t> </w:t>
      </w:r>
      <w:r>
        <w:rPr/>
        <w:t>ET</w:t>
      </w:r>
      <w:r>
        <w:rPr>
          <w:spacing w:val="-14"/>
        </w:rPr>
        <w:t> </w:t>
      </w:r>
      <w:r>
        <w:rPr>
          <w:spacing w:val="-2"/>
        </w:rPr>
        <w:t>claims</w:t>
      </w:r>
    </w:p>
    <w:p>
      <w:pPr>
        <w:pStyle w:val="BodyText"/>
        <w:spacing w:before="8"/>
        <w:rPr>
          <w:b/>
          <w:sz w:val="7"/>
        </w:rPr>
      </w:pPr>
      <w:r>
        <w:rPr/>
        <w:drawing>
          <wp:anchor distT="0" distB="0" distL="0" distR="0" allowOverlap="1" layoutInCell="1" locked="0" behindDoc="0" simplePos="0" relativeHeight="49">
            <wp:simplePos x="0" y="0"/>
            <wp:positionH relativeFrom="page">
              <wp:posOffset>1297559</wp:posOffset>
            </wp:positionH>
            <wp:positionV relativeFrom="paragraph">
              <wp:posOffset>74785</wp:posOffset>
            </wp:positionV>
            <wp:extent cx="4967328" cy="1861566"/>
            <wp:effectExtent l="0" t="0" r="0" b="0"/>
            <wp:wrapTopAndBottom/>
            <wp:docPr id="73" name="image37.png" descr="Table showing length of time claimant representatives had dealt with ET claims "/>
            <wp:cNvGraphicFramePr>
              <a:graphicFrameLocks noChangeAspect="1"/>
            </wp:cNvGraphicFramePr>
            <a:graphic>
              <a:graphicData uri="http://schemas.openxmlformats.org/drawingml/2006/picture">
                <pic:pic>
                  <pic:nvPicPr>
                    <pic:cNvPr id="74" name="image37.png"/>
                    <pic:cNvPicPr/>
                  </pic:nvPicPr>
                  <pic:blipFill>
                    <a:blip r:embed="rId50" cstate="print"/>
                    <a:stretch>
                      <a:fillRect/>
                    </a:stretch>
                  </pic:blipFill>
                  <pic:spPr>
                    <a:xfrm>
                      <a:off x="0" y="0"/>
                      <a:ext cx="4967328" cy="1861566"/>
                    </a:xfrm>
                    <a:prstGeom prst="rect">
                      <a:avLst/>
                    </a:prstGeom>
                  </pic:spPr>
                </pic:pic>
              </a:graphicData>
            </a:graphic>
          </wp:anchor>
        </w:drawing>
      </w:r>
    </w:p>
    <w:p>
      <w:pPr>
        <w:spacing w:after="0"/>
        <w:rPr>
          <w:sz w:val="7"/>
        </w:rPr>
        <w:sectPr>
          <w:pgSz w:w="11910" w:h="16840"/>
          <w:pgMar w:header="0" w:footer="996" w:top="1340" w:bottom="1180" w:left="460" w:right="320"/>
        </w:sectPr>
      </w:pPr>
    </w:p>
    <w:p>
      <w:pPr>
        <w:pStyle w:val="BodyText"/>
        <w:spacing w:before="82"/>
        <w:ind w:left="1337" w:right="1474"/>
        <w:jc w:val="both"/>
      </w:pPr>
      <w:r>
        <w:rPr/>
        <w:t>More than eight in ten (84 per cent) claimant representatives were appointed before</w:t>
      </w:r>
      <w:r>
        <w:rPr>
          <w:spacing w:val="-13"/>
        </w:rPr>
        <w:t> </w:t>
      </w:r>
      <w:r>
        <w:rPr/>
        <w:t>the</w:t>
      </w:r>
      <w:r>
        <w:rPr>
          <w:spacing w:val="-13"/>
        </w:rPr>
        <w:t> </w:t>
      </w:r>
      <w:r>
        <w:rPr/>
        <w:t>ET</w:t>
      </w:r>
      <w:r>
        <w:rPr>
          <w:spacing w:val="-13"/>
        </w:rPr>
        <w:t> </w:t>
      </w:r>
      <w:r>
        <w:rPr/>
        <w:t>claim</w:t>
      </w:r>
      <w:r>
        <w:rPr>
          <w:spacing w:val="-13"/>
        </w:rPr>
        <w:t> </w:t>
      </w:r>
      <w:r>
        <w:rPr/>
        <w:t>was</w:t>
      </w:r>
      <w:r>
        <w:rPr>
          <w:spacing w:val="-13"/>
        </w:rPr>
        <w:t> </w:t>
      </w:r>
      <w:r>
        <w:rPr/>
        <w:t>submitted.</w:t>
      </w:r>
      <w:r>
        <w:rPr>
          <w:spacing w:val="-14"/>
        </w:rPr>
        <w:t> </w:t>
      </w:r>
      <w:r>
        <w:rPr/>
        <w:t>Nine</w:t>
      </w:r>
      <w:r>
        <w:rPr>
          <w:spacing w:val="-13"/>
        </w:rPr>
        <w:t> </w:t>
      </w:r>
      <w:r>
        <w:rPr/>
        <w:t>per</w:t>
      </w:r>
      <w:r>
        <w:rPr>
          <w:spacing w:val="-13"/>
        </w:rPr>
        <w:t> </w:t>
      </w:r>
      <w:r>
        <w:rPr/>
        <w:t>cent</w:t>
      </w:r>
      <w:r>
        <w:rPr>
          <w:spacing w:val="-14"/>
        </w:rPr>
        <w:t> </w:t>
      </w:r>
      <w:r>
        <w:rPr/>
        <w:t>were</w:t>
      </w:r>
      <w:r>
        <w:rPr>
          <w:spacing w:val="-13"/>
        </w:rPr>
        <w:t> </w:t>
      </w:r>
      <w:r>
        <w:rPr/>
        <w:t>appointed</w:t>
      </w:r>
      <w:r>
        <w:rPr>
          <w:spacing w:val="-13"/>
        </w:rPr>
        <w:t> </w:t>
      </w:r>
      <w:r>
        <w:rPr/>
        <w:t>after</w:t>
      </w:r>
      <w:r>
        <w:rPr>
          <w:spacing w:val="-14"/>
        </w:rPr>
        <w:t> </w:t>
      </w:r>
      <w:r>
        <w:rPr/>
        <w:t>the</w:t>
      </w:r>
      <w:r>
        <w:rPr>
          <w:spacing w:val="-13"/>
        </w:rPr>
        <w:t> </w:t>
      </w:r>
      <w:r>
        <w:rPr/>
        <w:t>ET</w:t>
      </w:r>
      <w:r>
        <w:rPr>
          <w:spacing w:val="-13"/>
        </w:rPr>
        <w:t> </w:t>
      </w:r>
      <w:r>
        <w:rPr/>
        <w:t>claim had already been submitted and five per cent were appointed at the point the ET claim was submitted.</w:t>
      </w:r>
    </w:p>
    <w:p>
      <w:pPr>
        <w:pStyle w:val="BodyText"/>
        <w:spacing w:before="1"/>
      </w:pPr>
    </w:p>
    <w:p>
      <w:pPr>
        <w:pStyle w:val="Heading4"/>
        <w:numPr>
          <w:ilvl w:val="2"/>
          <w:numId w:val="33"/>
        </w:numPr>
        <w:tabs>
          <w:tab w:pos="2189" w:val="left" w:leader="none"/>
        </w:tabs>
        <w:spacing w:line="240" w:lineRule="auto" w:before="1" w:after="0"/>
        <w:ind w:left="2188" w:right="0" w:hanging="852"/>
        <w:jc w:val="both"/>
        <w:rPr>
          <w:i/>
        </w:rPr>
      </w:pPr>
      <w:bookmarkStart w:name="13.3.2 Employer representatives" w:id="158"/>
      <w:bookmarkEnd w:id="158"/>
      <w:r>
        <w:rPr>
          <w:i/>
        </w:rPr>
        <w:t>E</w:t>
      </w:r>
      <w:r>
        <w:rPr>
          <w:i/>
        </w:rPr>
        <w:t>mployer</w:t>
      </w:r>
      <w:r>
        <w:rPr>
          <w:i/>
          <w:spacing w:val="-4"/>
        </w:rPr>
        <w:t> </w:t>
      </w:r>
      <w:r>
        <w:rPr>
          <w:i/>
          <w:spacing w:val="-2"/>
        </w:rPr>
        <w:t>representatives</w:t>
      </w:r>
    </w:p>
    <w:p>
      <w:pPr>
        <w:pStyle w:val="BodyText"/>
        <w:spacing w:before="59"/>
        <w:ind w:left="1337" w:right="1475"/>
        <w:jc w:val="both"/>
      </w:pPr>
      <w:r>
        <w:rPr/>
        <w:t>More</w:t>
      </w:r>
      <w:r>
        <w:rPr>
          <w:spacing w:val="-8"/>
        </w:rPr>
        <w:t> </w:t>
      </w:r>
      <w:r>
        <w:rPr/>
        <w:t>than</w:t>
      </w:r>
      <w:r>
        <w:rPr>
          <w:spacing w:val="-9"/>
        </w:rPr>
        <w:t> </w:t>
      </w:r>
      <w:r>
        <w:rPr/>
        <w:t>eight</w:t>
      </w:r>
      <w:r>
        <w:rPr>
          <w:spacing w:val="-8"/>
        </w:rPr>
        <w:t> </w:t>
      </w:r>
      <w:r>
        <w:rPr/>
        <w:t>in</w:t>
      </w:r>
      <w:r>
        <w:rPr>
          <w:spacing w:val="-9"/>
        </w:rPr>
        <w:t> </w:t>
      </w:r>
      <w:r>
        <w:rPr/>
        <w:t>ten</w:t>
      </w:r>
      <w:r>
        <w:rPr>
          <w:spacing w:val="-8"/>
        </w:rPr>
        <w:t> </w:t>
      </w:r>
      <w:r>
        <w:rPr/>
        <w:t>employer</w:t>
      </w:r>
      <w:r>
        <w:rPr>
          <w:spacing w:val="-8"/>
        </w:rPr>
        <w:t> </w:t>
      </w:r>
      <w:r>
        <w:rPr/>
        <w:t>representatives</w:t>
      </w:r>
      <w:r>
        <w:rPr>
          <w:spacing w:val="-9"/>
        </w:rPr>
        <w:t> </w:t>
      </w:r>
      <w:r>
        <w:rPr/>
        <w:t>were</w:t>
      </w:r>
      <w:r>
        <w:rPr>
          <w:spacing w:val="-8"/>
        </w:rPr>
        <w:t> </w:t>
      </w:r>
      <w:r>
        <w:rPr/>
        <w:t>solicitors,</w:t>
      </w:r>
      <w:r>
        <w:rPr>
          <w:spacing w:val="-9"/>
        </w:rPr>
        <w:t> </w:t>
      </w:r>
      <w:r>
        <w:rPr/>
        <w:t>barristers</w:t>
      </w:r>
      <w:r>
        <w:rPr>
          <w:spacing w:val="-8"/>
        </w:rPr>
        <w:t> </w:t>
      </w:r>
      <w:r>
        <w:rPr/>
        <w:t>or</w:t>
      </w:r>
      <w:r>
        <w:rPr>
          <w:spacing w:val="-9"/>
        </w:rPr>
        <w:t> </w:t>
      </w:r>
      <w:r>
        <w:rPr/>
        <w:t>other legal</w:t>
      </w:r>
      <w:r>
        <w:rPr>
          <w:spacing w:val="-7"/>
        </w:rPr>
        <w:t> </w:t>
      </w:r>
      <w:r>
        <w:rPr/>
        <w:t>professionals</w:t>
      </w:r>
      <w:r>
        <w:rPr>
          <w:spacing w:val="-6"/>
        </w:rPr>
        <w:t> </w:t>
      </w:r>
      <w:r>
        <w:rPr/>
        <w:t>(84</w:t>
      </w:r>
      <w:r>
        <w:rPr>
          <w:spacing w:val="-6"/>
        </w:rPr>
        <w:t> </w:t>
      </w:r>
      <w:r>
        <w:rPr/>
        <w:t>per</w:t>
      </w:r>
      <w:r>
        <w:rPr>
          <w:spacing w:val="-6"/>
        </w:rPr>
        <w:t> </w:t>
      </w:r>
      <w:r>
        <w:rPr/>
        <w:t>cent).</w:t>
      </w:r>
      <w:r>
        <w:rPr>
          <w:spacing w:val="-7"/>
        </w:rPr>
        <w:t> </w:t>
      </w:r>
      <w:r>
        <w:rPr/>
        <w:t>Repeating</w:t>
      </w:r>
      <w:r>
        <w:rPr>
          <w:spacing w:val="-6"/>
        </w:rPr>
        <w:t> </w:t>
      </w:r>
      <w:r>
        <w:rPr/>
        <w:t>a</w:t>
      </w:r>
      <w:r>
        <w:rPr>
          <w:spacing w:val="-6"/>
        </w:rPr>
        <w:t> </w:t>
      </w:r>
      <w:r>
        <w:rPr/>
        <w:t>pattern</w:t>
      </w:r>
      <w:r>
        <w:rPr>
          <w:spacing w:val="-5"/>
        </w:rPr>
        <w:t> </w:t>
      </w:r>
      <w:r>
        <w:rPr/>
        <w:t>observed</w:t>
      </w:r>
      <w:r>
        <w:rPr>
          <w:spacing w:val="-6"/>
        </w:rPr>
        <w:t> </w:t>
      </w:r>
      <w:r>
        <w:rPr/>
        <w:t>in</w:t>
      </w:r>
      <w:r>
        <w:rPr>
          <w:spacing w:val="-5"/>
        </w:rPr>
        <w:t> </w:t>
      </w:r>
      <w:r>
        <w:rPr/>
        <w:t>the</w:t>
      </w:r>
      <w:r>
        <w:rPr>
          <w:spacing w:val="-8"/>
        </w:rPr>
        <w:t> </w:t>
      </w:r>
      <w:r>
        <w:rPr/>
        <w:t>first</w:t>
      </w:r>
      <w:r>
        <w:rPr>
          <w:spacing w:val="-5"/>
        </w:rPr>
        <w:t> </w:t>
      </w:r>
      <w:r>
        <w:rPr/>
        <w:t>wave</w:t>
      </w:r>
      <w:r>
        <w:rPr>
          <w:spacing w:val="-7"/>
        </w:rPr>
        <w:t> </w:t>
      </w:r>
      <w:r>
        <w:rPr/>
        <w:t>of the surveys, employer representatives were almost twice</w:t>
      </w:r>
      <w:r>
        <w:rPr>
          <w:spacing w:val="-1"/>
        </w:rPr>
        <w:t> </w:t>
      </w:r>
      <w:r>
        <w:rPr/>
        <w:t>as likely to be solicitors, barristers</w:t>
      </w:r>
      <w:r>
        <w:rPr>
          <w:spacing w:val="-4"/>
        </w:rPr>
        <w:t> </w:t>
      </w:r>
      <w:r>
        <w:rPr/>
        <w:t>or</w:t>
      </w:r>
      <w:r>
        <w:rPr>
          <w:spacing w:val="-6"/>
        </w:rPr>
        <w:t> </w:t>
      </w:r>
      <w:r>
        <w:rPr/>
        <w:t>other</w:t>
      </w:r>
      <w:r>
        <w:rPr>
          <w:spacing w:val="-6"/>
        </w:rPr>
        <w:t> </w:t>
      </w:r>
      <w:r>
        <w:rPr/>
        <w:t>kind</w:t>
      </w:r>
      <w:r>
        <w:rPr>
          <w:spacing w:val="-6"/>
        </w:rPr>
        <w:t> </w:t>
      </w:r>
      <w:r>
        <w:rPr/>
        <w:t>of</w:t>
      </w:r>
      <w:r>
        <w:rPr>
          <w:spacing w:val="-5"/>
        </w:rPr>
        <w:t> </w:t>
      </w:r>
      <w:r>
        <w:rPr/>
        <w:t>lawyers</w:t>
      </w:r>
      <w:r>
        <w:rPr>
          <w:spacing w:val="-6"/>
        </w:rPr>
        <w:t> </w:t>
      </w:r>
      <w:r>
        <w:rPr/>
        <w:t>at</w:t>
      </w:r>
      <w:r>
        <w:rPr>
          <w:spacing w:val="-5"/>
        </w:rPr>
        <w:t> </w:t>
      </w:r>
      <w:r>
        <w:rPr/>
        <w:t>the</w:t>
      </w:r>
      <w:r>
        <w:rPr>
          <w:spacing w:val="-6"/>
        </w:rPr>
        <w:t> </w:t>
      </w:r>
      <w:r>
        <w:rPr/>
        <w:t>ET</w:t>
      </w:r>
      <w:r>
        <w:rPr>
          <w:spacing w:val="-5"/>
        </w:rPr>
        <w:t> </w:t>
      </w:r>
      <w:r>
        <w:rPr/>
        <w:t>stage</w:t>
      </w:r>
      <w:r>
        <w:rPr>
          <w:spacing w:val="-6"/>
        </w:rPr>
        <w:t> </w:t>
      </w:r>
      <w:r>
        <w:rPr/>
        <w:t>compared</w:t>
      </w:r>
      <w:r>
        <w:rPr>
          <w:spacing w:val="-5"/>
        </w:rPr>
        <w:t> </w:t>
      </w:r>
      <w:r>
        <w:rPr/>
        <w:t>with</w:t>
      </w:r>
      <w:r>
        <w:rPr>
          <w:spacing w:val="-5"/>
        </w:rPr>
        <w:t> </w:t>
      </w:r>
      <w:r>
        <w:rPr/>
        <w:t>the</w:t>
      </w:r>
      <w:r>
        <w:rPr>
          <w:spacing w:val="-7"/>
        </w:rPr>
        <w:t> </w:t>
      </w:r>
      <w:r>
        <w:rPr/>
        <w:t>EC</w:t>
      </w:r>
      <w:r>
        <w:rPr>
          <w:spacing w:val="-5"/>
        </w:rPr>
        <w:t> </w:t>
      </w:r>
      <w:r>
        <w:rPr/>
        <w:t>stage</w:t>
      </w:r>
      <w:r>
        <w:rPr>
          <w:spacing w:val="-6"/>
        </w:rPr>
        <w:t> </w:t>
      </w:r>
      <w:r>
        <w:rPr/>
        <w:t>(48 per cent). See table 22 for a full breakdown.</w:t>
      </w:r>
    </w:p>
    <w:p>
      <w:pPr>
        <w:pStyle w:val="BodyText"/>
      </w:pPr>
    </w:p>
    <w:p>
      <w:pPr>
        <w:pStyle w:val="Heading3"/>
        <w:ind w:left="1338"/>
      </w:pPr>
      <w:r>
        <w:rPr/>
        <w:t>Table</w:t>
      </w:r>
      <w:r>
        <w:rPr>
          <w:spacing w:val="-3"/>
        </w:rPr>
        <w:t> </w:t>
      </w:r>
      <w:r>
        <w:rPr/>
        <w:t>22.</w:t>
      </w:r>
      <w:r>
        <w:rPr>
          <w:spacing w:val="-4"/>
        </w:rPr>
        <w:t> </w:t>
      </w:r>
      <w:r>
        <w:rPr/>
        <w:t>Type</w:t>
      </w:r>
      <w:r>
        <w:rPr>
          <w:spacing w:val="-2"/>
        </w:rPr>
        <w:t> </w:t>
      </w:r>
      <w:r>
        <w:rPr/>
        <w:t>of</w:t>
      </w:r>
      <w:r>
        <w:rPr>
          <w:spacing w:val="-2"/>
        </w:rPr>
        <w:t> </w:t>
      </w:r>
      <w:r>
        <w:rPr/>
        <w:t>employer</w:t>
      </w:r>
      <w:r>
        <w:rPr>
          <w:spacing w:val="-3"/>
        </w:rPr>
        <w:t> </w:t>
      </w:r>
      <w:r>
        <w:rPr>
          <w:spacing w:val="-2"/>
        </w:rPr>
        <w:t>representative</w:t>
      </w:r>
    </w:p>
    <w:p>
      <w:pPr>
        <w:pStyle w:val="BodyText"/>
        <w:spacing w:before="3"/>
        <w:rPr>
          <w:b/>
          <w:sz w:val="29"/>
        </w:rPr>
      </w:pPr>
      <w:r>
        <w:rPr/>
        <w:drawing>
          <wp:anchor distT="0" distB="0" distL="0" distR="0" allowOverlap="1" layoutInCell="1" locked="0" behindDoc="0" simplePos="0" relativeHeight="50">
            <wp:simplePos x="0" y="0"/>
            <wp:positionH relativeFrom="page">
              <wp:posOffset>1266091</wp:posOffset>
            </wp:positionH>
            <wp:positionV relativeFrom="paragraph">
              <wp:posOffset>241285</wp:posOffset>
            </wp:positionV>
            <wp:extent cx="5063534" cy="2698337"/>
            <wp:effectExtent l="0" t="0" r="0" b="0"/>
            <wp:wrapTopAndBottom/>
            <wp:docPr id="75" name="image38.png" descr="Table showing type of employer representative "/>
            <wp:cNvGraphicFramePr>
              <a:graphicFrameLocks noChangeAspect="1"/>
            </wp:cNvGraphicFramePr>
            <a:graphic>
              <a:graphicData uri="http://schemas.openxmlformats.org/drawingml/2006/picture">
                <pic:pic>
                  <pic:nvPicPr>
                    <pic:cNvPr id="76" name="image38.png"/>
                    <pic:cNvPicPr/>
                  </pic:nvPicPr>
                  <pic:blipFill>
                    <a:blip r:embed="rId51" cstate="print"/>
                    <a:stretch>
                      <a:fillRect/>
                    </a:stretch>
                  </pic:blipFill>
                  <pic:spPr>
                    <a:xfrm>
                      <a:off x="0" y="0"/>
                      <a:ext cx="5063534" cy="2698337"/>
                    </a:xfrm>
                    <a:prstGeom prst="rect">
                      <a:avLst/>
                    </a:prstGeom>
                  </pic:spPr>
                </pic:pic>
              </a:graphicData>
            </a:graphic>
          </wp:anchor>
        </w:drawing>
      </w:r>
    </w:p>
    <w:p>
      <w:pPr>
        <w:pStyle w:val="BodyText"/>
        <w:rPr>
          <w:b/>
          <w:sz w:val="30"/>
        </w:rPr>
      </w:pPr>
    </w:p>
    <w:p>
      <w:pPr>
        <w:pStyle w:val="BodyText"/>
        <w:ind w:left="1338" w:right="1471"/>
        <w:jc w:val="both"/>
      </w:pPr>
      <w:r>
        <w:rPr/>
        <w:t>Employer representatives were typically very experienced: more than eight in ten (85 per cent) had worked with ET claims for more than five years, slightly above the</w:t>
      </w:r>
      <w:r>
        <w:rPr>
          <w:spacing w:val="-18"/>
        </w:rPr>
        <w:t> </w:t>
      </w:r>
      <w:r>
        <w:rPr/>
        <w:t>level</w:t>
      </w:r>
      <w:r>
        <w:rPr>
          <w:spacing w:val="-18"/>
        </w:rPr>
        <w:t> </w:t>
      </w:r>
      <w:r>
        <w:rPr/>
        <w:t>recorded</w:t>
      </w:r>
      <w:r>
        <w:rPr>
          <w:spacing w:val="-17"/>
        </w:rPr>
        <w:t> </w:t>
      </w:r>
      <w:r>
        <w:rPr/>
        <w:t>in</w:t>
      </w:r>
      <w:r>
        <w:rPr>
          <w:spacing w:val="-17"/>
        </w:rPr>
        <w:t> </w:t>
      </w:r>
      <w:r>
        <w:rPr/>
        <w:t>2016</w:t>
      </w:r>
      <w:r>
        <w:rPr>
          <w:spacing w:val="-17"/>
        </w:rPr>
        <w:t> </w:t>
      </w:r>
      <w:r>
        <w:rPr/>
        <w:t>(82</w:t>
      </w:r>
      <w:r>
        <w:rPr>
          <w:spacing w:val="-18"/>
        </w:rPr>
        <w:t> </w:t>
      </w:r>
      <w:r>
        <w:rPr/>
        <w:t>per</w:t>
      </w:r>
      <w:r>
        <w:rPr>
          <w:spacing w:val="-17"/>
        </w:rPr>
        <w:t> </w:t>
      </w:r>
      <w:r>
        <w:rPr/>
        <w:t>cent).</w:t>
      </w:r>
      <w:r>
        <w:rPr>
          <w:spacing w:val="-17"/>
        </w:rPr>
        <w:t> </w:t>
      </w:r>
      <w:r>
        <w:rPr/>
        <w:t>Almost</w:t>
      </w:r>
      <w:r>
        <w:rPr>
          <w:spacing w:val="-16"/>
        </w:rPr>
        <w:t> </w:t>
      </w:r>
      <w:r>
        <w:rPr/>
        <w:t>all</w:t>
      </w:r>
      <w:r>
        <w:rPr>
          <w:spacing w:val="-18"/>
        </w:rPr>
        <w:t> </w:t>
      </w:r>
      <w:r>
        <w:rPr/>
        <w:t>others</w:t>
      </w:r>
      <w:r>
        <w:rPr>
          <w:spacing w:val="-17"/>
        </w:rPr>
        <w:t> </w:t>
      </w:r>
      <w:r>
        <w:rPr/>
        <w:t>(12</w:t>
      </w:r>
      <w:r>
        <w:rPr>
          <w:spacing w:val="-18"/>
        </w:rPr>
        <w:t> </w:t>
      </w:r>
      <w:r>
        <w:rPr/>
        <w:t>per</w:t>
      </w:r>
      <w:r>
        <w:rPr>
          <w:spacing w:val="-17"/>
        </w:rPr>
        <w:t> </w:t>
      </w:r>
      <w:r>
        <w:rPr/>
        <w:t>cent)</w:t>
      </w:r>
      <w:r>
        <w:rPr>
          <w:spacing w:val="-18"/>
        </w:rPr>
        <w:t> </w:t>
      </w:r>
      <w:r>
        <w:rPr/>
        <w:t>had</w:t>
      </w:r>
      <w:r>
        <w:rPr>
          <w:spacing w:val="-17"/>
        </w:rPr>
        <w:t> </w:t>
      </w:r>
      <w:r>
        <w:rPr/>
        <w:t>worked with ET claims for between one and five years. Following the pattern observed among claimant representatives, employer representatives at the post ET conciliation stage were more experienced than those at the EC notification stage, when</w:t>
      </w:r>
      <w:r>
        <w:rPr>
          <w:spacing w:val="-6"/>
        </w:rPr>
        <w:t> </w:t>
      </w:r>
      <w:r>
        <w:rPr/>
        <w:t>75</w:t>
      </w:r>
      <w:r>
        <w:rPr>
          <w:spacing w:val="-6"/>
        </w:rPr>
        <w:t> </w:t>
      </w:r>
      <w:r>
        <w:rPr/>
        <w:t>per</w:t>
      </w:r>
      <w:r>
        <w:rPr>
          <w:spacing w:val="-6"/>
        </w:rPr>
        <w:t> </w:t>
      </w:r>
      <w:r>
        <w:rPr/>
        <w:t>cent</w:t>
      </w:r>
      <w:r>
        <w:rPr>
          <w:spacing w:val="-5"/>
        </w:rPr>
        <w:t> </w:t>
      </w:r>
      <w:r>
        <w:rPr/>
        <w:t>of</w:t>
      </w:r>
      <w:r>
        <w:rPr>
          <w:spacing w:val="-7"/>
        </w:rPr>
        <w:t> </w:t>
      </w:r>
      <w:r>
        <w:rPr/>
        <w:t>employer</w:t>
      </w:r>
      <w:r>
        <w:rPr>
          <w:spacing w:val="-6"/>
        </w:rPr>
        <w:t> </w:t>
      </w:r>
      <w:r>
        <w:rPr/>
        <w:t>representatives</w:t>
      </w:r>
      <w:r>
        <w:rPr>
          <w:spacing w:val="-6"/>
        </w:rPr>
        <w:t> </w:t>
      </w:r>
      <w:r>
        <w:rPr/>
        <w:t>had</w:t>
      </w:r>
      <w:r>
        <w:rPr>
          <w:spacing w:val="-6"/>
        </w:rPr>
        <w:t> </w:t>
      </w:r>
      <w:r>
        <w:rPr/>
        <w:t>worked</w:t>
      </w:r>
      <w:r>
        <w:rPr>
          <w:spacing w:val="-7"/>
        </w:rPr>
        <w:t> </w:t>
      </w:r>
      <w:r>
        <w:rPr/>
        <w:t>with</w:t>
      </w:r>
      <w:r>
        <w:rPr>
          <w:spacing w:val="-6"/>
        </w:rPr>
        <w:t> </w:t>
      </w:r>
      <w:r>
        <w:rPr/>
        <w:t>ET</w:t>
      </w:r>
      <w:r>
        <w:rPr>
          <w:spacing w:val="-5"/>
        </w:rPr>
        <w:t> </w:t>
      </w:r>
      <w:r>
        <w:rPr/>
        <w:t>claims</w:t>
      </w:r>
      <w:r>
        <w:rPr>
          <w:spacing w:val="-6"/>
        </w:rPr>
        <w:t> </w:t>
      </w:r>
      <w:r>
        <w:rPr/>
        <w:t>for</w:t>
      </w:r>
      <w:r>
        <w:rPr>
          <w:spacing w:val="-6"/>
        </w:rPr>
        <w:t> </w:t>
      </w:r>
      <w:r>
        <w:rPr/>
        <w:t>more than five years. See table 23 for a full breakdown.</w:t>
      </w:r>
    </w:p>
    <w:p>
      <w:pPr>
        <w:spacing w:after="0"/>
        <w:jc w:val="both"/>
        <w:sectPr>
          <w:pgSz w:w="11910" w:h="16840"/>
          <w:pgMar w:header="0" w:footer="996" w:top="1340" w:bottom="1180" w:left="460" w:right="320"/>
        </w:sectPr>
      </w:pPr>
    </w:p>
    <w:p>
      <w:pPr>
        <w:pStyle w:val="Heading3"/>
        <w:spacing w:before="82"/>
        <w:ind w:right="1474"/>
      </w:pPr>
      <w:r>
        <w:rPr/>
        <w:t>Table 23. Length of time employer representatives had dealt with ET </w:t>
      </w:r>
      <w:r>
        <w:rPr>
          <w:spacing w:val="-2"/>
        </w:rPr>
        <w:t>claims</w:t>
      </w:r>
    </w:p>
    <w:p>
      <w:pPr>
        <w:pStyle w:val="BodyText"/>
        <w:spacing w:before="7"/>
        <w:rPr>
          <w:b/>
          <w:sz w:val="10"/>
        </w:rPr>
      </w:pPr>
      <w:r>
        <w:rPr/>
        <w:drawing>
          <wp:anchor distT="0" distB="0" distL="0" distR="0" allowOverlap="1" layoutInCell="1" locked="0" behindDoc="0" simplePos="0" relativeHeight="51">
            <wp:simplePos x="0" y="0"/>
            <wp:positionH relativeFrom="page">
              <wp:posOffset>1254394</wp:posOffset>
            </wp:positionH>
            <wp:positionV relativeFrom="paragraph">
              <wp:posOffset>96988</wp:posOffset>
            </wp:positionV>
            <wp:extent cx="5048141" cy="1894808"/>
            <wp:effectExtent l="0" t="0" r="0" b="0"/>
            <wp:wrapTopAndBottom/>
            <wp:docPr id="77" name="image39.png" descr="Table showing length of time employer representatives had dealt with ET "/>
            <wp:cNvGraphicFramePr>
              <a:graphicFrameLocks noChangeAspect="1"/>
            </wp:cNvGraphicFramePr>
            <a:graphic>
              <a:graphicData uri="http://schemas.openxmlformats.org/drawingml/2006/picture">
                <pic:pic>
                  <pic:nvPicPr>
                    <pic:cNvPr id="78" name="image39.png"/>
                    <pic:cNvPicPr/>
                  </pic:nvPicPr>
                  <pic:blipFill>
                    <a:blip r:embed="rId52" cstate="print"/>
                    <a:stretch>
                      <a:fillRect/>
                    </a:stretch>
                  </pic:blipFill>
                  <pic:spPr>
                    <a:xfrm>
                      <a:off x="0" y="0"/>
                      <a:ext cx="5048141" cy="1894808"/>
                    </a:xfrm>
                    <a:prstGeom prst="rect">
                      <a:avLst/>
                    </a:prstGeom>
                  </pic:spPr>
                </pic:pic>
              </a:graphicData>
            </a:graphic>
          </wp:anchor>
        </w:drawing>
      </w:r>
    </w:p>
    <w:p>
      <w:pPr>
        <w:pStyle w:val="BodyText"/>
        <w:spacing w:before="6"/>
        <w:rPr>
          <w:b/>
          <w:sz w:val="19"/>
        </w:rPr>
      </w:pPr>
    </w:p>
    <w:p>
      <w:pPr>
        <w:pStyle w:val="BodyText"/>
        <w:ind w:left="1337" w:right="1472"/>
        <w:jc w:val="both"/>
      </w:pPr>
      <w:r>
        <w:rPr/>
        <w:t>Almost</w:t>
      </w:r>
      <w:r>
        <w:rPr>
          <w:spacing w:val="-16"/>
        </w:rPr>
        <w:t> </w:t>
      </w:r>
      <w:r>
        <w:rPr/>
        <w:t>all</w:t>
      </w:r>
      <w:r>
        <w:rPr>
          <w:spacing w:val="-17"/>
        </w:rPr>
        <w:t> </w:t>
      </w:r>
      <w:r>
        <w:rPr/>
        <w:t>employer</w:t>
      </w:r>
      <w:r>
        <w:rPr>
          <w:spacing w:val="-16"/>
        </w:rPr>
        <w:t> </w:t>
      </w:r>
      <w:r>
        <w:rPr/>
        <w:t>representatives</w:t>
      </w:r>
      <w:r>
        <w:rPr>
          <w:spacing w:val="-16"/>
        </w:rPr>
        <w:t> </w:t>
      </w:r>
      <w:r>
        <w:rPr/>
        <w:t>had</w:t>
      </w:r>
      <w:r>
        <w:rPr>
          <w:spacing w:val="-17"/>
        </w:rPr>
        <w:t> </w:t>
      </w:r>
      <w:r>
        <w:rPr/>
        <w:t>previously</w:t>
      </w:r>
      <w:r>
        <w:rPr>
          <w:spacing w:val="-16"/>
        </w:rPr>
        <w:t> </w:t>
      </w:r>
      <w:r>
        <w:rPr/>
        <w:t>represented</w:t>
      </w:r>
      <w:r>
        <w:rPr>
          <w:spacing w:val="-16"/>
        </w:rPr>
        <w:t> </w:t>
      </w:r>
      <w:r>
        <w:rPr/>
        <w:t>either</w:t>
      </w:r>
      <w:r>
        <w:rPr>
          <w:spacing w:val="-18"/>
        </w:rPr>
        <w:t> </w:t>
      </w:r>
      <w:r>
        <w:rPr/>
        <w:t>an</w:t>
      </w:r>
      <w:r>
        <w:rPr>
          <w:spacing w:val="-15"/>
        </w:rPr>
        <w:t> </w:t>
      </w:r>
      <w:r>
        <w:rPr/>
        <w:t>employer or claimant. As in 2016, three quarters (73 per cent) of employer representatives tended to specialise in representing employers. A quarter (25 per cent) reported that they usually represent either party and one per cent reported that they normally represent the claimant.</w:t>
      </w:r>
    </w:p>
    <w:p>
      <w:pPr>
        <w:pStyle w:val="BodyText"/>
        <w:spacing w:before="3"/>
      </w:pPr>
    </w:p>
    <w:p>
      <w:pPr>
        <w:pStyle w:val="BodyText"/>
        <w:spacing w:line="259" w:lineRule="auto"/>
        <w:ind w:left="1337" w:right="1473"/>
        <w:jc w:val="both"/>
      </w:pPr>
      <w:r>
        <w:rPr/>
        <w:t>Half</w:t>
      </w:r>
      <w:r>
        <w:rPr>
          <w:spacing w:val="-5"/>
        </w:rPr>
        <w:t> </w:t>
      </w:r>
      <w:r>
        <w:rPr/>
        <w:t>(51</w:t>
      </w:r>
      <w:r>
        <w:rPr>
          <w:spacing w:val="-7"/>
        </w:rPr>
        <w:t> </w:t>
      </w:r>
      <w:r>
        <w:rPr/>
        <w:t>per</w:t>
      </w:r>
      <w:r>
        <w:rPr>
          <w:spacing w:val="-7"/>
        </w:rPr>
        <w:t> </w:t>
      </w:r>
      <w:r>
        <w:rPr/>
        <w:t>cent)</w:t>
      </w:r>
      <w:r>
        <w:rPr>
          <w:spacing w:val="-5"/>
        </w:rPr>
        <w:t> </w:t>
      </w:r>
      <w:r>
        <w:rPr/>
        <w:t>of</w:t>
      </w:r>
      <w:r>
        <w:rPr>
          <w:spacing w:val="-5"/>
        </w:rPr>
        <w:t> </w:t>
      </w:r>
      <w:r>
        <w:rPr/>
        <w:t>employer</w:t>
      </w:r>
      <w:r>
        <w:rPr>
          <w:spacing w:val="-6"/>
        </w:rPr>
        <w:t> </w:t>
      </w:r>
      <w:r>
        <w:rPr/>
        <w:t>representatives</w:t>
      </w:r>
      <w:r>
        <w:rPr>
          <w:spacing w:val="-7"/>
        </w:rPr>
        <w:t> </w:t>
      </w:r>
      <w:r>
        <w:rPr/>
        <w:t>were</w:t>
      </w:r>
      <w:r>
        <w:rPr>
          <w:spacing w:val="-6"/>
        </w:rPr>
        <w:t> </w:t>
      </w:r>
      <w:r>
        <w:rPr/>
        <w:t>appointed</w:t>
      </w:r>
      <w:r>
        <w:rPr>
          <w:spacing w:val="-5"/>
        </w:rPr>
        <w:t> </w:t>
      </w:r>
      <w:r>
        <w:rPr/>
        <w:t>before</w:t>
      </w:r>
      <w:r>
        <w:rPr>
          <w:spacing w:val="-7"/>
        </w:rPr>
        <w:t> </w:t>
      </w:r>
      <w:r>
        <w:rPr/>
        <w:t>the</w:t>
      </w:r>
      <w:r>
        <w:rPr>
          <w:spacing w:val="-7"/>
        </w:rPr>
        <w:t> </w:t>
      </w:r>
      <w:r>
        <w:rPr/>
        <w:t>ET</w:t>
      </w:r>
      <w:r>
        <w:rPr>
          <w:spacing w:val="-6"/>
        </w:rPr>
        <w:t> </w:t>
      </w:r>
      <w:r>
        <w:rPr/>
        <w:t>claim was submitted while four in ten (43 per cent) were appointed more reactively, at the</w:t>
      </w:r>
      <w:r>
        <w:rPr>
          <w:spacing w:val="-13"/>
        </w:rPr>
        <w:t> </w:t>
      </w:r>
      <w:r>
        <w:rPr/>
        <w:t>point</w:t>
      </w:r>
      <w:r>
        <w:rPr>
          <w:spacing w:val="-14"/>
        </w:rPr>
        <w:t> </w:t>
      </w:r>
      <w:r>
        <w:rPr/>
        <w:t>of</w:t>
      </w:r>
      <w:r>
        <w:rPr>
          <w:spacing w:val="-15"/>
        </w:rPr>
        <w:t> </w:t>
      </w:r>
      <w:r>
        <w:rPr/>
        <w:t>the</w:t>
      </w:r>
      <w:r>
        <w:rPr>
          <w:spacing w:val="-15"/>
        </w:rPr>
        <w:t> </w:t>
      </w:r>
      <w:r>
        <w:rPr/>
        <w:t>ET3</w:t>
      </w:r>
      <w:r>
        <w:rPr>
          <w:spacing w:val="-14"/>
        </w:rPr>
        <w:t> </w:t>
      </w:r>
      <w:r>
        <w:rPr/>
        <w:t>response.</w:t>
      </w:r>
      <w:r>
        <w:rPr>
          <w:spacing w:val="-14"/>
        </w:rPr>
        <w:t> </w:t>
      </w:r>
      <w:r>
        <w:rPr/>
        <w:t>This</w:t>
      </w:r>
      <w:r>
        <w:rPr>
          <w:spacing w:val="-14"/>
        </w:rPr>
        <w:t> </w:t>
      </w:r>
      <w:r>
        <w:rPr/>
        <w:t>is</w:t>
      </w:r>
      <w:r>
        <w:rPr>
          <w:spacing w:val="-13"/>
        </w:rPr>
        <w:t> </w:t>
      </w:r>
      <w:r>
        <w:rPr/>
        <w:t>a</w:t>
      </w:r>
      <w:r>
        <w:rPr>
          <w:spacing w:val="-13"/>
        </w:rPr>
        <w:t> </w:t>
      </w:r>
      <w:r>
        <w:rPr/>
        <w:t>significant</w:t>
      </w:r>
      <w:r>
        <w:rPr>
          <w:spacing w:val="-13"/>
        </w:rPr>
        <w:t> </w:t>
      </w:r>
      <w:r>
        <w:rPr/>
        <w:t>increase</w:t>
      </w:r>
      <w:r>
        <w:rPr>
          <w:spacing w:val="-15"/>
        </w:rPr>
        <w:t> </w:t>
      </w:r>
      <w:r>
        <w:rPr/>
        <w:t>from</w:t>
      </w:r>
      <w:r>
        <w:rPr>
          <w:spacing w:val="-13"/>
        </w:rPr>
        <w:t> </w:t>
      </w:r>
      <w:r>
        <w:rPr/>
        <w:t>2016,</w:t>
      </w:r>
      <w:r>
        <w:rPr>
          <w:spacing w:val="-14"/>
        </w:rPr>
        <w:t> </w:t>
      </w:r>
      <w:r>
        <w:rPr/>
        <w:t>when</w:t>
      </w:r>
      <w:r>
        <w:rPr>
          <w:spacing w:val="-14"/>
        </w:rPr>
        <w:t> </w:t>
      </w:r>
      <w:r>
        <w:rPr/>
        <w:t>a</w:t>
      </w:r>
      <w:r>
        <w:rPr>
          <w:spacing w:val="-14"/>
        </w:rPr>
        <w:t> </w:t>
      </w:r>
      <w:r>
        <w:rPr/>
        <w:t>third (33 per cent) appointed a representative at this reactive stage. Just five per cent were appointed after the employer had already made an ET3 response.</w:t>
      </w:r>
    </w:p>
    <w:p>
      <w:pPr>
        <w:pStyle w:val="Heading3"/>
        <w:numPr>
          <w:ilvl w:val="1"/>
          <w:numId w:val="2"/>
        </w:numPr>
        <w:tabs>
          <w:tab w:pos="1974" w:val="left" w:leader="none"/>
        </w:tabs>
        <w:spacing w:line="240" w:lineRule="auto" w:before="158" w:after="0"/>
        <w:ind w:left="1973" w:right="0" w:hanging="637"/>
        <w:jc w:val="both"/>
      </w:pPr>
      <w:bookmarkStart w:name="13.4  Case characteristics" w:id="159"/>
      <w:bookmarkEnd w:id="159"/>
      <w:r>
        <w:rPr>
          <w:b w:val="0"/>
        </w:rPr>
      </w:r>
      <w:bookmarkStart w:name="_bookmark38" w:id="160"/>
      <w:bookmarkEnd w:id="160"/>
      <w:r>
        <w:rPr/>
        <w:t>Ca</w:t>
      </w:r>
      <w:r>
        <w:rPr/>
        <w:t>se</w:t>
      </w:r>
      <w:r>
        <w:rPr>
          <w:spacing w:val="-2"/>
        </w:rPr>
        <w:t> characteristics</w:t>
      </w:r>
    </w:p>
    <w:p>
      <w:pPr>
        <w:pStyle w:val="BodyText"/>
        <w:spacing w:line="259" w:lineRule="auto" w:before="121"/>
        <w:ind w:left="1336" w:right="1474"/>
        <w:jc w:val="both"/>
      </w:pPr>
      <w:r>
        <w:rPr/>
        <w:t>While</w:t>
      </w:r>
      <w:r>
        <w:rPr>
          <w:spacing w:val="-18"/>
        </w:rPr>
        <w:t> </w:t>
      </w:r>
      <w:r>
        <w:rPr/>
        <w:t>representation</w:t>
      </w:r>
      <w:r>
        <w:rPr>
          <w:spacing w:val="-18"/>
        </w:rPr>
        <w:t> </w:t>
      </w:r>
      <w:r>
        <w:rPr/>
        <w:t>is</w:t>
      </w:r>
      <w:r>
        <w:rPr>
          <w:spacing w:val="-17"/>
        </w:rPr>
        <w:t> </w:t>
      </w:r>
      <w:r>
        <w:rPr/>
        <w:t>typically</w:t>
      </w:r>
      <w:r>
        <w:rPr>
          <w:spacing w:val="-16"/>
        </w:rPr>
        <w:t> </w:t>
      </w:r>
      <w:r>
        <w:rPr/>
        <w:t>well-recorded</w:t>
      </w:r>
      <w:r>
        <w:rPr>
          <w:spacing w:val="-17"/>
        </w:rPr>
        <w:t> </w:t>
      </w:r>
      <w:r>
        <w:rPr/>
        <w:t>in</w:t>
      </w:r>
      <w:r>
        <w:rPr>
          <w:spacing w:val="-17"/>
        </w:rPr>
        <w:t> </w:t>
      </w:r>
      <w:r>
        <w:rPr/>
        <w:t>Acas’</w:t>
      </w:r>
      <w:r>
        <w:rPr>
          <w:spacing w:val="-17"/>
        </w:rPr>
        <w:t> </w:t>
      </w:r>
      <w:r>
        <w:rPr/>
        <w:t>records,</w:t>
      </w:r>
      <w:r>
        <w:rPr>
          <w:spacing w:val="-17"/>
        </w:rPr>
        <w:t> </w:t>
      </w:r>
      <w:r>
        <w:rPr/>
        <w:t>a</w:t>
      </w:r>
      <w:r>
        <w:rPr>
          <w:spacing w:val="-18"/>
        </w:rPr>
        <w:t> </w:t>
      </w:r>
      <w:r>
        <w:rPr/>
        <w:t>checking</w:t>
      </w:r>
      <w:r>
        <w:rPr>
          <w:spacing w:val="-16"/>
        </w:rPr>
        <w:t> </w:t>
      </w:r>
      <w:r>
        <w:rPr/>
        <w:t>question was</w:t>
      </w:r>
      <w:r>
        <w:rPr>
          <w:spacing w:val="-18"/>
        </w:rPr>
        <w:t> </w:t>
      </w:r>
      <w:r>
        <w:rPr/>
        <w:t>included</w:t>
      </w:r>
      <w:r>
        <w:rPr>
          <w:spacing w:val="-18"/>
        </w:rPr>
        <w:t> </w:t>
      </w:r>
      <w:r>
        <w:rPr/>
        <w:t>in</w:t>
      </w:r>
      <w:r>
        <w:rPr>
          <w:spacing w:val="-17"/>
        </w:rPr>
        <w:t> </w:t>
      </w:r>
      <w:r>
        <w:rPr/>
        <w:t>claimant</w:t>
      </w:r>
      <w:r>
        <w:rPr>
          <w:spacing w:val="-18"/>
        </w:rPr>
        <w:t> </w:t>
      </w:r>
      <w:r>
        <w:rPr/>
        <w:t>and</w:t>
      </w:r>
      <w:r>
        <w:rPr>
          <w:spacing w:val="-17"/>
        </w:rPr>
        <w:t> </w:t>
      </w:r>
      <w:r>
        <w:rPr/>
        <w:t>employer</w:t>
      </w:r>
      <w:r>
        <w:rPr>
          <w:spacing w:val="-18"/>
        </w:rPr>
        <w:t> </w:t>
      </w:r>
      <w:r>
        <w:rPr/>
        <w:t>interviews</w:t>
      </w:r>
      <w:r>
        <w:rPr>
          <w:spacing w:val="-18"/>
        </w:rPr>
        <w:t> </w:t>
      </w:r>
      <w:r>
        <w:rPr/>
        <w:t>to</w:t>
      </w:r>
      <w:r>
        <w:rPr>
          <w:spacing w:val="-17"/>
        </w:rPr>
        <w:t> </w:t>
      </w:r>
      <w:r>
        <w:rPr/>
        <w:t>confirm</w:t>
      </w:r>
      <w:r>
        <w:rPr>
          <w:spacing w:val="-18"/>
        </w:rPr>
        <w:t> </w:t>
      </w:r>
      <w:r>
        <w:rPr/>
        <w:t>whether</w:t>
      </w:r>
      <w:r>
        <w:rPr>
          <w:spacing w:val="-17"/>
        </w:rPr>
        <w:t> </w:t>
      </w:r>
      <w:r>
        <w:rPr/>
        <w:t>they</w:t>
      </w:r>
      <w:r>
        <w:rPr>
          <w:spacing w:val="-18"/>
        </w:rPr>
        <w:t> </w:t>
      </w:r>
      <w:r>
        <w:rPr/>
        <w:t>had</w:t>
      </w:r>
      <w:r>
        <w:rPr>
          <w:spacing w:val="-17"/>
        </w:rPr>
        <w:t> </w:t>
      </w:r>
      <w:r>
        <w:rPr/>
        <w:t>used a representative to deal with Acas during the ET process.</w:t>
      </w:r>
    </w:p>
    <w:p>
      <w:pPr>
        <w:pStyle w:val="Heading4"/>
        <w:numPr>
          <w:ilvl w:val="2"/>
          <w:numId w:val="34"/>
        </w:numPr>
        <w:tabs>
          <w:tab w:pos="2188" w:val="left" w:leader="none"/>
        </w:tabs>
        <w:spacing w:line="240" w:lineRule="auto" w:before="159" w:after="0"/>
        <w:ind w:left="2187" w:right="0" w:hanging="852"/>
        <w:jc w:val="both"/>
        <w:rPr>
          <w:i/>
        </w:rPr>
      </w:pPr>
      <w:bookmarkStart w:name="13.4.1 Claimant-side" w:id="161"/>
      <w:bookmarkEnd w:id="161"/>
      <w:r>
        <w:rPr>
          <w:i/>
          <w:spacing w:val="-2"/>
        </w:rPr>
        <w:t>C</w:t>
      </w:r>
      <w:r>
        <w:rPr>
          <w:i/>
          <w:spacing w:val="-2"/>
        </w:rPr>
        <w:t>laimant-</w:t>
      </w:r>
      <w:r>
        <w:rPr>
          <w:i/>
          <w:spacing w:val="-4"/>
        </w:rPr>
        <w:t>side</w:t>
      </w:r>
    </w:p>
    <w:p>
      <w:pPr>
        <w:pStyle w:val="BodyText"/>
        <w:spacing w:line="259" w:lineRule="auto" w:before="59"/>
        <w:ind w:left="1337" w:right="1473"/>
        <w:jc w:val="both"/>
      </w:pPr>
      <w:r>
        <w:rPr/>
        <w:t>Combining both Acas MI records and the results of the check question it can be determined that a representative was used by 56 per cent of claimants. This a significant</w:t>
      </w:r>
      <w:r>
        <w:rPr>
          <w:spacing w:val="-2"/>
        </w:rPr>
        <w:t> </w:t>
      </w:r>
      <w:r>
        <w:rPr/>
        <w:t>fall</w:t>
      </w:r>
      <w:r>
        <w:rPr>
          <w:spacing w:val="-3"/>
        </w:rPr>
        <w:t> </w:t>
      </w:r>
      <w:r>
        <w:rPr/>
        <w:t>from</w:t>
      </w:r>
      <w:r>
        <w:rPr>
          <w:spacing w:val="-3"/>
        </w:rPr>
        <w:t> </w:t>
      </w:r>
      <w:r>
        <w:rPr/>
        <w:t>2016,</w:t>
      </w:r>
      <w:r>
        <w:rPr>
          <w:spacing w:val="-2"/>
        </w:rPr>
        <w:t> </w:t>
      </w:r>
      <w:r>
        <w:rPr/>
        <w:t>when</w:t>
      </w:r>
      <w:r>
        <w:rPr>
          <w:spacing w:val="-2"/>
        </w:rPr>
        <w:t> </w:t>
      </w:r>
      <w:r>
        <w:rPr/>
        <w:t>representatives</w:t>
      </w:r>
      <w:r>
        <w:rPr>
          <w:spacing w:val="-2"/>
        </w:rPr>
        <w:t> </w:t>
      </w:r>
      <w:r>
        <w:rPr/>
        <w:t>were</w:t>
      </w:r>
      <w:r>
        <w:rPr>
          <w:spacing w:val="-3"/>
        </w:rPr>
        <w:t> </w:t>
      </w:r>
      <w:r>
        <w:rPr/>
        <w:t>used</w:t>
      </w:r>
      <w:r>
        <w:rPr>
          <w:spacing w:val="-3"/>
        </w:rPr>
        <w:t> </w:t>
      </w:r>
      <w:r>
        <w:rPr/>
        <w:t>by</w:t>
      </w:r>
      <w:r>
        <w:rPr>
          <w:spacing w:val="-2"/>
        </w:rPr>
        <w:t> </w:t>
      </w:r>
      <w:r>
        <w:rPr/>
        <w:t>78</w:t>
      </w:r>
      <w:r>
        <w:rPr>
          <w:spacing w:val="-3"/>
        </w:rPr>
        <w:t> </w:t>
      </w:r>
      <w:r>
        <w:rPr/>
        <w:t>per</w:t>
      </w:r>
      <w:r>
        <w:rPr>
          <w:spacing w:val="-2"/>
        </w:rPr>
        <w:t> </w:t>
      </w:r>
      <w:r>
        <w:rPr/>
        <w:t>cent</w:t>
      </w:r>
      <w:r>
        <w:rPr>
          <w:spacing w:val="-2"/>
        </w:rPr>
        <w:t> </w:t>
      </w:r>
      <w:r>
        <w:rPr/>
        <w:t>of</w:t>
      </w:r>
      <w:r>
        <w:rPr>
          <w:spacing w:val="-2"/>
        </w:rPr>
        <w:t> </w:t>
      </w:r>
      <w:r>
        <w:rPr/>
        <w:t>post- ET1 conciliation claimants. It remains significantly higher than the proportion of claimants who used a representative at EC stage in 2019 (38 per cent), echoing the</w:t>
      </w:r>
      <w:r>
        <w:rPr>
          <w:spacing w:val="-9"/>
        </w:rPr>
        <w:t> </w:t>
      </w:r>
      <w:r>
        <w:rPr/>
        <w:t>results</w:t>
      </w:r>
      <w:r>
        <w:rPr>
          <w:spacing w:val="-9"/>
        </w:rPr>
        <w:t> </w:t>
      </w:r>
      <w:r>
        <w:rPr/>
        <w:t>of</w:t>
      </w:r>
      <w:r>
        <w:rPr>
          <w:spacing w:val="-8"/>
        </w:rPr>
        <w:t> </w:t>
      </w:r>
      <w:r>
        <w:rPr/>
        <w:t>the</w:t>
      </w:r>
      <w:r>
        <w:rPr>
          <w:spacing w:val="-10"/>
        </w:rPr>
        <w:t> </w:t>
      </w:r>
      <w:r>
        <w:rPr/>
        <w:t>first</w:t>
      </w:r>
      <w:r>
        <w:rPr>
          <w:spacing w:val="-10"/>
        </w:rPr>
        <w:t> </w:t>
      </w:r>
      <w:r>
        <w:rPr/>
        <w:t>wave</w:t>
      </w:r>
      <w:r>
        <w:rPr>
          <w:spacing w:val="-9"/>
        </w:rPr>
        <w:t> </w:t>
      </w:r>
      <w:r>
        <w:rPr/>
        <w:t>of</w:t>
      </w:r>
      <w:r>
        <w:rPr>
          <w:spacing w:val="-9"/>
        </w:rPr>
        <w:t> </w:t>
      </w:r>
      <w:r>
        <w:rPr/>
        <w:t>the</w:t>
      </w:r>
      <w:r>
        <w:rPr>
          <w:spacing w:val="-10"/>
        </w:rPr>
        <w:t> </w:t>
      </w:r>
      <w:r>
        <w:rPr/>
        <w:t>surveys</w:t>
      </w:r>
      <w:r>
        <w:rPr>
          <w:spacing w:val="-9"/>
        </w:rPr>
        <w:t> </w:t>
      </w:r>
      <w:r>
        <w:rPr/>
        <w:t>(78</w:t>
      </w:r>
      <w:r>
        <w:rPr>
          <w:spacing w:val="-8"/>
        </w:rPr>
        <w:t> </w:t>
      </w:r>
      <w:r>
        <w:rPr/>
        <w:t>per</w:t>
      </w:r>
      <w:r>
        <w:rPr>
          <w:spacing w:val="-10"/>
        </w:rPr>
        <w:t> </w:t>
      </w:r>
      <w:r>
        <w:rPr/>
        <w:t>cent</w:t>
      </w:r>
      <w:r>
        <w:rPr>
          <w:spacing w:val="-9"/>
        </w:rPr>
        <w:t> </w:t>
      </w:r>
      <w:r>
        <w:rPr/>
        <w:t>at</w:t>
      </w:r>
      <w:r>
        <w:rPr>
          <w:spacing w:val="-9"/>
        </w:rPr>
        <w:t> </w:t>
      </w:r>
      <w:r>
        <w:rPr/>
        <w:t>ET</w:t>
      </w:r>
      <w:r>
        <w:rPr>
          <w:spacing w:val="-9"/>
        </w:rPr>
        <w:t> </w:t>
      </w:r>
      <w:r>
        <w:rPr/>
        <w:t>2016</w:t>
      </w:r>
      <w:r>
        <w:rPr>
          <w:spacing w:val="-9"/>
        </w:rPr>
        <w:t> </w:t>
      </w:r>
      <w:r>
        <w:rPr/>
        <w:t>and</w:t>
      </w:r>
      <w:r>
        <w:rPr>
          <w:spacing w:val="-9"/>
        </w:rPr>
        <w:t> </w:t>
      </w:r>
      <w:r>
        <w:rPr/>
        <w:t>24</w:t>
      </w:r>
      <w:r>
        <w:rPr>
          <w:spacing w:val="-9"/>
        </w:rPr>
        <w:t> </w:t>
      </w:r>
      <w:r>
        <w:rPr/>
        <w:t>per</w:t>
      </w:r>
      <w:r>
        <w:rPr>
          <w:spacing w:val="-8"/>
        </w:rPr>
        <w:t> </w:t>
      </w:r>
      <w:r>
        <w:rPr/>
        <w:t>cent at EC 2015).</w:t>
      </w:r>
    </w:p>
    <w:p>
      <w:pPr>
        <w:pStyle w:val="BodyText"/>
        <w:spacing w:line="259" w:lineRule="auto" w:before="159"/>
        <w:ind w:left="1337" w:right="1473"/>
        <w:jc w:val="both"/>
      </w:pPr>
      <w:r>
        <w:rPr/>
        <w:t>Claimants involved in open and standard track disputes were significantly more likely</w:t>
      </w:r>
      <w:r>
        <w:rPr>
          <w:spacing w:val="-5"/>
        </w:rPr>
        <w:t> </w:t>
      </w:r>
      <w:r>
        <w:rPr/>
        <w:t>than</w:t>
      </w:r>
      <w:r>
        <w:rPr>
          <w:spacing w:val="-5"/>
        </w:rPr>
        <w:t> </w:t>
      </w:r>
      <w:r>
        <w:rPr/>
        <w:t>those</w:t>
      </w:r>
      <w:r>
        <w:rPr>
          <w:spacing w:val="-6"/>
        </w:rPr>
        <w:t> </w:t>
      </w:r>
      <w:r>
        <w:rPr/>
        <w:t>in</w:t>
      </w:r>
      <w:r>
        <w:rPr>
          <w:spacing w:val="-5"/>
        </w:rPr>
        <w:t> </w:t>
      </w:r>
      <w:r>
        <w:rPr/>
        <w:t>fast</w:t>
      </w:r>
      <w:r>
        <w:rPr>
          <w:spacing w:val="-7"/>
        </w:rPr>
        <w:t> </w:t>
      </w:r>
      <w:r>
        <w:rPr/>
        <w:t>track</w:t>
      </w:r>
      <w:r>
        <w:rPr>
          <w:spacing w:val="-5"/>
        </w:rPr>
        <w:t> </w:t>
      </w:r>
      <w:r>
        <w:rPr/>
        <w:t>disputes</w:t>
      </w:r>
      <w:r>
        <w:rPr>
          <w:spacing w:val="-6"/>
        </w:rPr>
        <w:t> </w:t>
      </w:r>
      <w:r>
        <w:rPr/>
        <w:t>to</w:t>
      </w:r>
      <w:r>
        <w:rPr>
          <w:spacing w:val="-6"/>
        </w:rPr>
        <w:t> </w:t>
      </w:r>
      <w:r>
        <w:rPr/>
        <w:t>use</w:t>
      </w:r>
      <w:r>
        <w:rPr>
          <w:spacing w:val="-6"/>
        </w:rPr>
        <w:t> </w:t>
      </w:r>
      <w:r>
        <w:rPr/>
        <w:t>a</w:t>
      </w:r>
      <w:r>
        <w:rPr>
          <w:spacing w:val="-6"/>
        </w:rPr>
        <w:t> </w:t>
      </w:r>
      <w:r>
        <w:rPr/>
        <w:t>representative</w:t>
      </w:r>
      <w:r>
        <w:rPr>
          <w:spacing w:val="-6"/>
        </w:rPr>
        <w:t> </w:t>
      </w:r>
      <w:r>
        <w:rPr/>
        <w:t>(67</w:t>
      </w:r>
      <w:r>
        <w:rPr>
          <w:spacing w:val="-6"/>
        </w:rPr>
        <w:t> </w:t>
      </w:r>
      <w:r>
        <w:rPr/>
        <w:t>per</w:t>
      </w:r>
      <w:r>
        <w:rPr>
          <w:spacing w:val="-6"/>
        </w:rPr>
        <w:t> </w:t>
      </w:r>
      <w:r>
        <w:rPr/>
        <w:t>cent,</w:t>
      </w:r>
      <w:r>
        <w:rPr>
          <w:spacing w:val="-5"/>
        </w:rPr>
        <w:t> </w:t>
      </w:r>
      <w:r>
        <w:rPr/>
        <w:t>63</w:t>
      </w:r>
      <w:r>
        <w:rPr>
          <w:spacing w:val="-6"/>
        </w:rPr>
        <w:t> </w:t>
      </w:r>
      <w:r>
        <w:rPr/>
        <w:t>per cent</w:t>
      </w:r>
      <w:r>
        <w:rPr>
          <w:spacing w:val="-8"/>
        </w:rPr>
        <w:t> </w:t>
      </w:r>
      <w:r>
        <w:rPr/>
        <w:t>and</w:t>
      </w:r>
      <w:r>
        <w:rPr>
          <w:spacing w:val="-8"/>
        </w:rPr>
        <w:t> </w:t>
      </w:r>
      <w:r>
        <w:rPr/>
        <w:t>33</w:t>
      </w:r>
      <w:r>
        <w:rPr>
          <w:spacing w:val="-8"/>
        </w:rPr>
        <w:t> </w:t>
      </w:r>
      <w:r>
        <w:rPr/>
        <w:t>per</w:t>
      </w:r>
      <w:r>
        <w:rPr>
          <w:spacing w:val="-8"/>
        </w:rPr>
        <w:t> </w:t>
      </w:r>
      <w:r>
        <w:rPr/>
        <w:t>cent</w:t>
      </w:r>
      <w:r>
        <w:rPr>
          <w:spacing w:val="-8"/>
        </w:rPr>
        <w:t> </w:t>
      </w:r>
      <w:r>
        <w:rPr/>
        <w:t>respectively).</w:t>
      </w:r>
      <w:r>
        <w:rPr>
          <w:spacing w:val="-8"/>
        </w:rPr>
        <w:t> </w:t>
      </w:r>
      <w:r>
        <w:rPr/>
        <w:t>This</w:t>
      </w:r>
      <w:r>
        <w:rPr>
          <w:spacing w:val="-7"/>
        </w:rPr>
        <w:t> </w:t>
      </w:r>
      <w:r>
        <w:rPr/>
        <w:t>is</w:t>
      </w:r>
      <w:r>
        <w:rPr>
          <w:spacing w:val="-7"/>
        </w:rPr>
        <w:t> </w:t>
      </w:r>
      <w:r>
        <w:rPr/>
        <w:t>reflective</w:t>
      </w:r>
      <w:r>
        <w:rPr>
          <w:spacing w:val="-7"/>
        </w:rPr>
        <w:t> </w:t>
      </w:r>
      <w:r>
        <w:rPr/>
        <w:t>of</w:t>
      </w:r>
      <w:r>
        <w:rPr>
          <w:spacing w:val="-8"/>
        </w:rPr>
        <w:t> </w:t>
      </w:r>
      <w:r>
        <w:rPr/>
        <w:t>the</w:t>
      </w:r>
      <w:r>
        <w:rPr>
          <w:spacing w:val="-9"/>
        </w:rPr>
        <w:t> </w:t>
      </w:r>
      <w:r>
        <w:rPr/>
        <w:t>pattern</w:t>
      </w:r>
      <w:r>
        <w:rPr>
          <w:spacing w:val="-8"/>
        </w:rPr>
        <w:t> </w:t>
      </w:r>
      <w:r>
        <w:rPr/>
        <w:t>at</w:t>
      </w:r>
      <w:r>
        <w:rPr>
          <w:spacing w:val="-8"/>
        </w:rPr>
        <w:t> </w:t>
      </w:r>
      <w:r>
        <w:rPr/>
        <w:t>EC</w:t>
      </w:r>
      <w:r>
        <w:rPr>
          <w:spacing w:val="-6"/>
        </w:rPr>
        <w:t> </w:t>
      </w:r>
      <w:r>
        <w:rPr/>
        <w:t>and</w:t>
      </w:r>
      <w:r>
        <w:rPr>
          <w:spacing w:val="-8"/>
        </w:rPr>
        <w:t> </w:t>
      </w:r>
      <w:r>
        <w:rPr/>
        <w:t>of</w:t>
      </w:r>
      <w:r>
        <w:rPr>
          <w:spacing w:val="-8"/>
        </w:rPr>
        <w:t> </w:t>
      </w:r>
      <w:r>
        <w:rPr/>
        <w:t>the findings</w:t>
      </w:r>
      <w:r>
        <w:rPr>
          <w:spacing w:val="-5"/>
        </w:rPr>
        <w:t> </w:t>
      </w:r>
      <w:r>
        <w:rPr/>
        <w:t>from</w:t>
      </w:r>
      <w:r>
        <w:rPr>
          <w:spacing w:val="-6"/>
        </w:rPr>
        <w:t> </w:t>
      </w:r>
      <w:r>
        <w:rPr/>
        <w:t>the</w:t>
      </w:r>
      <w:r>
        <w:rPr>
          <w:spacing w:val="-6"/>
        </w:rPr>
        <w:t> </w:t>
      </w:r>
      <w:r>
        <w:rPr/>
        <w:t>2016</w:t>
      </w:r>
      <w:r>
        <w:rPr>
          <w:spacing w:val="-7"/>
        </w:rPr>
        <w:t> </w:t>
      </w:r>
      <w:r>
        <w:rPr/>
        <w:t>ET</w:t>
      </w:r>
      <w:r>
        <w:rPr>
          <w:spacing w:val="-5"/>
        </w:rPr>
        <w:t> </w:t>
      </w:r>
      <w:r>
        <w:rPr/>
        <w:t>survey;</w:t>
      </w:r>
      <w:r>
        <w:rPr>
          <w:spacing w:val="-6"/>
        </w:rPr>
        <w:t> </w:t>
      </w:r>
      <w:r>
        <w:rPr/>
        <w:t>and</w:t>
      </w:r>
      <w:r>
        <w:rPr>
          <w:spacing w:val="-5"/>
        </w:rPr>
        <w:t> </w:t>
      </w:r>
      <w:r>
        <w:rPr/>
        <w:t>the</w:t>
      </w:r>
      <w:r>
        <w:rPr>
          <w:spacing w:val="-6"/>
        </w:rPr>
        <w:t> </w:t>
      </w:r>
      <w:r>
        <w:rPr/>
        <w:t>increased</w:t>
      </w:r>
      <w:r>
        <w:rPr>
          <w:spacing w:val="-5"/>
        </w:rPr>
        <w:t> </w:t>
      </w:r>
      <w:r>
        <w:rPr/>
        <w:t>proportion</w:t>
      </w:r>
      <w:r>
        <w:rPr>
          <w:spacing w:val="-5"/>
        </w:rPr>
        <w:t> </w:t>
      </w:r>
      <w:r>
        <w:rPr/>
        <w:t>of</w:t>
      </w:r>
      <w:r>
        <w:rPr>
          <w:spacing w:val="-5"/>
        </w:rPr>
        <w:t> </w:t>
      </w:r>
      <w:r>
        <w:rPr/>
        <w:t>fast</w:t>
      </w:r>
      <w:r>
        <w:rPr>
          <w:spacing w:val="-5"/>
        </w:rPr>
        <w:t> </w:t>
      </w:r>
      <w:r>
        <w:rPr/>
        <w:t>track</w:t>
      </w:r>
      <w:r>
        <w:rPr>
          <w:spacing w:val="-6"/>
        </w:rPr>
        <w:t> </w:t>
      </w:r>
      <w:r>
        <w:rPr/>
        <w:t>cases in 2019 may be a factor behind the fall in representation observed in this wave.</w:t>
      </w:r>
    </w:p>
    <w:p>
      <w:pPr>
        <w:pStyle w:val="BodyText"/>
        <w:spacing w:line="259" w:lineRule="auto" w:before="158"/>
        <w:ind w:left="1336" w:right="1472"/>
        <w:jc w:val="both"/>
      </w:pPr>
      <w:r>
        <w:rPr/>
        <w:t>There were some differences in track by ethnicity, but small base sizes mean that these should be interpreted with caution.</w:t>
      </w:r>
      <w:hyperlink w:history="true" w:anchor="_bookmark102">
        <w:r>
          <w:rPr>
            <w:position w:val="7"/>
            <w:sz w:val="13"/>
          </w:rPr>
          <w:t>26</w:t>
        </w:r>
      </w:hyperlink>
      <w:r>
        <w:rPr>
          <w:spacing w:val="40"/>
          <w:position w:val="7"/>
          <w:sz w:val="13"/>
        </w:rPr>
        <w:t> </w:t>
      </w:r>
      <w:r>
        <w:rPr/>
        <w:t>Claimants from White ethnic backgrounds were significantly more likely to be party to a fast track case than BAME</w:t>
      </w:r>
      <w:r>
        <w:rPr>
          <w:spacing w:val="-8"/>
        </w:rPr>
        <w:t> </w:t>
      </w:r>
      <w:r>
        <w:rPr/>
        <w:t>claimants</w:t>
      </w:r>
      <w:r>
        <w:rPr>
          <w:spacing w:val="-8"/>
        </w:rPr>
        <w:t> </w:t>
      </w:r>
      <w:r>
        <w:rPr/>
        <w:t>(42</w:t>
      </w:r>
      <w:r>
        <w:rPr>
          <w:spacing w:val="-7"/>
        </w:rPr>
        <w:t> </w:t>
      </w:r>
      <w:r>
        <w:rPr/>
        <w:t>per</w:t>
      </w:r>
      <w:r>
        <w:rPr>
          <w:spacing w:val="-7"/>
        </w:rPr>
        <w:t> </w:t>
      </w:r>
      <w:r>
        <w:rPr/>
        <w:t>cent</w:t>
      </w:r>
      <w:r>
        <w:rPr>
          <w:spacing w:val="-8"/>
        </w:rPr>
        <w:t> </w:t>
      </w:r>
      <w:r>
        <w:rPr/>
        <w:t>compared</w:t>
      </w:r>
      <w:r>
        <w:rPr>
          <w:spacing w:val="-7"/>
        </w:rPr>
        <w:t> </w:t>
      </w:r>
      <w:r>
        <w:rPr/>
        <w:t>to</w:t>
      </w:r>
      <w:r>
        <w:rPr>
          <w:spacing w:val="-7"/>
        </w:rPr>
        <w:t> </w:t>
      </w:r>
      <w:r>
        <w:rPr/>
        <w:t>29</w:t>
      </w:r>
      <w:r>
        <w:rPr>
          <w:spacing w:val="-7"/>
        </w:rPr>
        <w:t> </w:t>
      </w:r>
      <w:r>
        <w:rPr/>
        <w:t>per</w:t>
      </w:r>
      <w:r>
        <w:rPr>
          <w:spacing w:val="-7"/>
        </w:rPr>
        <w:t> </w:t>
      </w:r>
      <w:r>
        <w:rPr/>
        <w:t>cent)</w:t>
      </w:r>
      <w:r>
        <w:rPr>
          <w:spacing w:val="-8"/>
        </w:rPr>
        <w:t> </w:t>
      </w:r>
      <w:r>
        <w:rPr/>
        <w:t>while</w:t>
      </w:r>
      <w:r>
        <w:rPr>
          <w:spacing w:val="-7"/>
        </w:rPr>
        <w:t> </w:t>
      </w:r>
      <w:r>
        <w:rPr/>
        <w:t>BAME</w:t>
      </w:r>
      <w:r>
        <w:rPr>
          <w:spacing w:val="-6"/>
        </w:rPr>
        <w:t> </w:t>
      </w:r>
      <w:r>
        <w:rPr/>
        <w:t>claimants</w:t>
      </w:r>
      <w:r>
        <w:rPr>
          <w:spacing w:val="-8"/>
        </w:rPr>
        <w:t> </w:t>
      </w:r>
      <w:r>
        <w:rPr/>
        <w:t>were more likely to be party to an open track case (43 per cent compared to 24 per </w:t>
      </w:r>
      <w:r>
        <w:rPr>
          <w:spacing w:val="-2"/>
        </w:rPr>
        <w:t>cent).</w:t>
      </w:r>
    </w:p>
    <w:p>
      <w:pPr>
        <w:spacing w:after="0" w:line="259" w:lineRule="auto"/>
        <w:jc w:val="both"/>
        <w:sectPr>
          <w:pgSz w:w="11910" w:h="16840"/>
          <w:pgMar w:header="0" w:footer="996" w:top="1340" w:bottom="1180" w:left="460" w:right="320"/>
        </w:sectPr>
      </w:pPr>
    </w:p>
    <w:p>
      <w:pPr>
        <w:pStyle w:val="BodyText"/>
        <w:spacing w:line="259" w:lineRule="auto" w:before="82"/>
        <w:ind w:left="1337" w:right="1473"/>
        <w:jc w:val="both"/>
      </w:pPr>
      <w:r>
        <w:rPr/>
        <w:t>Half (50 per cent) of claimant-side participants reported having taken part in EC before their Employment Tribunal claim had been submitted. This is significantly lower than in 2016 (66 per cent) and may have an impact on outcomes as driver analysis in this report highlights prior participation in EC as a significant factor in the likelihood of accepting the offer of conciliation at the post-ET1 stage for both claimants and employers.</w:t>
      </w:r>
    </w:p>
    <w:p>
      <w:pPr>
        <w:pStyle w:val="BodyText"/>
        <w:spacing w:line="259" w:lineRule="auto" w:before="158"/>
        <w:ind w:left="1336" w:right="1473"/>
        <w:jc w:val="both"/>
      </w:pPr>
      <w:r>
        <w:rPr/>
        <w:t>More than eight in ten (84 per cent) claimant representatives were appointed before the ET claim was submitted. As reported in the EC survey, a third (38 per cent) of claimants had representation at the EC stage. This means that it is likely that a large proportion of claimant representatives were appointed between the issuing of the Acas EC certificate and the submission of an Employment Tribunal claim. One in ten (9</w:t>
      </w:r>
      <w:r>
        <w:rPr>
          <w:spacing w:val="-2"/>
        </w:rPr>
        <w:t> </w:t>
      </w:r>
      <w:r>
        <w:rPr/>
        <w:t>per</w:t>
      </w:r>
      <w:r>
        <w:rPr>
          <w:spacing w:val="-1"/>
        </w:rPr>
        <w:t> </w:t>
      </w:r>
      <w:r>
        <w:rPr/>
        <w:t>cent)</w:t>
      </w:r>
      <w:r>
        <w:rPr>
          <w:spacing w:val="-1"/>
        </w:rPr>
        <w:t> </w:t>
      </w:r>
      <w:r>
        <w:rPr/>
        <w:t>representatives</w:t>
      </w:r>
      <w:r>
        <w:rPr>
          <w:spacing w:val="-1"/>
        </w:rPr>
        <w:t> </w:t>
      </w:r>
      <w:r>
        <w:rPr/>
        <w:t>took</w:t>
      </w:r>
      <w:r>
        <w:rPr>
          <w:spacing w:val="-1"/>
        </w:rPr>
        <w:t> </w:t>
      </w:r>
      <w:r>
        <w:rPr/>
        <w:t>on their</w:t>
      </w:r>
      <w:r>
        <w:rPr>
          <w:spacing w:val="-1"/>
        </w:rPr>
        <w:t> </w:t>
      </w:r>
      <w:r>
        <w:rPr/>
        <w:t>role</w:t>
      </w:r>
      <w:r>
        <w:rPr>
          <w:spacing w:val="-1"/>
        </w:rPr>
        <w:t> </w:t>
      </w:r>
      <w:r>
        <w:rPr/>
        <w:t>after</w:t>
      </w:r>
      <w:r>
        <w:rPr>
          <w:spacing w:val="-1"/>
        </w:rPr>
        <w:t> </w:t>
      </w:r>
      <w:r>
        <w:rPr/>
        <w:t>the</w:t>
      </w:r>
      <w:r>
        <w:rPr>
          <w:spacing w:val="-1"/>
        </w:rPr>
        <w:t> </w:t>
      </w:r>
      <w:r>
        <w:rPr/>
        <w:t>ET1</w:t>
      </w:r>
      <w:r>
        <w:rPr>
          <w:spacing w:val="-2"/>
        </w:rPr>
        <w:t> </w:t>
      </w:r>
      <w:r>
        <w:rPr/>
        <w:t>was already submitted, while five per cent took on their role at the point the ET1 form was submitted.</w:t>
      </w:r>
    </w:p>
    <w:p>
      <w:pPr>
        <w:pStyle w:val="BodyText"/>
        <w:spacing w:line="259" w:lineRule="auto" w:before="158"/>
        <w:ind w:left="1336" w:right="1475"/>
        <w:jc w:val="both"/>
      </w:pPr>
      <w:r>
        <w:rPr/>
        <w:t>These findings are consistent with the 2016 survey, when 83 per cent of claimant representatives took on their representative role before the ET claim was </w:t>
      </w:r>
      <w:r>
        <w:rPr>
          <w:spacing w:val="-2"/>
        </w:rPr>
        <w:t>submitted.</w:t>
      </w:r>
    </w:p>
    <w:p>
      <w:pPr>
        <w:pStyle w:val="Heading4"/>
        <w:numPr>
          <w:ilvl w:val="2"/>
          <w:numId w:val="34"/>
        </w:numPr>
        <w:tabs>
          <w:tab w:pos="2188" w:val="left" w:leader="none"/>
        </w:tabs>
        <w:spacing w:line="240" w:lineRule="auto" w:before="159" w:after="0"/>
        <w:ind w:left="2187" w:right="0" w:hanging="852"/>
        <w:jc w:val="both"/>
        <w:rPr>
          <w:i/>
        </w:rPr>
      </w:pPr>
      <w:bookmarkStart w:name="13.4.2 Employer-side" w:id="162"/>
      <w:bookmarkEnd w:id="162"/>
      <w:r>
        <w:rPr>
          <w:i/>
          <w:spacing w:val="-2"/>
        </w:rPr>
        <w:t>E</w:t>
      </w:r>
      <w:r>
        <w:rPr>
          <w:i/>
          <w:spacing w:val="-2"/>
        </w:rPr>
        <w:t>mployer-</w:t>
      </w:r>
      <w:r>
        <w:rPr>
          <w:i/>
          <w:spacing w:val="-4"/>
        </w:rPr>
        <w:t>side</w:t>
      </w:r>
    </w:p>
    <w:p>
      <w:pPr>
        <w:pStyle w:val="BodyText"/>
        <w:spacing w:line="259" w:lineRule="auto" w:before="61"/>
        <w:ind w:left="1336" w:right="1475"/>
        <w:jc w:val="both"/>
      </w:pPr>
      <w:r>
        <w:rPr/>
        <w:t>Combining Acas MI records and the results of the check question it can be determined that a representative was used by 74 per cent of employers. As with the claimant-side, this is a significant decrease in the overall level of employer representation at the post-ET1 stage: in 2016, 84 per cent had used a representative. As in 2016, and matching the claimant-side pattern, employer representation at the ET stage remains higher than at the EC stage. One third of employers used representation in the 2019 EC survey (33 per cent).</w:t>
      </w:r>
    </w:p>
    <w:p>
      <w:pPr>
        <w:pStyle w:val="BodyText"/>
        <w:spacing w:line="259" w:lineRule="auto" w:before="158"/>
        <w:ind w:left="1337" w:right="1474" w:hanging="1"/>
        <w:jc w:val="both"/>
      </w:pPr>
      <w:r>
        <w:rPr/>
        <w:t>Matching another claimant-side trend, employers involved in open and standard track</w:t>
      </w:r>
      <w:r>
        <w:rPr>
          <w:spacing w:val="-11"/>
        </w:rPr>
        <w:t> </w:t>
      </w:r>
      <w:r>
        <w:rPr/>
        <w:t>disputes</w:t>
      </w:r>
      <w:r>
        <w:rPr>
          <w:spacing w:val="-12"/>
        </w:rPr>
        <w:t> </w:t>
      </w:r>
      <w:r>
        <w:rPr/>
        <w:t>were</w:t>
      </w:r>
      <w:r>
        <w:rPr>
          <w:spacing w:val="-12"/>
        </w:rPr>
        <w:t> </w:t>
      </w:r>
      <w:r>
        <w:rPr/>
        <w:t>significantly</w:t>
      </w:r>
      <w:r>
        <w:rPr>
          <w:spacing w:val="-11"/>
        </w:rPr>
        <w:t> </w:t>
      </w:r>
      <w:r>
        <w:rPr/>
        <w:t>more</w:t>
      </w:r>
      <w:r>
        <w:rPr>
          <w:spacing w:val="-12"/>
        </w:rPr>
        <w:t> </w:t>
      </w:r>
      <w:r>
        <w:rPr/>
        <w:t>likely</w:t>
      </w:r>
      <w:r>
        <w:rPr>
          <w:spacing w:val="-11"/>
        </w:rPr>
        <w:t> </w:t>
      </w:r>
      <w:r>
        <w:rPr/>
        <w:t>than</w:t>
      </w:r>
      <w:r>
        <w:rPr>
          <w:spacing w:val="-11"/>
        </w:rPr>
        <w:t> </w:t>
      </w:r>
      <w:r>
        <w:rPr/>
        <w:t>those</w:t>
      </w:r>
      <w:r>
        <w:rPr>
          <w:spacing w:val="-12"/>
        </w:rPr>
        <w:t> </w:t>
      </w:r>
      <w:r>
        <w:rPr/>
        <w:t>in</w:t>
      </w:r>
      <w:r>
        <w:rPr>
          <w:spacing w:val="-12"/>
        </w:rPr>
        <w:t> </w:t>
      </w:r>
      <w:r>
        <w:rPr/>
        <w:t>fast</w:t>
      </w:r>
      <w:r>
        <w:rPr>
          <w:spacing w:val="-11"/>
        </w:rPr>
        <w:t> </w:t>
      </w:r>
      <w:r>
        <w:rPr/>
        <w:t>track</w:t>
      </w:r>
      <w:r>
        <w:rPr>
          <w:spacing w:val="-13"/>
        </w:rPr>
        <w:t> </w:t>
      </w:r>
      <w:r>
        <w:rPr/>
        <w:t>disputes</w:t>
      </w:r>
      <w:r>
        <w:rPr>
          <w:spacing w:val="-12"/>
        </w:rPr>
        <w:t> </w:t>
      </w:r>
      <w:r>
        <w:rPr/>
        <w:t>to</w:t>
      </w:r>
      <w:r>
        <w:rPr>
          <w:spacing w:val="-13"/>
        </w:rPr>
        <w:t> </w:t>
      </w:r>
      <w:r>
        <w:rPr/>
        <w:t>use a</w:t>
      </w:r>
      <w:r>
        <w:rPr>
          <w:spacing w:val="-1"/>
        </w:rPr>
        <w:t> </w:t>
      </w:r>
      <w:r>
        <w:rPr/>
        <w:t>representative</w:t>
      </w:r>
      <w:r>
        <w:rPr>
          <w:spacing w:val="-1"/>
        </w:rPr>
        <w:t> </w:t>
      </w:r>
      <w:r>
        <w:rPr/>
        <w:t>(87</w:t>
      </w:r>
      <w:r>
        <w:rPr>
          <w:spacing w:val="-2"/>
        </w:rPr>
        <w:t> </w:t>
      </w:r>
      <w:r>
        <w:rPr/>
        <w:t>per</w:t>
      </w:r>
      <w:r>
        <w:rPr>
          <w:spacing w:val="-1"/>
        </w:rPr>
        <w:t> </w:t>
      </w:r>
      <w:r>
        <w:rPr/>
        <w:t>cent,</w:t>
      </w:r>
      <w:r>
        <w:rPr>
          <w:spacing w:val="-2"/>
        </w:rPr>
        <w:t> </w:t>
      </w:r>
      <w:r>
        <w:rPr/>
        <w:t>79</w:t>
      </w:r>
      <w:r>
        <w:rPr>
          <w:spacing w:val="-2"/>
        </w:rPr>
        <w:t> </w:t>
      </w:r>
      <w:r>
        <w:rPr/>
        <w:t>per</w:t>
      </w:r>
      <w:r>
        <w:rPr>
          <w:spacing w:val="-1"/>
        </w:rPr>
        <w:t> </w:t>
      </w:r>
      <w:r>
        <w:rPr/>
        <w:t>cent</w:t>
      </w:r>
      <w:r>
        <w:rPr>
          <w:spacing w:val="-2"/>
        </w:rPr>
        <w:t> </w:t>
      </w:r>
      <w:r>
        <w:rPr/>
        <w:t>and</w:t>
      </w:r>
      <w:r>
        <w:rPr>
          <w:spacing w:val="-3"/>
        </w:rPr>
        <w:t> </w:t>
      </w:r>
      <w:r>
        <w:rPr/>
        <w:t>55</w:t>
      </w:r>
      <w:r>
        <w:rPr>
          <w:spacing w:val="-1"/>
        </w:rPr>
        <w:t> </w:t>
      </w:r>
      <w:r>
        <w:rPr/>
        <w:t>per</w:t>
      </w:r>
      <w:r>
        <w:rPr>
          <w:spacing w:val="-2"/>
        </w:rPr>
        <w:t> </w:t>
      </w:r>
      <w:r>
        <w:rPr/>
        <w:t>cent</w:t>
      </w:r>
      <w:r>
        <w:rPr>
          <w:spacing w:val="-3"/>
        </w:rPr>
        <w:t> </w:t>
      </w:r>
      <w:r>
        <w:rPr/>
        <w:t>respectively).</w:t>
      </w:r>
      <w:r>
        <w:rPr>
          <w:spacing w:val="-2"/>
        </w:rPr>
        <w:t> </w:t>
      </w:r>
      <w:r>
        <w:rPr/>
        <w:t>This</w:t>
      </w:r>
      <w:r>
        <w:rPr>
          <w:spacing w:val="-2"/>
        </w:rPr>
        <w:t> </w:t>
      </w:r>
      <w:r>
        <w:rPr/>
        <w:t>also matches the employer-side pattern in the 2019 EC survey as well as the 2016 ET </w:t>
      </w:r>
      <w:r>
        <w:rPr>
          <w:spacing w:val="-2"/>
        </w:rPr>
        <w:t>survey.</w:t>
      </w:r>
    </w:p>
    <w:p>
      <w:pPr>
        <w:pStyle w:val="BodyText"/>
        <w:spacing w:line="259" w:lineRule="auto" w:before="158"/>
        <w:ind w:left="1337" w:right="1473"/>
        <w:jc w:val="both"/>
      </w:pPr>
      <w:r>
        <w:rPr/>
        <w:t>Just</w:t>
      </w:r>
      <w:r>
        <w:rPr>
          <w:spacing w:val="-8"/>
        </w:rPr>
        <w:t> </w:t>
      </w:r>
      <w:r>
        <w:rPr/>
        <w:t>over</w:t>
      </w:r>
      <w:r>
        <w:rPr>
          <w:spacing w:val="-8"/>
        </w:rPr>
        <w:t> </w:t>
      </w:r>
      <w:r>
        <w:rPr/>
        <w:t>a</w:t>
      </w:r>
      <w:r>
        <w:rPr>
          <w:spacing w:val="-8"/>
        </w:rPr>
        <w:t> </w:t>
      </w:r>
      <w:r>
        <w:rPr/>
        <w:t>third</w:t>
      </w:r>
      <w:r>
        <w:rPr>
          <w:spacing w:val="-8"/>
        </w:rPr>
        <w:t> </w:t>
      </w:r>
      <w:r>
        <w:rPr/>
        <w:t>(35</w:t>
      </w:r>
      <w:r>
        <w:rPr>
          <w:spacing w:val="-8"/>
        </w:rPr>
        <w:t> </w:t>
      </w:r>
      <w:r>
        <w:rPr/>
        <w:t>per</w:t>
      </w:r>
      <w:r>
        <w:rPr>
          <w:spacing w:val="-8"/>
        </w:rPr>
        <w:t> </w:t>
      </w:r>
      <w:r>
        <w:rPr/>
        <w:t>cent)</w:t>
      </w:r>
      <w:r>
        <w:rPr>
          <w:spacing w:val="-7"/>
        </w:rPr>
        <w:t> </w:t>
      </w:r>
      <w:r>
        <w:rPr/>
        <w:t>of</w:t>
      </w:r>
      <w:r>
        <w:rPr>
          <w:spacing w:val="-7"/>
        </w:rPr>
        <w:t> </w:t>
      </w:r>
      <w:r>
        <w:rPr/>
        <w:t>employer-side</w:t>
      </w:r>
      <w:r>
        <w:rPr>
          <w:spacing w:val="-8"/>
        </w:rPr>
        <w:t> </w:t>
      </w:r>
      <w:r>
        <w:rPr/>
        <w:t>participants</w:t>
      </w:r>
      <w:r>
        <w:rPr>
          <w:spacing w:val="-8"/>
        </w:rPr>
        <w:t> </w:t>
      </w:r>
      <w:r>
        <w:rPr/>
        <w:t>reported</w:t>
      </w:r>
      <w:r>
        <w:rPr>
          <w:spacing w:val="-8"/>
        </w:rPr>
        <w:t> </w:t>
      </w:r>
      <w:r>
        <w:rPr/>
        <w:t>having</w:t>
      </w:r>
      <w:r>
        <w:rPr>
          <w:spacing w:val="-8"/>
        </w:rPr>
        <w:t> </w:t>
      </w:r>
      <w:r>
        <w:rPr/>
        <w:t>taken part in EC before the Employment Tribunal claim had been submitted. This compares to 46 per cent in 2016.</w:t>
      </w:r>
    </w:p>
    <w:p>
      <w:pPr>
        <w:pStyle w:val="BodyText"/>
        <w:spacing w:line="259" w:lineRule="auto" w:before="159"/>
        <w:ind w:left="1337" w:right="1473"/>
        <w:jc w:val="both"/>
      </w:pPr>
      <w:r>
        <w:rPr/>
        <w:t>There has been a slight change in the balance of previous Employment Tribunal experience: in this wave of the survey 41 per cent of employer organisations had previously had an ET claim made against them, slightly below the 52 per cent recorded</w:t>
      </w:r>
      <w:r>
        <w:rPr>
          <w:spacing w:val="-5"/>
        </w:rPr>
        <w:t> </w:t>
      </w:r>
      <w:r>
        <w:rPr/>
        <w:t>in</w:t>
      </w:r>
      <w:r>
        <w:rPr>
          <w:spacing w:val="-5"/>
        </w:rPr>
        <w:t> </w:t>
      </w:r>
      <w:r>
        <w:rPr/>
        <w:t>2016.</w:t>
      </w:r>
      <w:r>
        <w:rPr>
          <w:spacing w:val="-5"/>
        </w:rPr>
        <w:t> </w:t>
      </w:r>
      <w:r>
        <w:rPr/>
        <w:t>Fifty-five</w:t>
      </w:r>
      <w:r>
        <w:rPr>
          <w:spacing w:val="-5"/>
        </w:rPr>
        <w:t> </w:t>
      </w:r>
      <w:r>
        <w:rPr/>
        <w:t>per</w:t>
      </w:r>
      <w:r>
        <w:rPr>
          <w:spacing w:val="-5"/>
        </w:rPr>
        <w:t> </w:t>
      </w:r>
      <w:r>
        <w:rPr/>
        <w:t>cent</w:t>
      </w:r>
      <w:r>
        <w:rPr>
          <w:spacing w:val="-5"/>
        </w:rPr>
        <w:t> </w:t>
      </w:r>
      <w:r>
        <w:rPr/>
        <w:t>had</w:t>
      </w:r>
      <w:r>
        <w:rPr>
          <w:spacing w:val="-6"/>
        </w:rPr>
        <w:t> </w:t>
      </w:r>
      <w:r>
        <w:rPr/>
        <w:t>no</w:t>
      </w:r>
      <w:r>
        <w:rPr>
          <w:spacing w:val="-5"/>
        </w:rPr>
        <w:t> </w:t>
      </w:r>
      <w:r>
        <w:rPr/>
        <w:t>prior</w:t>
      </w:r>
      <w:r>
        <w:rPr>
          <w:spacing w:val="-5"/>
        </w:rPr>
        <w:t> </w:t>
      </w:r>
      <w:r>
        <w:rPr/>
        <w:t>experience</w:t>
      </w:r>
      <w:r>
        <w:rPr>
          <w:spacing w:val="-5"/>
        </w:rPr>
        <w:t> </w:t>
      </w:r>
      <w:r>
        <w:rPr/>
        <w:t>of</w:t>
      </w:r>
      <w:r>
        <w:rPr>
          <w:spacing w:val="-5"/>
        </w:rPr>
        <w:t> </w:t>
      </w:r>
      <w:r>
        <w:rPr/>
        <w:t>an</w:t>
      </w:r>
      <w:r>
        <w:rPr>
          <w:spacing w:val="-5"/>
        </w:rPr>
        <w:t> </w:t>
      </w:r>
      <w:r>
        <w:rPr/>
        <w:t>ET</w:t>
      </w:r>
      <w:r>
        <w:rPr>
          <w:spacing w:val="-7"/>
        </w:rPr>
        <w:t> </w:t>
      </w:r>
      <w:r>
        <w:rPr/>
        <w:t>claim</w:t>
      </w:r>
      <w:r>
        <w:rPr>
          <w:spacing w:val="-5"/>
        </w:rPr>
        <w:t> </w:t>
      </w:r>
      <w:r>
        <w:rPr/>
        <w:t>having been made against them, a small increased from 44 per cent in 2016.</w:t>
      </w:r>
    </w:p>
    <w:p>
      <w:pPr>
        <w:pStyle w:val="BodyText"/>
        <w:rPr>
          <w:sz w:val="24"/>
        </w:rPr>
      </w:pPr>
    </w:p>
    <w:p>
      <w:pPr>
        <w:pStyle w:val="BodyText"/>
        <w:spacing w:before="11"/>
        <w:rPr>
          <w:sz w:val="23"/>
        </w:rPr>
      </w:pPr>
    </w:p>
    <w:p>
      <w:pPr>
        <w:pStyle w:val="Heading3"/>
        <w:numPr>
          <w:ilvl w:val="1"/>
          <w:numId w:val="2"/>
        </w:numPr>
        <w:tabs>
          <w:tab w:pos="1974" w:val="left" w:leader="none"/>
        </w:tabs>
        <w:spacing w:line="240" w:lineRule="auto" w:before="0" w:after="0"/>
        <w:ind w:left="1973" w:right="0" w:hanging="637"/>
        <w:jc w:val="both"/>
      </w:pPr>
      <w:bookmarkStart w:name="13.5  Comparison of profiles at ET stage" w:id="163"/>
      <w:bookmarkEnd w:id="163"/>
      <w:r>
        <w:rPr>
          <w:b w:val="0"/>
        </w:rPr>
      </w:r>
      <w:bookmarkStart w:name="_bookmark39" w:id="164"/>
      <w:bookmarkEnd w:id="164"/>
      <w:r>
        <w:rPr/>
        <w:t>C</w:t>
      </w:r>
      <w:r>
        <w:rPr/>
        <w:t>omparison</w:t>
      </w:r>
      <w:r>
        <w:rPr>
          <w:spacing w:val="-3"/>
        </w:rPr>
        <w:t> </w:t>
      </w:r>
      <w:r>
        <w:rPr/>
        <w:t>of</w:t>
      </w:r>
      <w:r>
        <w:rPr>
          <w:spacing w:val="-4"/>
        </w:rPr>
        <w:t> </w:t>
      </w:r>
      <w:r>
        <w:rPr/>
        <w:t>profiles</w:t>
      </w:r>
      <w:r>
        <w:rPr>
          <w:spacing w:val="-3"/>
        </w:rPr>
        <w:t> </w:t>
      </w:r>
      <w:r>
        <w:rPr/>
        <w:t>at</w:t>
      </w:r>
      <w:r>
        <w:rPr>
          <w:spacing w:val="-3"/>
        </w:rPr>
        <w:t> </w:t>
      </w:r>
      <w:r>
        <w:rPr/>
        <w:t>ET</w:t>
      </w:r>
      <w:r>
        <w:rPr>
          <w:spacing w:val="-3"/>
        </w:rPr>
        <w:t> </w:t>
      </w:r>
      <w:r>
        <w:rPr/>
        <w:t>stage</w:t>
      </w:r>
      <w:r>
        <w:rPr>
          <w:spacing w:val="-2"/>
        </w:rPr>
        <w:t> </w:t>
      </w:r>
      <w:r>
        <w:rPr/>
        <w:t>and</w:t>
      </w:r>
      <w:r>
        <w:rPr>
          <w:spacing w:val="-3"/>
        </w:rPr>
        <w:t> </w:t>
      </w:r>
      <w:r>
        <w:rPr/>
        <w:t>EC</w:t>
      </w:r>
      <w:r>
        <w:rPr>
          <w:spacing w:val="-2"/>
        </w:rPr>
        <w:t> stage</w:t>
      </w:r>
    </w:p>
    <w:p>
      <w:pPr>
        <w:pStyle w:val="BodyText"/>
        <w:spacing w:line="259" w:lineRule="auto" w:before="119"/>
        <w:ind w:left="1337" w:right="1473"/>
        <w:jc w:val="both"/>
      </w:pPr>
      <w:r>
        <w:rPr/>
        <w:t>As described in the previous sections, the profile of claimants and employers who submit</w:t>
      </w:r>
      <w:r>
        <w:rPr>
          <w:spacing w:val="-1"/>
        </w:rPr>
        <w:t> </w:t>
      </w:r>
      <w:r>
        <w:rPr/>
        <w:t>ET</w:t>
      </w:r>
      <w:r>
        <w:rPr>
          <w:spacing w:val="-1"/>
        </w:rPr>
        <w:t> </w:t>
      </w:r>
      <w:r>
        <w:rPr/>
        <w:t>applications</w:t>
      </w:r>
      <w:r>
        <w:rPr>
          <w:spacing w:val="-1"/>
        </w:rPr>
        <w:t> </w:t>
      </w:r>
      <w:r>
        <w:rPr/>
        <w:t>(as</w:t>
      </w:r>
      <w:r>
        <w:rPr>
          <w:spacing w:val="-1"/>
        </w:rPr>
        <w:t> </w:t>
      </w:r>
      <w:r>
        <w:rPr/>
        <w:t>recorded</w:t>
      </w:r>
      <w:r>
        <w:rPr>
          <w:spacing w:val="-1"/>
        </w:rPr>
        <w:t> </w:t>
      </w:r>
      <w:r>
        <w:rPr/>
        <w:t>by</w:t>
      </w:r>
      <w:r>
        <w:rPr>
          <w:spacing w:val="-1"/>
        </w:rPr>
        <w:t> </w:t>
      </w:r>
      <w:r>
        <w:rPr/>
        <w:t>this</w:t>
      </w:r>
      <w:r>
        <w:rPr>
          <w:spacing w:val="-1"/>
        </w:rPr>
        <w:t> </w:t>
      </w:r>
      <w:r>
        <w:rPr/>
        <w:t>survey)</w:t>
      </w:r>
      <w:r>
        <w:rPr>
          <w:spacing w:val="-1"/>
        </w:rPr>
        <w:t> </w:t>
      </w:r>
      <w:r>
        <w:rPr/>
        <w:t>is</w:t>
      </w:r>
      <w:r>
        <w:rPr>
          <w:spacing w:val="-1"/>
        </w:rPr>
        <w:t> </w:t>
      </w:r>
      <w:r>
        <w:rPr/>
        <w:t>very</w:t>
      </w:r>
      <w:r>
        <w:rPr>
          <w:spacing w:val="-1"/>
        </w:rPr>
        <w:t> </w:t>
      </w:r>
      <w:r>
        <w:rPr/>
        <w:t>similar</w:t>
      </w:r>
      <w:r>
        <w:rPr>
          <w:spacing w:val="-1"/>
        </w:rPr>
        <w:t> </w:t>
      </w:r>
      <w:r>
        <w:rPr/>
        <w:t>to</w:t>
      </w:r>
      <w:r>
        <w:rPr>
          <w:spacing w:val="-1"/>
        </w:rPr>
        <w:t> </w:t>
      </w:r>
      <w:r>
        <w:rPr/>
        <w:t>the</w:t>
      </w:r>
      <w:r>
        <w:rPr>
          <w:spacing w:val="-1"/>
        </w:rPr>
        <w:t> </w:t>
      </w:r>
      <w:r>
        <w:rPr/>
        <w:t>profile</w:t>
      </w:r>
      <w:r>
        <w:rPr>
          <w:spacing w:val="-2"/>
        </w:rPr>
        <w:t> </w:t>
      </w:r>
      <w:r>
        <w:rPr/>
        <w:t>of claimants who submit EC notifications (as recorded in the EC survey). However, there are some notable differences.</w:t>
      </w:r>
    </w:p>
    <w:p>
      <w:pPr>
        <w:spacing w:after="0" w:line="259" w:lineRule="auto"/>
        <w:jc w:val="both"/>
        <w:sectPr>
          <w:pgSz w:w="11910" w:h="16840"/>
          <w:pgMar w:header="0" w:footer="996" w:top="1340" w:bottom="1180" w:left="460" w:right="320"/>
        </w:sectPr>
      </w:pPr>
    </w:p>
    <w:p>
      <w:pPr>
        <w:pStyle w:val="Heading4"/>
        <w:numPr>
          <w:ilvl w:val="2"/>
          <w:numId w:val="35"/>
        </w:numPr>
        <w:tabs>
          <w:tab w:pos="2189" w:val="left" w:leader="none"/>
        </w:tabs>
        <w:spacing w:line="240" w:lineRule="auto" w:before="72" w:after="0"/>
        <w:ind w:left="2188" w:right="0" w:hanging="852"/>
        <w:jc w:val="both"/>
        <w:rPr>
          <w:i/>
        </w:rPr>
      </w:pPr>
      <w:bookmarkStart w:name="13.5.1 Claimant-side" w:id="165"/>
      <w:bookmarkEnd w:id="165"/>
      <w:r>
        <w:rPr>
          <w:i/>
          <w:spacing w:val="-2"/>
        </w:rPr>
        <w:t>C</w:t>
      </w:r>
      <w:r>
        <w:rPr>
          <w:i/>
          <w:spacing w:val="-2"/>
        </w:rPr>
        <w:t>laimant-</w:t>
      </w:r>
      <w:r>
        <w:rPr>
          <w:i/>
          <w:spacing w:val="-4"/>
        </w:rPr>
        <w:t>side</w:t>
      </w:r>
    </w:p>
    <w:p>
      <w:pPr>
        <w:pStyle w:val="ListParagraph"/>
        <w:numPr>
          <w:ilvl w:val="3"/>
          <w:numId w:val="35"/>
        </w:numPr>
        <w:tabs>
          <w:tab w:pos="2058" w:val="left" w:leader="none"/>
        </w:tabs>
        <w:spacing w:line="252" w:lineRule="auto" w:before="58" w:after="0"/>
        <w:ind w:left="2057" w:right="1476" w:hanging="360"/>
        <w:jc w:val="both"/>
        <w:rPr>
          <w:rFonts w:ascii="Symbol" w:hAnsi="Symbol"/>
          <w:sz w:val="22"/>
        </w:rPr>
      </w:pPr>
      <w:r>
        <w:rPr>
          <w:sz w:val="20"/>
        </w:rPr>
        <w:t>Overall</w:t>
      </w:r>
      <w:r>
        <w:rPr>
          <w:spacing w:val="-2"/>
          <w:sz w:val="20"/>
        </w:rPr>
        <w:t> </w:t>
      </w:r>
      <w:r>
        <w:rPr>
          <w:sz w:val="20"/>
        </w:rPr>
        <w:t>representation</w:t>
      </w:r>
      <w:r>
        <w:rPr>
          <w:spacing w:val="-1"/>
          <w:sz w:val="20"/>
        </w:rPr>
        <w:t> </w:t>
      </w:r>
      <w:r>
        <w:rPr>
          <w:sz w:val="20"/>
        </w:rPr>
        <w:t>at the</w:t>
      </w:r>
      <w:r>
        <w:rPr>
          <w:spacing w:val="-2"/>
          <w:sz w:val="20"/>
        </w:rPr>
        <w:t> </w:t>
      </w:r>
      <w:r>
        <w:rPr>
          <w:sz w:val="20"/>
        </w:rPr>
        <w:t>ET</w:t>
      </w:r>
      <w:r>
        <w:rPr>
          <w:spacing w:val="-2"/>
          <w:sz w:val="20"/>
        </w:rPr>
        <w:t> </w:t>
      </w:r>
      <w:r>
        <w:rPr>
          <w:sz w:val="20"/>
        </w:rPr>
        <w:t>stage</w:t>
      </w:r>
      <w:r>
        <w:rPr>
          <w:spacing w:val="-1"/>
          <w:sz w:val="20"/>
        </w:rPr>
        <w:t> </w:t>
      </w:r>
      <w:r>
        <w:rPr>
          <w:sz w:val="20"/>
        </w:rPr>
        <w:t>is</w:t>
      </w:r>
      <w:r>
        <w:rPr>
          <w:spacing w:val="-1"/>
          <w:sz w:val="20"/>
        </w:rPr>
        <w:t> </w:t>
      </w:r>
      <w:r>
        <w:rPr>
          <w:sz w:val="20"/>
        </w:rPr>
        <w:t>significantly</w:t>
      </w:r>
      <w:r>
        <w:rPr>
          <w:spacing w:val="-1"/>
          <w:sz w:val="20"/>
        </w:rPr>
        <w:t> </w:t>
      </w:r>
      <w:r>
        <w:rPr>
          <w:sz w:val="20"/>
        </w:rPr>
        <w:t>higher</w:t>
      </w:r>
      <w:r>
        <w:rPr>
          <w:spacing w:val="-1"/>
          <w:sz w:val="20"/>
        </w:rPr>
        <w:t> </w:t>
      </w:r>
      <w:r>
        <w:rPr>
          <w:sz w:val="20"/>
        </w:rPr>
        <w:t>than</w:t>
      </w:r>
      <w:r>
        <w:rPr>
          <w:spacing w:val="-1"/>
          <w:sz w:val="20"/>
        </w:rPr>
        <w:t> </w:t>
      </w:r>
      <w:r>
        <w:rPr>
          <w:sz w:val="20"/>
        </w:rPr>
        <w:t>at</w:t>
      </w:r>
      <w:r>
        <w:rPr>
          <w:spacing w:val="-2"/>
          <w:sz w:val="20"/>
        </w:rPr>
        <w:t> </w:t>
      </w:r>
      <w:r>
        <w:rPr>
          <w:sz w:val="20"/>
        </w:rPr>
        <w:t>the</w:t>
      </w:r>
      <w:r>
        <w:rPr>
          <w:spacing w:val="-2"/>
          <w:sz w:val="20"/>
        </w:rPr>
        <w:t> </w:t>
      </w:r>
      <w:r>
        <w:rPr>
          <w:sz w:val="20"/>
        </w:rPr>
        <w:t>EC </w:t>
      </w:r>
      <w:r>
        <w:rPr>
          <w:spacing w:val="-2"/>
          <w:sz w:val="20"/>
        </w:rPr>
        <w:t>stage.</w:t>
      </w:r>
    </w:p>
    <w:p>
      <w:pPr>
        <w:pStyle w:val="ListParagraph"/>
        <w:numPr>
          <w:ilvl w:val="3"/>
          <w:numId w:val="35"/>
        </w:numPr>
        <w:tabs>
          <w:tab w:pos="2058" w:val="left" w:leader="none"/>
        </w:tabs>
        <w:spacing w:line="254" w:lineRule="auto" w:before="7" w:after="0"/>
        <w:ind w:left="2057" w:right="1472" w:hanging="360"/>
        <w:jc w:val="both"/>
        <w:rPr>
          <w:rFonts w:ascii="Symbol" w:hAnsi="Symbol"/>
          <w:sz w:val="22"/>
        </w:rPr>
      </w:pPr>
      <w:r>
        <w:rPr>
          <w:sz w:val="20"/>
        </w:rPr>
        <w:t>The most commonly used representatives at both stages were solicitors, barristers</w:t>
      </w:r>
      <w:r>
        <w:rPr>
          <w:spacing w:val="-2"/>
          <w:sz w:val="20"/>
        </w:rPr>
        <w:t> </w:t>
      </w:r>
      <w:r>
        <w:rPr>
          <w:sz w:val="20"/>
        </w:rPr>
        <w:t>or</w:t>
      </w:r>
      <w:r>
        <w:rPr>
          <w:spacing w:val="-2"/>
          <w:sz w:val="20"/>
        </w:rPr>
        <w:t> </w:t>
      </w:r>
      <w:r>
        <w:rPr>
          <w:sz w:val="20"/>
        </w:rPr>
        <w:t>lawyers,</w:t>
      </w:r>
      <w:r>
        <w:rPr>
          <w:spacing w:val="-1"/>
          <w:sz w:val="20"/>
        </w:rPr>
        <w:t> </w:t>
      </w:r>
      <w:r>
        <w:rPr>
          <w:sz w:val="20"/>
        </w:rPr>
        <w:t>but</w:t>
      </w:r>
      <w:r>
        <w:rPr>
          <w:spacing w:val="-1"/>
          <w:sz w:val="20"/>
        </w:rPr>
        <w:t> </w:t>
      </w:r>
      <w:r>
        <w:rPr>
          <w:sz w:val="20"/>
        </w:rPr>
        <w:t>the</w:t>
      </w:r>
      <w:r>
        <w:rPr>
          <w:spacing w:val="-2"/>
          <w:sz w:val="20"/>
        </w:rPr>
        <w:t> </w:t>
      </w:r>
      <w:r>
        <w:rPr>
          <w:sz w:val="20"/>
        </w:rPr>
        <w:t>use</w:t>
      </w:r>
      <w:r>
        <w:rPr>
          <w:spacing w:val="-2"/>
          <w:sz w:val="20"/>
        </w:rPr>
        <w:t> </w:t>
      </w:r>
      <w:r>
        <w:rPr>
          <w:sz w:val="20"/>
        </w:rPr>
        <w:t>of</w:t>
      </w:r>
      <w:r>
        <w:rPr>
          <w:spacing w:val="-1"/>
          <w:sz w:val="20"/>
        </w:rPr>
        <w:t> </w:t>
      </w:r>
      <w:r>
        <w:rPr>
          <w:sz w:val="20"/>
        </w:rPr>
        <w:t>such</w:t>
      </w:r>
      <w:r>
        <w:rPr>
          <w:spacing w:val="-1"/>
          <w:sz w:val="20"/>
        </w:rPr>
        <w:t> </w:t>
      </w:r>
      <w:r>
        <w:rPr>
          <w:sz w:val="20"/>
        </w:rPr>
        <w:t>representatives</w:t>
      </w:r>
      <w:r>
        <w:rPr>
          <w:spacing w:val="-2"/>
          <w:sz w:val="20"/>
        </w:rPr>
        <w:t> </w:t>
      </w:r>
      <w:r>
        <w:rPr>
          <w:sz w:val="20"/>
        </w:rPr>
        <w:t>was</w:t>
      </w:r>
      <w:r>
        <w:rPr>
          <w:spacing w:val="-2"/>
          <w:sz w:val="20"/>
        </w:rPr>
        <w:t> </w:t>
      </w:r>
      <w:r>
        <w:rPr>
          <w:sz w:val="20"/>
        </w:rPr>
        <w:t>much</w:t>
      </w:r>
      <w:r>
        <w:rPr>
          <w:spacing w:val="-1"/>
          <w:sz w:val="20"/>
        </w:rPr>
        <w:t> </w:t>
      </w:r>
      <w:r>
        <w:rPr>
          <w:sz w:val="20"/>
        </w:rPr>
        <w:t>higher at the post-ET1 conciliation stage than the EC notification stage.</w:t>
      </w:r>
    </w:p>
    <w:p>
      <w:pPr>
        <w:pStyle w:val="ListParagraph"/>
        <w:numPr>
          <w:ilvl w:val="3"/>
          <w:numId w:val="35"/>
        </w:numPr>
        <w:tabs>
          <w:tab w:pos="2058" w:val="left" w:leader="none"/>
        </w:tabs>
        <w:spacing w:line="252" w:lineRule="auto" w:before="6" w:after="0"/>
        <w:ind w:left="2057" w:right="1474" w:hanging="361"/>
        <w:jc w:val="both"/>
        <w:rPr>
          <w:rFonts w:ascii="Symbol" w:hAnsi="Symbol"/>
          <w:sz w:val="22"/>
        </w:rPr>
      </w:pPr>
      <w:r>
        <w:rPr>
          <w:sz w:val="20"/>
        </w:rPr>
        <w:t>Claimant representatives involved in post-ET1 conciliation were also more likely to have greater experience than those used in EC.</w:t>
      </w:r>
    </w:p>
    <w:p>
      <w:pPr>
        <w:pStyle w:val="ListParagraph"/>
        <w:numPr>
          <w:ilvl w:val="3"/>
          <w:numId w:val="35"/>
        </w:numPr>
        <w:tabs>
          <w:tab w:pos="2058" w:val="left" w:leader="none"/>
        </w:tabs>
        <w:spacing w:line="240" w:lineRule="auto" w:before="7" w:after="0"/>
        <w:ind w:left="2057" w:right="1472" w:hanging="360"/>
        <w:jc w:val="both"/>
        <w:rPr>
          <w:rFonts w:ascii="Symbol" w:hAnsi="Symbol"/>
          <w:sz w:val="20"/>
        </w:rPr>
      </w:pPr>
      <w:r>
        <w:rPr>
          <w:sz w:val="20"/>
        </w:rPr>
        <w:t>Claimants not in paid employment at the time of the ET interview were significantly</w:t>
      </w:r>
      <w:r>
        <w:rPr>
          <w:spacing w:val="-4"/>
          <w:sz w:val="20"/>
        </w:rPr>
        <w:t> </w:t>
      </w:r>
      <w:r>
        <w:rPr>
          <w:sz w:val="20"/>
        </w:rPr>
        <w:t>more</w:t>
      </w:r>
      <w:r>
        <w:rPr>
          <w:spacing w:val="-5"/>
          <w:sz w:val="20"/>
        </w:rPr>
        <w:t> </w:t>
      </w:r>
      <w:r>
        <w:rPr>
          <w:sz w:val="20"/>
        </w:rPr>
        <w:t>likely</w:t>
      </w:r>
      <w:r>
        <w:rPr>
          <w:spacing w:val="-4"/>
          <w:sz w:val="20"/>
        </w:rPr>
        <w:t> </w:t>
      </w:r>
      <w:r>
        <w:rPr>
          <w:sz w:val="20"/>
        </w:rPr>
        <w:t>to</w:t>
      </w:r>
      <w:r>
        <w:rPr>
          <w:spacing w:val="-5"/>
          <w:sz w:val="20"/>
        </w:rPr>
        <w:t> </w:t>
      </w:r>
      <w:r>
        <w:rPr>
          <w:sz w:val="20"/>
        </w:rPr>
        <w:t>report</w:t>
      </w:r>
      <w:r>
        <w:rPr>
          <w:spacing w:val="-4"/>
          <w:sz w:val="20"/>
        </w:rPr>
        <w:t> </w:t>
      </w:r>
      <w:r>
        <w:rPr>
          <w:sz w:val="20"/>
        </w:rPr>
        <w:t>having</w:t>
      </w:r>
      <w:r>
        <w:rPr>
          <w:spacing w:val="-4"/>
          <w:sz w:val="20"/>
        </w:rPr>
        <w:t> </w:t>
      </w:r>
      <w:r>
        <w:rPr>
          <w:sz w:val="20"/>
        </w:rPr>
        <w:t>had</w:t>
      </w:r>
      <w:r>
        <w:rPr>
          <w:spacing w:val="-4"/>
          <w:sz w:val="20"/>
        </w:rPr>
        <w:t> </w:t>
      </w:r>
      <w:r>
        <w:rPr>
          <w:sz w:val="20"/>
        </w:rPr>
        <w:t>paid</w:t>
      </w:r>
      <w:r>
        <w:rPr>
          <w:spacing w:val="-4"/>
          <w:sz w:val="20"/>
        </w:rPr>
        <w:t> </w:t>
      </w:r>
      <w:r>
        <w:rPr>
          <w:sz w:val="20"/>
        </w:rPr>
        <w:t>work</w:t>
      </w:r>
      <w:r>
        <w:rPr>
          <w:spacing w:val="-4"/>
          <w:sz w:val="20"/>
        </w:rPr>
        <w:t> </w:t>
      </w:r>
      <w:r>
        <w:rPr>
          <w:sz w:val="20"/>
        </w:rPr>
        <w:t>at</w:t>
      </w:r>
      <w:r>
        <w:rPr>
          <w:spacing w:val="-4"/>
          <w:sz w:val="20"/>
        </w:rPr>
        <w:t> </w:t>
      </w:r>
      <w:r>
        <w:rPr>
          <w:sz w:val="20"/>
        </w:rPr>
        <w:t>some</w:t>
      </w:r>
      <w:r>
        <w:rPr>
          <w:spacing w:val="-5"/>
          <w:sz w:val="20"/>
        </w:rPr>
        <w:t> </w:t>
      </w:r>
      <w:r>
        <w:rPr>
          <w:sz w:val="20"/>
        </w:rPr>
        <w:t>point</w:t>
      </w:r>
      <w:r>
        <w:rPr>
          <w:spacing w:val="-4"/>
          <w:sz w:val="20"/>
        </w:rPr>
        <w:t> </w:t>
      </w:r>
      <w:r>
        <w:rPr>
          <w:sz w:val="20"/>
        </w:rPr>
        <w:t>since leaving their employer than claimants not in paid employment at the time of</w:t>
      </w:r>
      <w:r>
        <w:rPr>
          <w:spacing w:val="-1"/>
          <w:sz w:val="20"/>
        </w:rPr>
        <w:t> </w:t>
      </w:r>
      <w:r>
        <w:rPr>
          <w:sz w:val="20"/>
        </w:rPr>
        <w:t>the</w:t>
      </w:r>
      <w:r>
        <w:rPr>
          <w:spacing w:val="-4"/>
          <w:sz w:val="20"/>
        </w:rPr>
        <w:t> </w:t>
      </w:r>
      <w:r>
        <w:rPr>
          <w:sz w:val="20"/>
        </w:rPr>
        <w:t>EC</w:t>
      </w:r>
      <w:r>
        <w:rPr>
          <w:spacing w:val="-3"/>
          <w:sz w:val="20"/>
        </w:rPr>
        <w:t> </w:t>
      </w:r>
      <w:r>
        <w:rPr>
          <w:sz w:val="20"/>
        </w:rPr>
        <w:t>interview,</w:t>
      </w:r>
      <w:r>
        <w:rPr>
          <w:spacing w:val="-1"/>
          <w:sz w:val="20"/>
        </w:rPr>
        <w:t> </w:t>
      </w:r>
      <w:r>
        <w:rPr>
          <w:sz w:val="20"/>
        </w:rPr>
        <w:t>likely</w:t>
      </w:r>
      <w:r>
        <w:rPr>
          <w:spacing w:val="-2"/>
          <w:sz w:val="20"/>
        </w:rPr>
        <w:t> </w:t>
      </w:r>
      <w:r>
        <w:rPr>
          <w:sz w:val="20"/>
        </w:rPr>
        <w:t>attributable</w:t>
      </w:r>
      <w:r>
        <w:rPr>
          <w:spacing w:val="-3"/>
          <w:sz w:val="20"/>
        </w:rPr>
        <w:t> </w:t>
      </w:r>
      <w:r>
        <w:rPr>
          <w:sz w:val="20"/>
        </w:rPr>
        <w:t>to</w:t>
      </w:r>
      <w:r>
        <w:rPr>
          <w:spacing w:val="-2"/>
          <w:sz w:val="20"/>
        </w:rPr>
        <w:t> </w:t>
      </w:r>
      <w:r>
        <w:rPr>
          <w:sz w:val="20"/>
        </w:rPr>
        <w:t>the</w:t>
      </w:r>
      <w:r>
        <w:rPr>
          <w:spacing w:val="-2"/>
          <w:sz w:val="20"/>
        </w:rPr>
        <w:t> </w:t>
      </w:r>
      <w:r>
        <w:rPr>
          <w:sz w:val="20"/>
        </w:rPr>
        <w:t>longer</w:t>
      </w:r>
      <w:r>
        <w:rPr>
          <w:spacing w:val="-2"/>
          <w:sz w:val="20"/>
        </w:rPr>
        <w:t> </w:t>
      </w:r>
      <w:r>
        <w:rPr>
          <w:sz w:val="20"/>
        </w:rPr>
        <w:t>period</w:t>
      </w:r>
      <w:r>
        <w:rPr>
          <w:spacing w:val="-2"/>
          <w:sz w:val="20"/>
        </w:rPr>
        <w:t> </w:t>
      </w:r>
      <w:r>
        <w:rPr>
          <w:sz w:val="20"/>
        </w:rPr>
        <w:t>of</w:t>
      </w:r>
      <w:r>
        <w:rPr>
          <w:spacing w:val="-3"/>
          <w:sz w:val="20"/>
        </w:rPr>
        <w:t> </w:t>
      </w:r>
      <w:r>
        <w:rPr>
          <w:sz w:val="20"/>
        </w:rPr>
        <w:t>time</w:t>
      </w:r>
      <w:r>
        <w:rPr>
          <w:spacing w:val="-2"/>
          <w:sz w:val="20"/>
        </w:rPr>
        <w:t> </w:t>
      </w:r>
      <w:r>
        <w:rPr>
          <w:sz w:val="20"/>
        </w:rPr>
        <w:t>between the workplace incident and the survey in the former.</w:t>
      </w:r>
    </w:p>
    <w:p>
      <w:pPr>
        <w:pStyle w:val="BodyText"/>
        <w:spacing w:before="11"/>
        <w:rPr>
          <w:sz w:val="19"/>
        </w:rPr>
      </w:pPr>
    </w:p>
    <w:p>
      <w:pPr>
        <w:pStyle w:val="Heading4"/>
        <w:numPr>
          <w:ilvl w:val="2"/>
          <w:numId w:val="35"/>
        </w:numPr>
        <w:tabs>
          <w:tab w:pos="2189" w:val="left" w:leader="none"/>
        </w:tabs>
        <w:spacing w:line="240" w:lineRule="auto" w:before="0" w:after="0"/>
        <w:ind w:left="2188" w:right="0" w:hanging="852"/>
        <w:jc w:val="both"/>
        <w:rPr>
          <w:i/>
        </w:rPr>
      </w:pPr>
      <w:bookmarkStart w:name="13.5.2 Employer-side" w:id="166"/>
      <w:bookmarkEnd w:id="166"/>
      <w:r>
        <w:rPr>
          <w:i/>
          <w:spacing w:val="-2"/>
        </w:rPr>
        <w:t>E</w:t>
      </w:r>
      <w:r>
        <w:rPr>
          <w:i/>
          <w:spacing w:val="-2"/>
        </w:rPr>
        <w:t>mployer-</w:t>
      </w:r>
      <w:r>
        <w:rPr>
          <w:i/>
          <w:spacing w:val="-4"/>
        </w:rPr>
        <w:t>side</w:t>
      </w:r>
    </w:p>
    <w:p>
      <w:pPr>
        <w:pStyle w:val="ListParagraph"/>
        <w:numPr>
          <w:ilvl w:val="3"/>
          <w:numId w:val="35"/>
        </w:numPr>
        <w:tabs>
          <w:tab w:pos="2058" w:val="left" w:leader="none"/>
        </w:tabs>
        <w:spacing w:line="252" w:lineRule="auto" w:before="59" w:after="0"/>
        <w:ind w:left="2057" w:right="1473" w:hanging="360"/>
        <w:jc w:val="both"/>
        <w:rPr>
          <w:rFonts w:ascii="Symbol" w:hAnsi="Symbol"/>
          <w:sz w:val="22"/>
        </w:rPr>
      </w:pPr>
      <w:r>
        <w:rPr>
          <w:sz w:val="20"/>
        </w:rPr>
        <w:t>Matching trends in the claimant-side survey, overall representation at the ET stage among employers is significantly higher than at the EC stage.</w:t>
      </w:r>
    </w:p>
    <w:p>
      <w:pPr>
        <w:pStyle w:val="ListParagraph"/>
        <w:numPr>
          <w:ilvl w:val="3"/>
          <w:numId w:val="35"/>
        </w:numPr>
        <w:tabs>
          <w:tab w:pos="2058" w:val="left" w:leader="none"/>
        </w:tabs>
        <w:spacing w:line="259" w:lineRule="auto" w:before="8" w:after="0"/>
        <w:ind w:left="2057" w:right="1472" w:hanging="360"/>
        <w:jc w:val="both"/>
        <w:rPr>
          <w:rFonts w:ascii="Symbol" w:hAnsi="Symbol"/>
          <w:sz w:val="20"/>
        </w:rPr>
      </w:pPr>
      <w:r>
        <w:rPr>
          <w:sz w:val="20"/>
        </w:rPr>
        <w:t>As with claimants, the most commonly used employer representatives at both stages were solicitors, barristers or lawyers, but the use of such representatives</w:t>
      </w:r>
      <w:r>
        <w:rPr>
          <w:spacing w:val="-11"/>
          <w:sz w:val="20"/>
        </w:rPr>
        <w:t> </w:t>
      </w:r>
      <w:r>
        <w:rPr>
          <w:sz w:val="20"/>
        </w:rPr>
        <w:t>was</w:t>
      </w:r>
      <w:r>
        <w:rPr>
          <w:spacing w:val="-11"/>
          <w:sz w:val="20"/>
        </w:rPr>
        <w:t> </w:t>
      </w:r>
      <w:r>
        <w:rPr>
          <w:sz w:val="20"/>
        </w:rPr>
        <w:t>much</w:t>
      </w:r>
      <w:r>
        <w:rPr>
          <w:spacing w:val="-12"/>
          <w:sz w:val="20"/>
        </w:rPr>
        <w:t> </w:t>
      </w:r>
      <w:r>
        <w:rPr>
          <w:sz w:val="20"/>
        </w:rPr>
        <w:t>higher</w:t>
      </w:r>
      <w:r>
        <w:rPr>
          <w:spacing w:val="-12"/>
          <w:sz w:val="20"/>
        </w:rPr>
        <w:t> </w:t>
      </w:r>
      <w:r>
        <w:rPr>
          <w:sz w:val="20"/>
        </w:rPr>
        <w:t>at</w:t>
      </w:r>
      <w:r>
        <w:rPr>
          <w:spacing w:val="-12"/>
          <w:sz w:val="20"/>
        </w:rPr>
        <w:t> </w:t>
      </w:r>
      <w:r>
        <w:rPr>
          <w:sz w:val="20"/>
        </w:rPr>
        <w:t>the</w:t>
      </w:r>
      <w:r>
        <w:rPr>
          <w:spacing w:val="-12"/>
          <w:sz w:val="20"/>
        </w:rPr>
        <w:t> </w:t>
      </w:r>
      <w:r>
        <w:rPr>
          <w:sz w:val="20"/>
        </w:rPr>
        <w:t>post-ET1</w:t>
      </w:r>
      <w:r>
        <w:rPr>
          <w:spacing w:val="-11"/>
          <w:sz w:val="20"/>
        </w:rPr>
        <w:t> </w:t>
      </w:r>
      <w:r>
        <w:rPr>
          <w:sz w:val="20"/>
        </w:rPr>
        <w:t>application</w:t>
      </w:r>
      <w:r>
        <w:rPr>
          <w:spacing w:val="-11"/>
          <w:sz w:val="20"/>
        </w:rPr>
        <w:t> </w:t>
      </w:r>
      <w:r>
        <w:rPr>
          <w:sz w:val="20"/>
        </w:rPr>
        <w:t>stage</w:t>
      </w:r>
      <w:r>
        <w:rPr>
          <w:spacing w:val="-12"/>
          <w:sz w:val="20"/>
        </w:rPr>
        <w:t> </w:t>
      </w:r>
      <w:r>
        <w:rPr>
          <w:sz w:val="20"/>
        </w:rPr>
        <w:t>than</w:t>
      </w:r>
      <w:r>
        <w:rPr>
          <w:spacing w:val="-10"/>
          <w:sz w:val="20"/>
        </w:rPr>
        <w:t> </w:t>
      </w:r>
      <w:r>
        <w:rPr>
          <w:sz w:val="20"/>
        </w:rPr>
        <w:t>the EC notification stage, and they also tended to be more experienced at this later point.</w:t>
      </w:r>
    </w:p>
    <w:p>
      <w:pPr>
        <w:pStyle w:val="ListParagraph"/>
        <w:numPr>
          <w:ilvl w:val="3"/>
          <w:numId w:val="35"/>
        </w:numPr>
        <w:tabs>
          <w:tab w:pos="2058" w:val="left" w:leader="none"/>
        </w:tabs>
        <w:spacing w:line="256" w:lineRule="auto" w:before="0" w:after="0"/>
        <w:ind w:left="2057" w:right="1473" w:hanging="360"/>
        <w:jc w:val="both"/>
        <w:rPr>
          <w:rFonts w:ascii="Symbol" w:hAnsi="Symbol"/>
          <w:sz w:val="22"/>
        </w:rPr>
      </w:pPr>
      <w:r>
        <w:rPr>
          <w:sz w:val="20"/>
        </w:rPr>
        <w:t>In</w:t>
      </w:r>
      <w:r>
        <w:rPr>
          <w:spacing w:val="-10"/>
          <w:sz w:val="20"/>
        </w:rPr>
        <w:t> </w:t>
      </w:r>
      <w:r>
        <w:rPr>
          <w:sz w:val="20"/>
        </w:rPr>
        <w:t>line</w:t>
      </w:r>
      <w:r>
        <w:rPr>
          <w:spacing w:val="-10"/>
          <w:sz w:val="20"/>
        </w:rPr>
        <w:t> </w:t>
      </w:r>
      <w:r>
        <w:rPr>
          <w:sz w:val="20"/>
        </w:rPr>
        <w:t>with</w:t>
      </w:r>
      <w:r>
        <w:rPr>
          <w:spacing w:val="-11"/>
          <w:sz w:val="20"/>
        </w:rPr>
        <w:t> </w:t>
      </w:r>
      <w:r>
        <w:rPr>
          <w:sz w:val="20"/>
        </w:rPr>
        <w:t>claimant</w:t>
      </w:r>
      <w:r>
        <w:rPr>
          <w:spacing w:val="-10"/>
          <w:sz w:val="20"/>
        </w:rPr>
        <w:t> </w:t>
      </w:r>
      <w:r>
        <w:rPr>
          <w:sz w:val="20"/>
        </w:rPr>
        <w:t>representatives,</w:t>
      </w:r>
      <w:r>
        <w:rPr>
          <w:spacing w:val="-10"/>
          <w:sz w:val="20"/>
        </w:rPr>
        <w:t> </w:t>
      </w:r>
      <w:r>
        <w:rPr>
          <w:sz w:val="20"/>
        </w:rPr>
        <w:t>employer</w:t>
      </w:r>
      <w:r>
        <w:rPr>
          <w:spacing w:val="-10"/>
          <w:sz w:val="20"/>
        </w:rPr>
        <w:t> </w:t>
      </w:r>
      <w:r>
        <w:rPr>
          <w:sz w:val="20"/>
        </w:rPr>
        <w:t>representatives</w:t>
      </w:r>
      <w:r>
        <w:rPr>
          <w:spacing w:val="-10"/>
          <w:sz w:val="20"/>
        </w:rPr>
        <w:t> </w:t>
      </w:r>
      <w:r>
        <w:rPr>
          <w:sz w:val="20"/>
        </w:rPr>
        <w:t>at</w:t>
      </w:r>
      <w:r>
        <w:rPr>
          <w:spacing w:val="-10"/>
          <w:sz w:val="20"/>
        </w:rPr>
        <w:t> </w:t>
      </w:r>
      <w:r>
        <w:rPr>
          <w:sz w:val="20"/>
        </w:rPr>
        <w:t>the</w:t>
      </w:r>
      <w:r>
        <w:rPr>
          <w:spacing w:val="-10"/>
          <w:sz w:val="20"/>
        </w:rPr>
        <w:t> </w:t>
      </w:r>
      <w:r>
        <w:rPr>
          <w:sz w:val="20"/>
        </w:rPr>
        <w:t>post- ET1 conciliation stage were more experienced than those at the EC notification stage.</w:t>
      </w:r>
    </w:p>
    <w:p>
      <w:pPr>
        <w:pStyle w:val="ListParagraph"/>
        <w:numPr>
          <w:ilvl w:val="3"/>
          <w:numId w:val="35"/>
        </w:numPr>
        <w:tabs>
          <w:tab w:pos="2058" w:val="left" w:leader="none"/>
        </w:tabs>
        <w:spacing w:line="256" w:lineRule="auto" w:before="0" w:after="0"/>
        <w:ind w:left="2057" w:right="1475" w:hanging="360"/>
        <w:jc w:val="both"/>
        <w:rPr>
          <w:rFonts w:ascii="Symbol" w:hAnsi="Symbol"/>
          <w:sz w:val="22"/>
        </w:rPr>
      </w:pPr>
      <w:r>
        <w:rPr>
          <w:sz w:val="20"/>
        </w:rPr>
        <w:t>Employers involved in post-ET1 conciliation were more likely to be from smaller</w:t>
      </w:r>
      <w:r>
        <w:rPr>
          <w:spacing w:val="-5"/>
          <w:sz w:val="20"/>
        </w:rPr>
        <w:t> </w:t>
      </w:r>
      <w:r>
        <w:rPr>
          <w:sz w:val="20"/>
        </w:rPr>
        <w:t>organisations</w:t>
      </w:r>
      <w:r>
        <w:rPr>
          <w:spacing w:val="-4"/>
          <w:sz w:val="20"/>
        </w:rPr>
        <w:t> </w:t>
      </w:r>
      <w:r>
        <w:rPr>
          <w:sz w:val="20"/>
        </w:rPr>
        <w:t>than</w:t>
      </w:r>
      <w:r>
        <w:rPr>
          <w:spacing w:val="-5"/>
          <w:sz w:val="20"/>
        </w:rPr>
        <w:t> </w:t>
      </w:r>
      <w:r>
        <w:rPr>
          <w:sz w:val="20"/>
        </w:rPr>
        <w:t>those</w:t>
      </w:r>
      <w:r>
        <w:rPr>
          <w:spacing w:val="-6"/>
          <w:sz w:val="20"/>
        </w:rPr>
        <w:t> </w:t>
      </w:r>
      <w:r>
        <w:rPr>
          <w:sz w:val="20"/>
        </w:rPr>
        <w:t>at</w:t>
      </w:r>
      <w:r>
        <w:rPr>
          <w:spacing w:val="-4"/>
          <w:sz w:val="20"/>
        </w:rPr>
        <w:t> </w:t>
      </w:r>
      <w:r>
        <w:rPr>
          <w:sz w:val="20"/>
        </w:rPr>
        <w:t>the</w:t>
      </w:r>
      <w:r>
        <w:rPr>
          <w:spacing w:val="-6"/>
          <w:sz w:val="20"/>
        </w:rPr>
        <w:t> </w:t>
      </w:r>
      <w:r>
        <w:rPr>
          <w:sz w:val="20"/>
        </w:rPr>
        <w:t>EC</w:t>
      </w:r>
      <w:r>
        <w:rPr>
          <w:spacing w:val="-5"/>
          <w:sz w:val="20"/>
        </w:rPr>
        <w:t> </w:t>
      </w:r>
      <w:r>
        <w:rPr>
          <w:sz w:val="20"/>
        </w:rPr>
        <w:t>stage.</w:t>
      </w:r>
      <w:r>
        <w:rPr>
          <w:spacing w:val="-4"/>
          <w:sz w:val="20"/>
        </w:rPr>
        <w:t> </w:t>
      </w:r>
      <w:r>
        <w:rPr>
          <w:sz w:val="20"/>
        </w:rPr>
        <w:t>They</w:t>
      </w:r>
      <w:r>
        <w:rPr>
          <w:spacing w:val="-5"/>
          <w:sz w:val="20"/>
        </w:rPr>
        <w:t> </w:t>
      </w:r>
      <w:r>
        <w:rPr>
          <w:sz w:val="20"/>
        </w:rPr>
        <w:t>were</w:t>
      </w:r>
      <w:r>
        <w:rPr>
          <w:spacing w:val="-5"/>
          <w:sz w:val="20"/>
        </w:rPr>
        <w:t> </w:t>
      </w:r>
      <w:r>
        <w:rPr>
          <w:sz w:val="20"/>
        </w:rPr>
        <w:t>also</w:t>
      </w:r>
      <w:r>
        <w:rPr>
          <w:spacing w:val="-5"/>
          <w:sz w:val="20"/>
        </w:rPr>
        <w:t> </w:t>
      </w:r>
      <w:r>
        <w:rPr>
          <w:sz w:val="20"/>
        </w:rPr>
        <w:t>less</w:t>
      </w:r>
      <w:r>
        <w:rPr>
          <w:spacing w:val="-4"/>
          <w:sz w:val="20"/>
        </w:rPr>
        <w:t> </w:t>
      </w:r>
      <w:r>
        <w:rPr>
          <w:sz w:val="20"/>
        </w:rPr>
        <w:t>likely to be based in organisations that had internal legal or HR departments.</w:t>
      </w:r>
    </w:p>
    <w:p>
      <w:pPr>
        <w:spacing w:after="0" w:line="256" w:lineRule="auto"/>
        <w:jc w:val="both"/>
        <w:rPr>
          <w:rFonts w:ascii="Symbol" w:hAnsi="Symbol"/>
          <w:sz w:val="22"/>
        </w:rPr>
        <w:sectPr>
          <w:pgSz w:w="11910" w:h="16840"/>
          <w:pgMar w:header="0" w:footer="996" w:top="1800" w:bottom="1180" w:left="460" w:right="320"/>
        </w:sectPr>
      </w:pPr>
    </w:p>
    <w:p>
      <w:pPr>
        <w:pStyle w:val="Heading2"/>
        <w:numPr>
          <w:ilvl w:val="0"/>
          <w:numId w:val="2"/>
        </w:numPr>
        <w:tabs>
          <w:tab w:pos="2058" w:val="left" w:leader="none"/>
        </w:tabs>
        <w:spacing w:line="240" w:lineRule="auto" w:before="80" w:after="0"/>
        <w:ind w:left="1695" w:right="3303" w:hanging="358"/>
        <w:jc w:val="left"/>
      </w:pPr>
      <w:bookmarkStart w:name="_TOC_250002" w:id="167"/>
      <w:r>
        <w:rPr/>
        <w:t>ACAS</w:t>
      </w:r>
      <w:r>
        <w:rPr>
          <w:spacing w:val="-11"/>
        </w:rPr>
        <w:t> </w:t>
      </w:r>
      <w:r>
        <w:rPr/>
        <w:t>INVOLVEMENT</w:t>
      </w:r>
      <w:r>
        <w:rPr>
          <w:spacing w:val="-11"/>
        </w:rPr>
        <w:t> </w:t>
      </w:r>
      <w:r>
        <w:rPr/>
        <w:t>FOLLOWING</w:t>
      </w:r>
      <w:r>
        <w:rPr>
          <w:spacing w:val="-11"/>
        </w:rPr>
        <w:t> </w:t>
      </w:r>
      <w:r>
        <w:rPr/>
        <w:t>ET</w:t>
      </w:r>
      <w:r>
        <w:rPr/>
        <w:t> </w:t>
      </w:r>
      <w:bookmarkEnd w:id="167"/>
      <w:r>
        <w:rPr>
          <w:spacing w:val="-2"/>
        </w:rPr>
        <w:t>APPLICATION</w:t>
      </w:r>
    </w:p>
    <w:p>
      <w:pPr>
        <w:pStyle w:val="BodyText"/>
        <w:rPr>
          <w:b/>
          <w:sz w:val="34"/>
        </w:rPr>
      </w:pPr>
    </w:p>
    <w:p>
      <w:pPr>
        <w:pStyle w:val="BodyText"/>
        <w:spacing w:before="210"/>
        <w:ind w:left="1427" w:right="1474"/>
        <w:jc w:val="both"/>
      </w:pPr>
      <w:r>
        <w:rPr>
          <w:b/>
        </w:rPr>
        <w:t>Synopsis:</w:t>
      </w:r>
      <w:r>
        <w:rPr>
          <w:b/>
          <w:spacing w:val="40"/>
        </w:rPr>
        <w:t> </w:t>
      </w:r>
      <w:r>
        <w:rPr/>
        <w:t>This chapter explores the initial interactions between the parties and Acas</w:t>
      </w:r>
      <w:r>
        <w:rPr>
          <w:spacing w:val="-1"/>
        </w:rPr>
        <w:t> </w:t>
      </w:r>
      <w:r>
        <w:rPr/>
        <w:t>following</w:t>
      </w:r>
      <w:r>
        <w:rPr>
          <w:spacing w:val="-1"/>
        </w:rPr>
        <w:t> </w:t>
      </w:r>
      <w:r>
        <w:rPr/>
        <w:t>an</w:t>
      </w:r>
      <w:r>
        <w:rPr>
          <w:spacing w:val="-1"/>
        </w:rPr>
        <w:t> </w:t>
      </w:r>
      <w:r>
        <w:rPr/>
        <w:t>ET</w:t>
      </w:r>
      <w:r>
        <w:rPr>
          <w:spacing w:val="-2"/>
        </w:rPr>
        <w:t> </w:t>
      </w:r>
      <w:r>
        <w:rPr/>
        <w:t>application and</w:t>
      </w:r>
      <w:r>
        <w:rPr>
          <w:spacing w:val="-1"/>
        </w:rPr>
        <w:t> </w:t>
      </w:r>
      <w:r>
        <w:rPr/>
        <w:t>examines</w:t>
      </w:r>
      <w:r>
        <w:rPr>
          <w:spacing w:val="-2"/>
        </w:rPr>
        <w:t> </w:t>
      </w:r>
      <w:r>
        <w:rPr/>
        <w:t>the</w:t>
      </w:r>
      <w:r>
        <w:rPr>
          <w:spacing w:val="-2"/>
        </w:rPr>
        <w:t> </w:t>
      </w:r>
      <w:r>
        <w:rPr/>
        <w:t>key determinants</w:t>
      </w:r>
      <w:r>
        <w:rPr>
          <w:spacing w:val="-1"/>
        </w:rPr>
        <w:t> </w:t>
      </w:r>
      <w:r>
        <w:rPr/>
        <w:t>of</w:t>
      </w:r>
      <w:r>
        <w:rPr>
          <w:spacing w:val="-1"/>
        </w:rPr>
        <w:t> </w:t>
      </w:r>
      <w:r>
        <w:rPr/>
        <w:t>uptake</w:t>
      </w:r>
      <w:r>
        <w:rPr>
          <w:spacing w:val="-2"/>
        </w:rPr>
        <w:t> </w:t>
      </w:r>
      <w:r>
        <w:rPr/>
        <w:t>of Acas conciliation at this point.</w:t>
      </w:r>
    </w:p>
    <w:p>
      <w:pPr>
        <w:pStyle w:val="BodyText"/>
      </w:pPr>
    </w:p>
    <w:p>
      <w:pPr>
        <w:pStyle w:val="BodyText"/>
        <w:spacing w:before="1"/>
        <w:rPr>
          <w:sz w:val="18"/>
        </w:rPr>
      </w:pPr>
      <w:r>
        <w:rPr/>
        <w:pict>
          <v:shape style="position:absolute;margin-left:90.660004pt;margin-top:12.946777pt;width:449.25pt;height:317.5pt;mso-position-horizontal-relative:page;mso-position-vertical-relative:paragraph;z-index:-15702016;mso-wrap-distance-left:0;mso-wrap-distance-right:0" type="#_x0000_t202" id="docshape54" filled="true" fillcolor="#f1f1f1" stroked="true" strokeweight="1.44pt" strokecolor="#000000">
            <v:textbox inset="0,0,0,0">
              <w:txbxContent>
                <w:p>
                  <w:pPr>
                    <w:pStyle w:val="BodyText"/>
                    <w:spacing w:before="11"/>
                    <w:rPr>
                      <w:color w:val="000000"/>
                      <w:sz w:val="19"/>
                    </w:rPr>
                  </w:pPr>
                </w:p>
                <w:p>
                  <w:pPr>
                    <w:spacing w:before="0"/>
                    <w:ind w:left="182" w:right="0" w:firstLine="0"/>
                    <w:jc w:val="left"/>
                    <w:rPr>
                      <w:b/>
                      <w:color w:val="000000"/>
                      <w:sz w:val="20"/>
                    </w:rPr>
                  </w:pPr>
                  <w:r>
                    <w:rPr>
                      <w:b/>
                      <w:color w:val="000000"/>
                      <w:sz w:val="20"/>
                    </w:rPr>
                    <w:t>Key</w:t>
                  </w:r>
                  <w:r>
                    <w:rPr>
                      <w:b/>
                      <w:color w:val="000000"/>
                      <w:spacing w:val="-5"/>
                      <w:sz w:val="20"/>
                    </w:rPr>
                    <w:t> </w:t>
                  </w:r>
                  <w:r>
                    <w:rPr>
                      <w:b/>
                      <w:color w:val="000000"/>
                      <w:sz w:val="20"/>
                    </w:rPr>
                    <w:t>trends</w:t>
                  </w:r>
                  <w:r>
                    <w:rPr>
                      <w:b/>
                      <w:color w:val="000000"/>
                      <w:spacing w:val="-5"/>
                      <w:sz w:val="20"/>
                    </w:rPr>
                    <w:t> </w:t>
                  </w:r>
                  <w:r>
                    <w:rPr>
                      <w:b/>
                      <w:color w:val="000000"/>
                      <w:sz w:val="20"/>
                    </w:rPr>
                    <w:t>at-a-</w:t>
                  </w:r>
                  <w:r>
                    <w:rPr>
                      <w:b/>
                      <w:color w:val="000000"/>
                      <w:spacing w:val="-2"/>
                      <w:sz w:val="20"/>
                    </w:rPr>
                    <w:t>glance</w:t>
                  </w:r>
                </w:p>
                <w:p>
                  <w:pPr>
                    <w:pStyle w:val="BodyText"/>
                    <w:spacing w:before="1"/>
                    <w:rPr>
                      <w:b/>
                      <w:color w:val="000000"/>
                    </w:rPr>
                  </w:pPr>
                </w:p>
                <w:p>
                  <w:pPr>
                    <w:pStyle w:val="BodyText"/>
                    <w:numPr>
                      <w:ilvl w:val="0"/>
                      <w:numId w:val="36"/>
                    </w:numPr>
                    <w:tabs>
                      <w:tab w:pos="903" w:val="left" w:leader="none"/>
                    </w:tabs>
                    <w:spacing w:line="240" w:lineRule="auto" w:before="0" w:after="0"/>
                    <w:ind w:left="902" w:right="92" w:hanging="360"/>
                    <w:jc w:val="both"/>
                    <w:rPr>
                      <w:color w:val="000000"/>
                    </w:rPr>
                  </w:pPr>
                  <w:r>
                    <w:rPr>
                      <w:color w:val="000000"/>
                    </w:rPr>
                    <w:t>Participants</w:t>
                  </w:r>
                  <w:r>
                    <w:rPr>
                      <w:color w:val="000000"/>
                      <w:spacing w:val="-3"/>
                    </w:rPr>
                    <w:t> </w:t>
                  </w:r>
                  <w:r>
                    <w:rPr>
                      <w:color w:val="000000"/>
                    </w:rPr>
                    <w:t>on</w:t>
                  </w:r>
                  <w:r>
                    <w:rPr>
                      <w:color w:val="000000"/>
                      <w:spacing w:val="-3"/>
                    </w:rPr>
                    <w:t> </w:t>
                  </w:r>
                  <w:r>
                    <w:rPr>
                      <w:color w:val="000000"/>
                    </w:rPr>
                    <w:t>both</w:t>
                  </w:r>
                  <w:r>
                    <w:rPr>
                      <w:color w:val="000000"/>
                      <w:spacing w:val="-4"/>
                    </w:rPr>
                    <w:t> </w:t>
                  </w:r>
                  <w:r>
                    <w:rPr>
                      <w:color w:val="000000"/>
                    </w:rPr>
                    <w:t>sides</w:t>
                  </w:r>
                  <w:r>
                    <w:rPr>
                      <w:color w:val="000000"/>
                      <w:spacing w:val="-4"/>
                    </w:rPr>
                    <w:t> </w:t>
                  </w:r>
                  <w:r>
                    <w:rPr>
                      <w:color w:val="000000"/>
                    </w:rPr>
                    <w:t>were</w:t>
                  </w:r>
                  <w:r>
                    <w:rPr>
                      <w:color w:val="000000"/>
                      <w:spacing w:val="-3"/>
                    </w:rPr>
                    <w:t> </w:t>
                  </w:r>
                  <w:r>
                    <w:rPr>
                      <w:color w:val="000000"/>
                    </w:rPr>
                    <w:t>more</w:t>
                  </w:r>
                  <w:r>
                    <w:rPr>
                      <w:color w:val="000000"/>
                      <w:spacing w:val="-3"/>
                    </w:rPr>
                    <w:t> </w:t>
                  </w:r>
                  <w:r>
                    <w:rPr>
                      <w:color w:val="000000"/>
                    </w:rPr>
                    <w:t>likely</w:t>
                  </w:r>
                  <w:r>
                    <w:rPr>
                      <w:color w:val="000000"/>
                      <w:spacing w:val="-3"/>
                    </w:rPr>
                    <w:t> </w:t>
                  </w:r>
                  <w:r>
                    <w:rPr>
                      <w:color w:val="000000"/>
                    </w:rPr>
                    <w:t>to</w:t>
                  </w:r>
                  <w:r>
                    <w:rPr>
                      <w:color w:val="000000"/>
                      <w:spacing w:val="-3"/>
                    </w:rPr>
                    <w:t> </w:t>
                  </w:r>
                  <w:r>
                    <w:rPr>
                      <w:color w:val="000000"/>
                    </w:rPr>
                    <w:t>report</w:t>
                  </w:r>
                  <w:r>
                    <w:rPr>
                      <w:color w:val="000000"/>
                      <w:spacing w:val="-3"/>
                    </w:rPr>
                    <w:t> </w:t>
                  </w:r>
                  <w:r>
                    <w:rPr>
                      <w:color w:val="000000"/>
                    </w:rPr>
                    <w:t>that</w:t>
                  </w:r>
                  <w:r>
                    <w:rPr>
                      <w:color w:val="000000"/>
                      <w:spacing w:val="-3"/>
                    </w:rPr>
                    <w:t> </w:t>
                  </w:r>
                  <w:r>
                    <w:rPr>
                      <w:color w:val="000000"/>
                    </w:rPr>
                    <w:t>they</w:t>
                  </w:r>
                  <w:r>
                    <w:rPr>
                      <w:color w:val="000000"/>
                      <w:spacing w:val="-4"/>
                    </w:rPr>
                    <w:t> </w:t>
                  </w:r>
                  <w:r>
                    <w:rPr>
                      <w:color w:val="000000"/>
                    </w:rPr>
                    <w:t>had</w:t>
                  </w:r>
                  <w:r>
                    <w:rPr>
                      <w:color w:val="000000"/>
                      <w:spacing w:val="-4"/>
                    </w:rPr>
                    <w:t> </w:t>
                  </w:r>
                  <w:r>
                    <w:rPr>
                      <w:color w:val="000000"/>
                    </w:rPr>
                    <w:t>made</w:t>
                  </w:r>
                  <w:r>
                    <w:rPr>
                      <w:color w:val="000000"/>
                      <w:spacing w:val="-3"/>
                    </w:rPr>
                    <w:t> </w:t>
                  </w:r>
                  <w:r>
                    <w:rPr>
                      <w:color w:val="000000"/>
                    </w:rPr>
                    <w:t>initial contact with Acas (rather than Acas making first contact with them) after the submission of the ET1 form. This is a difference from 2016, when Acas was more likely to make the first contact.</w:t>
                  </w:r>
                </w:p>
                <w:p>
                  <w:pPr>
                    <w:pStyle w:val="BodyText"/>
                    <w:numPr>
                      <w:ilvl w:val="0"/>
                      <w:numId w:val="36"/>
                    </w:numPr>
                    <w:tabs>
                      <w:tab w:pos="903" w:val="left" w:leader="none"/>
                    </w:tabs>
                    <w:spacing w:line="240" w:lineRule="auto" w:before="0" w:after="0"/>
                    <w:ind w:left="902" w:right="89" w:hanging="360"/>
                    <w:jc w:val="both"/>
                    <w:rPr>
                      <w:color w:val="000000"/>
                    </w:rPr>
                  </w:pPr>
                  <w:r>
                    <w:rPr>
                      <w:color w:val="000000"/>
                    </w:rPr>
                    <w:t>Where</w:t>
                  </w:r>
                  <w:r>
                    <w:rPr>
                      <w:color w:val="000000"/>
                      <w:spacing w:val="-17"/>
                    </w:rPr>
                    <w:t> </w:t>
                  </w:r>
                  <w:r>
                    <w:rPr>
                      <w:color w:val="000000"/>
                    </w:rPr>
                    <w:t>Acas</w:t>
                  </w:r>
                  <w:r>
                    <w:rPr>
                      <w:color w:val="000000"/>
                      <w:spacing w:val="-18"/>
                    </w:rPr>
                    <w:t> </w:t>
                  </w:r>
                  <w:r>
                    <w:rPr>
                      <w:color w:val="000000"/>
                    </w:rPr>
                    <w:t>made</w:t>
                  </w:r>
                  <w:r>
                    <w:rPr>
                      <w:color w:val="000000"/>
                      <w:spacing w:val="-16"/>
                    </w:rPr>
                    <w:t> </w:t>
                  </w:r>
                  <w:r>
                    <w:rPr>
                      <w:color w:val="000000"/>
                    </w:rPr>
                    <w:t>the</w:t>
                  </w:r>
                  <w:r>
                    <w:rPr>
                      <w:color w:val="000000"/>
                      <w:spacing w:val="-17"/>
                    </w:rPr>
                    <w:t> </w:t>
                  </w:r>
                  <w:r>
                    <w:rPr>
                      <w:color w:val="000000"/>
                    </w:rPr>
                    <w:t>initial</w:t>
                  </w:r>
                  <w:r>
                    <w:rPr>
                      <w:color w:val="000000"/>
                      <w:spacing w:val="-17"/>
                    </w:rPr>
                    <w:t> </w:t>
                  </w:r>
                  <w:r>
                    <w:rPr>
                      <w:color w:val="000000"/>
                    </w:rPr>
                    <w:t>contact,</w:t>
                  </w:r>
                  <w:r>
                    <w:rPr>
                      <w:color w:val="000000"/>
                      <w:spacing w:val="-17"/>
                    </w:rPr>
                    <w:t> </w:t>
                  </w:r>
                  <w:r>
                    <w:rPr>
                      <w:color w:val="000000"/>
                    </w:rPr>
                    <w:t>claimant-side</w:t>
                  </w:r>
                  <w:r>
                    <w:rPr>
                      <w:color w:val="000000"/>
                      <w:spacing w:val="-17"/>
                    </w:rPr>
                    <w:t> </w:t>
                  </w:r>
                  <w:r>
                    <w:rPr>
                      <w:color w:val="000000"/>
                    </w:rPr>
                    <w:t>participants</w:t>
                  </w:r>
                  <w:r>
                    <w:rPr>
                      <w:color w:val="000000"/>
                      <w:spacing w:val="-16"/>
                    </w:rPr>
                    <w:t> </w:t>
                  </w:r>
                  <w:r>
                    <w:rPr>
                      <w:color w:val="000000"/>
                    </w:rPr>
                    <w:t>involved</w:t>
                  </w:r>
                  <w:r>
                    <w:rPr>
                      <w:color w:val="000000"/>
                      <w:spacing w:val="-17"/>
                    </w:rPr>
                    <w:t> </w:t>
                  </w:r>
                  <w:r>
                    <w:rPr>
                      <w:color w:val="000000"/>
                    </w:rPr>
                    <w:t>in</w:t>
                  </w:r>
                  <w:r>
                    <w:rPr>
                      <w:color w:val="000000"/>
                      <w:spacing w:val="-16"/>
                    </w:rPr>
                    <w:t> </w:t>
                  </w:r>
                  <w:r>
                    <w:rPr>
                      <w:color w:val="000000"/>
                    </w:rPr>
                    <w:t>open track</w:t>
                  </w:r>
                  <w:r>
                    <w:rPr>
                      <w:color w:val="000000"/>
                      <w:spacing w:val="-7"/>
                    </w:rPr>
                    <w:t> </w:t>
                  </w:r>
                  <w:r>
                    <w:rPr>
                      <w:color w:val="000000"/>
                    </w:rPr>
                    <w:t>disputes</w:t>
                  </w:r>
                  <w:r>
                    <w:rPr>
                      <w:color w:val="000000"/>
                      <w:spacing w:val="-7"/>
                    </w:rPr>
                    <w:t> </w:t>
                  </w:r>
                  <w:r>
                    <w:rPr>
                      <w:color w:val="000000"/>
                    </w:rPr>
                    <w:t>were</w:t>
                  </w:r>
                  <w:r>
                    <w:rPr>
                      <w:color w:val="000000"/>
                      <w:spacing w:val="-7"/>
                    </w:rPr>
                    <w:t> </w:t>
                  </w:r>
                  <w:r>
                    <w:rPr>
                      <w:color w:val="000000"/>
                    </w:rPr>
                    <w:t>most</w:t>
                  </w:r>
                  <w:r>
                    <w:rPr>
                      <w:color w:val="000000"/>
                      <w:spacing w:val="-7"/>
                    </w:rPr>
                    <w:t> </w:t>
                  </w:r>
                  <w:r>
                    <w:rPr>
                      <w:color w:val="000000"/>
                    </w:rPr>
                    <w:t>likely</w:t>
                  </w:r>
                  <w:r>
                    <w:rPr>
                      <w:color w:val="000000"/>
                      <w:spacing w:val="-7"/>
                    </w:rPr>
                    <w:t> </w:t>
                  </w:r>
                  <w:r>
                    <w:rPr>
                      <w:color w:val="000000"/>
                    </w:rPr>
                    <w:t>to</w:t>
                  </w:r>
                  <w:r>
                    <w:rPr>
                      <w:color w:val="000000"/>
                      <w:spacing w:val="-7"/>
                    </w:rPr>
                    <w:t> </w:t>
                  </w:r>
                  <w:r>
                    <w:rPr>
                      <w:color w:val="000000"/>
                    </w:rPr>
                    <w:t>report</w:t>
                  </w:r>
                  <w:r>
                    <w:rPr>
                      <w:color w:val="000000"/>
                      <w:spacing w:val="-7"/>
                    </w:rPr>
                    <w:t> </w:t>
                  </w:r>
                  <w:r>
                    <w:rPr>
                      <w:color w:val="000000"/>
                    </w:rPr>
                    <w:t>that</w:t>
                  </w:r>
                  <w:r>
                    <w:rPr>
                      <w:color w:val="000000"/>
                      <w:spacing w:val="-6"/>
                    </w:rPr>
                    <w:t> </w:t>
                  </w:r>
                  <w:r>
                    <w:rPr>
                      <w:color w:val="000000"/>
                    </w:rPr>
                    <w:t>this</w:t>
                  </w:r>
                  <w:r>
                    <w:rPr>
                      <w:color w:val="000000"/>
                      <w:spacing w:val="-7"/>
                    </w:rPr>
                    <w:t> </w:t>
                  </w:r>
                  <w:r>
                    <w:rPr>
                      <w:color w:val="000000"/>
                    </w:rPr>
                    <w:t>contact</w:t>
                  </w:r>
                  <w:r>
                    <w:rPr>
                      <w:color w:val="000000"/>
                      <w:spacing w:val="-8"/>
                    </w:rPr>
                    <w:t> </w:t>
                  </w:r>
                  <w:r>
                    <w:rPr>
                      <w:color w:val="000000"/>
                    </w:rPr>
                    <w:t>had</w:t>
                  </w:r>
                  <w:r>
                    <w:rPr>
                      <w:color w:val="000000"/>
                      <w:spacing w:val="-7"/>
                    </w:rPr>
                    <w:t> </w:t>
                  </w:r>
                  <w:r>
                    <w:rPr>
                      <w:color w:val="000000"/>
                    </w:rPr>
                    <w:t>been</w:t>
                  </w:r>
                  <w:r>
                    <w:rPr>
                      <w:color w:val="000000"/>
                      <w:spacing w:val="-7"/>
                    </w:rPr>
                    <w:t> </w:t>
                  </w:r>
                  <w:r>
                    <w:rPr>
                      <w:color w:val="000000"/>
                    </w:rPr>
                    <w:t>established a</w:t>
                  </w:r>
                  <w:r>
                    <w:rPr>
                      <w:color w:val="000000"/>
                      <w:spacing w:val="-3"/>
                    </w:rPr>
                    <w:t> </w:t>
                  </w:r>
                  <w:r>
                    <w:rPr>
                      <w:color w:val="000000"/>
                    </w:rPr>
                    <w:t>week</w:t>
                  </w:r>
                  <w:r>
                    <w:rPr>
                      <w:color w:val="000000"/>
                      <w:spacing w:val="-3"/>
                    </w:rPr>
                    <w:t> </w:t>
                  </w:r>
                  <w:r>
                    <w:rPr>
                      <w:color w:val="000000"/>
                    </w:rPr>
                    <w:t>or</w:t>
                  </w:r>
                  <w:r>
                    <w:rPr>
                      <w:color w:val="000000"/>
                      <w:spacing w:val="-5"/>
                    </w:rPr>
                    <w:t> </w:t>
                  </w:r>
                  <w:r>
                    <w:rPr>
                      <w:color w:val="000000"/>
                    </w:rPr>
                    <w:t>more</w:t>
                  </w:r>
                  <w:r>
                    <w:rPr>
                      <w:color w:val="000000"/>
                      <w:spacing w:val="-3"/>
                    </w:rPr>
                    <w:t> </w:t>
                  </w:r>
                  <w:r>
                    <w:rPr>
                      <w:color w:val="000000"/>
                    </w:rPr>
                    <w:t>after</w:t>
                  </w:r>
                  <w:r>
                    <w:rPr>
                      <w:color w:val="000000"/>
                      <w:spacing w:val="-3"/>
                    </w:rPr>
                    <w:t> </w:t>
                  </w:r>
                  <w:r>
                    <w:rPr>
                      <w:color w:val="000000"/>
                    </w:rPr>
                    <w:t>receiving</w:t>
                  </w:r>
                  <w:r>
                    <w:rPr>
                      <w:color w:val="000000"/>
                      <w:spacing w:val="-4"/>
                    </w:rPr>
                    <w:t> </w:t>
                  </w:r>
                  <w:r>
                    <w:rPr>
                      <w:color w:val="000000"/>
                    </w:rPr>
                    <w:t>the</w:t>
                  </w:r>
                  <w:r>
                    <w:rPr>
                      <w:color w:val="000000"/>
                      <w:spacing w:val="-3"/>
                    </w:rPr>
                    <w:t> </w:t>
                  </w:r>
                  <w:r>
                    <w:rPr>
                      <w:color w:val="000000"/>
                    </w:rPr>
                    <w:t>letter.</w:t>
                  </w:r>
                  <w:r>
                    <w:rPr>
                      <w:color w:val="000000"/>
                      <w:spacing w:val="-3"/>
                    </w:rPr>
                    <w:t> </w:t>
                  </w:r>
                  <w:r>
                    <w:rPr>
                      <w:color w:val="000000"/>
                    </w:rPr>
                    <w:t>This</w:t>
                  </w:r>
                  <w:r>
                    <w:rPr>
                      <w:color w:val="000000"/>
                      <w:spacing w:val="-4"/>
                    </w:rPr>
                    <w:t> </w:t>
                  </w:r>
                  <w:r>
                    <w:rPr>
                      <w:color w:val="000000"/>
                    </w:rPr>
                    <w:t>suggests</w:t>
                  </w:r>
                  <w:r>
                    <w:rPr>
                      <w:color w:val="000000"/>
                      <w:spacing w:val="-4"/>
                    </w:rPr>
                    <w:t> </w:t>
                  </w:r>
                  <w:r>
                    <w:rPr>
                      <w:color w:val="000000"/>
                    </w:rPr>
                    <w:t>that</w:t>
                  </w:r>
                  <w:r>
                    <w:rPr>
                      <w:color w:val="000000"/>
                      <w:spacing w:val="-4"/>
                    </w:rPr>
                    <w:t> </w:t>
                  </w:r>
                  <w:r>
                    <w:rPr>
                      <w:color w:val="000000"/>
                    </w:rPr>
                    <w:t>for</w:t>
                  </w:r>
                  <w:r>
                    <w:rPr>
                      <w:color w:val="000000"/>
                      <w:spacing w:val="-3"/>
                    </w:rPr>
                    <w:t> </w:t>
                  </w:r>
                  <w:r>
                    <w:rPr>
                      <w:color w:val="000000"/>
                    </w:rPr>
                    <w:t>those</w:t>
                  </w:r>
                  <w:r>
                    <w:rPr>
                      <w:color w:val="000000"/>
                      <w:spacing w:val="-4"/>
                    </w:rPr>
                    <w:t> </w:t>
                  </w:r>
                  <w:r>
                    <w:rPr>
                      <w:color w:val="000000"/>
                    </w:rPr>
                    <w:t>involved in open track disputes, establishing contact with Acas takes longer than for those in fast and standard track disputes.</w:t>
                  </w:r>
                </w:p>
                <w:p>
                  <w:pPr>
                    <w:pStyle w:val="BodyText"/>
                    <w:numPr>
                      <w:ilvl w:val="0"/>
                      <w:numId w:val="36"/>
                    </w:numPr>
                    <w:tabs>
                      <w:tab w:pos="903" w:val="left" w:leader="none"/>
                    </w:tabs>
                    <w:spacing w:line="237" w:lineRule="auto" w:before="0" w:after="0"/>
                    <w:ind w:left="902" w:right="92" w:hanging="360"/>
                    <w:jc w:val="both"/>
                    <w:rPr>
                      <w:color w:val="000000"/>
                    </w:rPr>
                  </w:pPr>
                  <w:r>
                    <w:rPr>
                      <w:color w:val="000000"/>
                    </w:rPr>
                    <w:t>As in 2016, nearly half of employer-side participants said they did not know when contact was made with Acas.</w:t>
                  </w:r>
                </w:p>
                <w:p>
                  <w:pPr>
                    <w:pStyle w:val="BodyText"/>
                    <w:numPr>
                      <w:ilvl w:val="0"/>
                      <w:numId w:val="36"/>
                    </w:numPr>
                    <w:tabs>
                      <w:tab w:pos="903" w:val="left" w:leader="none"/>
                    </w:tabs>
                    <w:spacing w:line="240" w:lineRule="auto" w:before="0" w:after="0"/>
                    <w:ind w:left="902" w:right="96" w:hanging="360"/>
                    <w:jc w:val="both"/>
                    <w:rPr>
                      <w:color w:val="000000"/>
                    </w:rPr>
                  </w:pPr>
                  <w:r>
                    <w:rPr>
                      <w:color w:val="000000"/>
                    </w:rPr>
                    <w:t>As</w:t>
                  </w:r>
                  <w:r>
                    <w:rPr>
                      <w:color w:val="000000"/>
                      <w:spacing w:val="-4"/>
                    </w:rPr>
                    <w:t> </w:t>
                  </w:r>
                  <w:r>
                    <w:rPr>
                      <w:color w:val="000000"/>
                    </w:rPr>
                    <w:t>in</w:t>
                  </w:r>
                  <w:r>
                    <w:rPr>
                      <w:color w:val="000000"/>
                      <w:spacing w:val="-5"/>
                    </w:rPr>
                    <w:t> </w:t>
                  </w:r>
                  <w:r>
                    <w:rPr>
                      <w:color w:val="000000"/>
                    </w:rPr>
                    <w:t>2016,</w:t>
                  </w:r>
                  <w:r>
                    <w:rPr>
                      <w:color w:val="000000"/>
                      <w:spacing w:val="-6"/>
                    </w:rPr>
                    <w:t> </w:t>
                  </w:r>
                  <w:r>
                    <w:rPr>
                      <w:color w:val="000000"/>
                    </w:rPr>
                    <w:t>the</w:t>
                  </w:r>
                  <w:r>
                    <w:rPr>
                      <w:color w:val="000000"/>
                      <w:spacing w:val="-5"/>
                    </w:rPr>
                    <w:t> </w:t>
                  </w:r>
                  <w:r>
                    <w:rPr>
                      <w:color w:val="000000"/>
                    </w:rPr>
                    <w:t>level</w:t>
                  </w:r>
                  <w:r>
                    <w:rPr>
                      <w:color w:val="000000"/>
                      <w:spacing w:val="-5"/>
                    </w:rPr>
                    <w:t> </w:t>
                  </w:r>
                  <w:r>
                    <w:rPr>
                      <w:color w:val="000000"/>
                    </w:rPr>
                    <w:t>of</w:t>
                  </w:r>
                  <w:r>
                    <w:rPr>
                      <w:color w:val="000000"/>
                      <w:spacing w:val="-4"/>
                    </w:rPr>
                    <w:t> </w:t>
                  </w:r>
                  <w:r>
                    <w:rPr>
                      <w:color w:val="000000"/>
                    </w:rPr>
                    <w:t>service</w:t>
                  </w:r>
                  <w:r>
                    <w:rPr>
                      <w:color w:val="000000"/>
                      <w:spacing w:val="-5"/>
                    </w:rPr>
                    <w:t> </w:t>
                  </w:r>
                  <w:r>
                    <w:rPr>
                      <w:color w:val="000000"/>
                    </w:rPr>
                    <w:t>uptake</w:t>
                  </w:r>
                  <w:r>
                    <w:rPr>
                      <w:color w:val="000000"/>
                      <w:spacing w:val="-2"/>
                    </w:rPr>
                    <w:t> </w:t>
                  </w:r>
                  <w:r>
                    <w:rPr>
                      <w:color w:val="000000"/>
                    </w:rPr>
                    <w:t>for</w:t>
                  </w:r>
                  <w:r>
                    <w:rPr>
                      <w:color w:val="000000"/>
                      <w:spacing w:val="-4"/>
                    </w:rPr>
                    <w:t> </w:t>
                  </w:r>
                  <w:r>
                    <w:rPr>
                      <w:color w:val="000000"/>
                    </w:rPr>
                    <w:t>post-ET1</w:t>
                  </w:r>
                  <w:r>
                    <w:rPr>
                      <w:color w:val="000000"/>
                      <w:spacing w:val="-6"/>
                    </w:rPr>
                    <w:t> </w:t>
                  </w:r>
                  <w:r>
                    <w:rPr>
                      <w:color w:val="000000"/>
                    </w:rPr>
                    <w:t>conciliation</w:t>
                  </w:r>
                  <w:r>
                    <w:rPr>
                      <w:color w:val="000000"/>
                      <w:spacing w:val="-4"/>
                    </w:rPr>
                    <w:t> </w:t>
                  </w:r>
                  <w:r>
                    <w:rPr>
                      <w:color w:val="000000"/>
                    </w:rPr>
                    <w:t>was</w:t>
                  </w:r>
                  <w:r>
                    <w:rPr>
                      <w:color w:val="000000"/>
                      <w:spacing w:val="-4"/>
                    </w:rPr>
                    <w:t> </w:t>
                  </w:r>
                  <w:r>
                    <w:rPr>
                      <w:color w:val="000000"/>
                    </w:rPr>
                    <w:t>lower</w:t>
                  </w:r>
                  <w:r>
                    <w:rPr>
                      <w:color w:val="000000"/>
                      <w:spacing w:val="-4"/>
                    </w:rPr>
                    <w:t> </w:t>
                  </w:r>
                  <w:r>
                    <w:rPr>
                      <w:color w:val="000000"/>
                    </w:rPr>
                    <w:t>than the uptake of EC. However, participants who took part in EC were more likely to take part in ET conciliation than those that did not.</w:t>
                  </w:r>
                </w:p>
                <w:p>
                  <w:pPr>
                    <w:pStyle w:val="BodyText"/>
                    <w:numPr>
                      <w:ilvl w:val="0"/>
                      <w:numId w:val="36"/>
                    </w:numPr>
                    <w:tabs>
                      <w:tab w:pos="903" w:val="left" w:leader="none"/>
                    </w:tabs>
                    <w:spacing w:line="240" w:lineRule="auto" w:before="0" w:after="0"/>
                    <w:ind w:left="902" w:right="90" w:hanging="360"/>
                    <w:jc w:val="both"/>
                    <w:rPr>
                      <w:color w:val="000000"/>
                    </w:rPr>
                  </w:pPr>
                  <w:r>
                    <w:rPr>
                      <w:color w:val="000000"/>
                    </w:rPr>
                    <w:t>Regression</w:t>
                  </w:r>
                  <w:r>
                    <w:rPr>
                      <w:color w:val="000000"/>
                      <w:spacing w:val="-11"/>
                    </w:rPr>
                    <w:t> </w:t>
                  </w:r>
                  <w:r>
                    <w:rPr>
                      <w:color w:val="000000"/>
                    </w:rPr>
                    <w:t>analysis</w:t>
                  </w:r>
                  <w:r>
                    <w:rPr>
                      <w:color w:val="000000"/>
                      <w:spacing w:val="-12"/>
                    </w:rPr>
                    <w:t> </w:t>
                  </w:r>
                  <w:r>
                    <w:rPr>
                      <w:color w:val="000000"/>
                    </w:rPr>
                    <w:t>of</w:t>
                  </w:r>
                  <w:r>
                    <w:rPr>
                      <w:color w:val="000000"/>
                      <w:spacing w:val="-11"/>
                    </w:rPr>
                    <w:t> </w:t>
                  </w:r>
                  <w:r>
                    <w:rPr>
                      <w:color w:val="000000"/>
                    </w:rPr>
                    <w:t>the</w:t>
                  </w:r>
                  <w:r>
                    <w:rPr>
                      <w:color w:val="000000"/>
                      <w:spacing w:val="-11"/>
                    </w:rPr>
                    <w:t> </w:t>
                  </w:r>
                  <w:r>
                    <w:rPr>
                      <w:color w:val="000000"/>
                    </w:rPr>
                    <w:t>key</w:t>
                  </w:r>
                  <w:r>
                    <w:rPr>
                      <w:color w:val="000000"/>
                      <w:spacing w:val="-11"/>
                    </w:rPr>
                    <w:t> </w:t>
                  </w:r>
                  <w:r>
                    <w:rPr>
                      <w:color w:val="000000"/>
                    </w:rPr>
                    <w:t>drivers</w:t>
                  </w:r>
                  <w:r>
                    <w:rPr>
                      <w:color w:val="000000"/>
                      <w:spacing w:val="-12"/>
                    </w:rPr>
                    <w:t> </w:t>
                  </w:r>
                  <w:r>
                    <w:rPr>
                      <w:color w:val="000000"/>
                    </w:rPr>
                    <w:t>behind</w:t>
                  </w:r>
                  <w:r>
                    <w:rPr>
                      <w:color w:val="000000"/>
                      <w:spacing w:val="-11"/>
                    </w:rPr>
                    <w:t> </w:t>
                  </w:r>
                  <w:r>
                    <w:rPr>
                      <w:color w:val="000000"/>
                    </w:rPr>
                    <w:t>claimant</w:t>
                  </w:r>
                  <w:r>
                    <w:rPr>
                      <w:color w:val="000000"/>
                      <w:spacing w:val="-11"/>
                    </w:rPr>
                    <w:t> </w:t>
                  </w:r>
                  <w:r>
                    <w:rPr>
                      <w:color w:val="000000"/>
                    </w:rPr>
                    <w:t>participation</w:t>
                  </w:r>
                  <w:r>
                    <w:rPr>
                      <w:color w:val="000000"/>
                      <w:spacing w:val="-11"/>
                    </w:rPr>
                    <w:t> </w:t>
                  </w:r>
                  <w:r>
                    <w:rPr>
                      <w:color w:val="000000"/>
                    </w:rPr>
                    <w:t>in</w:t>
                  </w:r>
                  <w:r>
                    <w:rPr>
                      <w:color w:val="000000"/>
                      <w:spacing w:val="-11"/>
                    </w:rPr>
                    <w:t> </w:t>
                  </w:r>
                  <w:r>
                    <w:rPr>
                      <w:color w:val="000000"/>
                    </w:rPr>
                    <w:t>post-ET1 conciliation found recalling receiving an introduction letter from an Acas conciliator and participation in EC earlier in the dispute were associated with a higher likelihood of acceptance, while being from a White ethnic background was associated with a lower likelihood of acceptance</w:t>
                  </w:r>
                </w:p>
                <w:p>
                  <w:pPr>
                    <w:pStyle w:val="BodyText"/>
                    <w:numPr>
                      <w:ilvl w:val="0"/>
                      <w:numId w:val="36"/>
                    </w:numPr>
                    <w:tabs>
                      <w:tab w:pos="903" w:val="left" w:leader="none"/>
                    </w:tabs>
                    <w:spacing w:line="240" w:lineRule="auto" w:before="0" w:after="0"/>
                    <w:ind w:left="902" w:right="91" w:hanging="360"/>
                    <w:jc w:val="both"/>
                    <w:rPr>
                      <w:color w:val="000000"/>
                    </w:rPr>
                  </w:pPr>
                  <w:r>
                    <w:rPr>
                      <w:color w:val="000000"/>
                    </w:rPr>
                    <w:t>For employers, taking part in EC earlier on and receiving a letter from the conciliator</w:t>
                  </w:r>
                  <w:r>
                    <w:rPr>
                      <w:color w:val="000000"/>
                      <w:spacing w:val="-3"/>
                    </w:rPr>
                    <w:t> </w:t>
                  </w:r>
                  <w:r>
                    <w:rPr>
                      <w:color w:val="000000"/>
                    </w:rPr>
                    <w:t>were</w:t>
                  </w:r>
                  <w:r>
                    <w:rPr>
                      <w:color w:val="000000"/>
                      <w:spacing w:val="-3"/>
                    </w:rPr>
                    <w:t> </w:t>
                  </w:r>
                  <w:r>
                    <w:rPr>
                      <w:color w:val="000000"/>
                    </w:rPr>
                    <w:t>correlated</w:t>
                  </w:r>
                  <w:r>
                    <w:rPr>
                      <w:color w:val="000000"/>
                      <w:spacing w:val="-4"/>
                    </w:rPr>
                    <w:t> </w:t>
                  </w:r>
                  <w:r>
                    <w:rPr>
                      <w:color w:val="000000"/>
                    </w:rPr>
                    <w:t>with</w:t>
                  </w:r>
                  <w:r>
                    <w:rPr>
                      <w:color w:val="000000"/>
                      <w:spacing w:val="-4"/>
                    </w:rPr>
                    <w:t> </w:t>
                  </w:r>
                  <w:r>
                    <w:rPr>
                      <w:color w:val="000000"/>
                    </w:rPr>
                    <w:t>an</w:t>
                  </w:r>
                  <w:r>
                    <w:rPr>
                      <w:color w:val="000000"/>
                      <w:spacing w:val="-2"/>
                    </w:rPr>
                    <w:t> </w:t>
                  </w:r>
                  <w:r>
                    <w:rPr>
                      <w:color w:val="000000"/>
                    </w:rPr>
                    <w:t>increased</w:t>
                  </w:r>
                  <w:r>
                    <w:rPr>
                      <w:color w:val="000000"/>
                      <w:spacing w:val="-4"/>
                    </w:rPr>
                    <w:t> </w:t>
                  </w:r>
                  <w:r>
                    <w:rPr>
                      <w:color w:val="000000"/>
                    </w:rPr>
                    <w:t>likelihood</w:t>
                  </w:r>
                  <w:r>
                    <w:rPr>
                      <w:color w:val="000000"/>
                      <w:spacing w:val="-3"/>
                    </w:rPr>
                    <w:t> </w:t>
                  </w:r>
                  <w:r>
                    <w:rPr>
                      <w:color w:val="000000"/>
                    </w:rPr>
                    <w:t>of</w:t>
                  </w:r>
                  <w:r>
                    <w:rPr>
                      <w:color w:val="000000"/>
                      <w:spacing w:val="-3"/>
                    </w:rPr>
                    <w:t> </w:t>
                  </w:r>
                  <w:r>
                    <w:rPr>
                      <w:color w:val="000000"/>
                    </w:rPr>
                    <w:t>participation</w:t>
                  </w:r>
                  <w:r>
                    <w:rPr>
                      <w:color w:val="000000"/>
                      <w:spacing w:val="-2"/>
                    </w:rPr>
                    <w:t> </w:t>
                  </w:r>
                  <w:r>
                    <w:rPr>
                      <w:color w:val="000000"/>
                    </w:rPr>
                    <w:t>in</w:t>
                  </w:r>
                  <w:r>
                    <w:rPr>
                      <w:color w:val="000000"/>
                      <w:spacing w:val="-3"/>
                    </w:rPr>
                    <w:t> </w:t>
                  </w:r>
                  <w:r>
                    <w:rPr>
                      <w:color w:val="000000"/>
                    </w:rPr>
                    <w:t>post- ET1 conciliation.</w:t>
                  </w:r>
                </w:p>
              </w:txbxContent>
            </v:textbox>
            <v:fill type="solid"/>
            <v:stroke linestyle="thinThin" dashstyle="solid"/>
            <w10:wrap type="topAndBottom"/>
          </v:shape>
        </w:pict>
      </w:r>
    </w:p>
    <w:p>
      <w:pPr>
        <w:pStyle w:val="BodyText"/>
      </w:pPr>
    </w:p>
    <w:p>
      <w:pPr>
        <w:pStyle w:val="BodyText"/>
        <w:spacing w:before="2"/>
        <w:rPr>
          <w:sz w:val="21"/>
        </w:rPr>
      </w:pPr>
    </w:p>
    <w:p>
      <w:pPr>
        <w:pStyle w:val="Heading3"/>
        <w:numPr>
          <w:ilvl w:val="1"/>
          <w:numId w:val="2"/>
        </w:numPr>
        <w:tabs>
          <w:tab w:pos="2115" w:val="left" w:leader="none"/>
          <w:tab w:pos="2116" w:val="left" w:leader="none"/>
        </w:tabs>
        <w:spacing w:line="240" w:lineRule="auto" w:before="0" w:after="0"/>
        <w:ind w:left="2115" w:right="0" w:hanging="779"/>
        <w:jc w:val="left"/>
      </w:pPr>
      <w:bookmarkStart w:name="_TOC_250001" w:id="168"/>
      <w:r>
        <w:rPr/>
        <w:t>Initial</w:t>
      </w:r>
      <w:r>
        <w:rPr>
          <w:spacing w:val="-2"/>
        </w:rPr>
        <w:t> </w:t>
      </w:r>
      <w:r>
        <w:rPr/>
        <w:t>contact</w:t>
      </w:r>
      <w:r>
        <w:rPr>
          <w:spacing w:val="-4"/>
        </w:rPr>
        <w:t> </w:t>
      </w:r>
      <w:r>
        <w:rPr/>
        <w:t>with</w:t>
      </w:r>
      <w:r>
        <w:rPr>
          <w:spacing w:val="-3"/>
        </w:rPr>
        <w:t> </w:t>
      </w:r>
      <w:bookmarkEnd w:id="168"/>
      <w:r>
        <w:rPr>
          <w:spacing w:val="-4"/>
        </w:rPr>
        <w:t>Acas</w:t>
      </w:r>
    </w:p>
    <w:p>
      <w:pPr>
        <w:pStyle w:val="BodyText"/>
        <w:spacing w:before="10"/>
        <w:rPr>
          <w:b/>
          <w:sz w:val="22"/>
        </w:rPr>
      </w:pPr>
    </w:p>
    <w:p>
      <w:pPr>
        <w:pStyle w:val="BodyText"/>
        <w:spacing w:line="256" w:lineRule="auto"/>
        <w:ind w:left="1337" w:right="1475"/>
        <w:jc w:val="both"/>
      </w:pPr>
      <w:r>
        <w:rPr/>
        <w:t>All</w:t>
      </w:r>
      <w:r>
        <w:rPr>
          <w:spacing w:val="-16"/>
        </w:rPr>
        <w:t> </w:t>
      </w:r>
      <w:r>
        <w:rPr/>
        <w:t>participants</w:t>
      </w:r>
      <w:r>
        <w:rPr>
          <w:spacing w:val="-18"/>
        </w:rPr>
        <w:t> </w:t>
      </w:r>
      <w:r>
        <w:rPr/>
        <w:t>were</w:t>
      </w:r>
      <w:r>
        <w:rPr>
          <w:spacing w:val="-16"/>
        </w:rPr>
        <w:t> </w:t>
      </w:r>
      <w:r>
        <w:rPr/>
        <w:t>asked</w:t>
      </w:r>
      <w:r>
        <w:rPr>
          <w:spacing w:val="-16"/>
        </w:rPr>
        <w:t> </w:t>
      </w:r>
      <w:r>
        <w:rPr/>
        <w:t>whether</w:t>
      </w:r>
      <w:r>
        <w:rPr>
          <w:spacing w:val="-16"/>
        </w:rPr>
        <w:t> </w:t>
      </w:r>
      <w:r>
        <w:rPr/>
        <w:t>they</w:t>
      </w:r>
      <w:r>
        <w:rPr>
          <w:spacing w:val="-16"/>
        </w:rPr>
        <w:t> </w:t>
      </w:r>
      <w:r>
        <w:rPr/>
        <w:t>received</w:t>
      </w:r>
      <w:r>
        <w:rPr>
          <w:spacing w:val="-16"/>
        </w:rPr>
        <w:t> </w:t>
      </w:r>
      <w:r>
        <w:rPr/>
        <w:t>a</w:t>
      </w:r>
      <w:r>
        <w:rPr>
          <w:spacing w:val="-16"/>
        </w:rPr>
        <w:t> </w:t>
      </w:r>
      <w:r>
        <w:rPr/>
        <w:t>letter</w:t>
      </w:r>
      <w:r>
        <w:rPr>
          <w:spacing w:val="-17"/>
        </w:rPr>
        <w:t> </w:t>
      </w:r>
      <w:r>
        <w:rPr/>
        <w:t>from</w:t>
      </w:r>
      <w:r>
        <w:rPr>
          <w:spacing w:val="-16"/>
        </w:rPr>
        <w:t> </w:t>
      </w:r>
      <w:r>
        <w:rPr/>
        <w:t>Acas</w:t>
      </w:r>
      <w:r>
        <w:rPr>
          <w:spacing w:val="-16"/>
        </w:rPr>
        <w:t> </w:t>
      </w:r>
      <w:r>
        <w:rPr/>
        <w:t>explaining</w:t>
      </w:r>
      <w:r>
        <w:rPr>
          <w:spacing w:val="-16"/>
        </w:rPr>
        <w:t> </w:t>
      </w:r>
      <w:r>
        <w:rPr/>
        <w:t>that they</w:t>
      </w:r>
      <w:r>
        <w:rPr>
          <w:spacing w:val="-18"/>
        </w:rPr>
        <w:t> </w:t>
      </w:r>
      <w:r>
        <w:rPr/>
        <w:t>would</w:t>
      </w:r>
      <w:r>
        <w:rPr>
          <w:spacing w:val="-18"/>
        </w:rPr>
        <w:t> </w:t>
      </w:r>
      <w:r>
        <w:rPr/>
        <w:t>be</w:t>
      </w:r>
      <w:r>
        <w:rPr>
          <w:spacing w:val="-17"/>
        </w:rPr>
        <w:t> </w:t>
      </w:r>
      <w:r>
        <w:rPr/>
        <w:t>contacted</w:t>
      </w:r>
      <w:r>
        <w:rPr>
          <w:spacing w:val="-18"/>
        </w:rPr>
        <w:t> </w:t>
      </w:r>
      <w:r>
        <w:rPr/>
        <w:t>in</w:t>
      </w:r>
      <w:r>
        <w:rPr>
          <w:spacing w:val="-17"/>
        </w:rPr>
        <w:t> </w:t>
      </w:r>
      <w:r>
        <w:rPr/>
        <w:t>order</w:t>
      </w:r>
      <w:r>
        <w:rPr>
          <w:spacing w:val="-18"/>
        </w:rPr>
        <w:t> </w:t>
      </w:r>
      <w:r>
        <w:rPr/>
        <w:t>to</w:t>
      </w:r>
      <w:r>
        <w:rPr>
          <w:spacing w:val="-18"/>
        </w:rPr>
        <w:t> </w:t>
      </w:r>
      <w:r>
        <w:rPr/>
        <w:t>try</w:t>
      </w:r>
      <w:r>
        <w:rPr>
          <w:spacing w:val="-17"/>
        </w:rPr>
        <w:t> </w:t>
      </w:r>
      <w:r>
        <w:rPr/>
        <w:t>and</w:t>
      </w:r>
      <w:r>
        <w:rPr>
          <w:spacing w:val="-18"/>
        </w:rPr>
        <w:t> </w:t>
      </w:r>
      <w:r>
        <w:rPr/>
        <w:t>settle</w:t>
      </w:r>
      <w:r>
        <w:rPr>
          <w:spacing w:val="-17"/>
        </w:rPr>
        <w:t> </w:t>
      </w:r>
      <w:r>
        <w:rPr/>
        <w:t>their</w:t>
      </w:r>
      <w:r>
        <w:rPr>
          <w:spacing w:val="-18"/>
        </w:rPr>
        <w:t> </w:t>
      </w:r>
      <w:r>
        <w:rPr/>
        <w:t>employment</w:t>
      </w:r>
      <w:r>
        <w:rPr>
          <w:spacing w:val="-17"/>
        </w:rPr>
        <w:t> </w:t>
      </w:r>
      <w:r>
        <w:rPr/>
        <w:t>dispute</w:t>
      </w:r>
      <w:r>
        <w:rPr>
          <w:spacing w:val="-18"/>
        </w:rPr>
        <w:t> </w:t>
      </w:r>
      <w:r>
        <w:rPr/>
        <w:t>through </w:t>
      </w:r>
      <w:r>
        <w:rPr>
          <w:spacing w:val="-2"/>
        </w:rPr>
        <w:t>conciliation.</w:t>
      </w:r>
    </w:p>
    <w:p>
      <w:pPr>
        <w:pStyle w:val="BodyText"/>
        <w:spacing w:before="4"/>
        <w:rPr>
          <w:sz w:val="21"/>
        </w:rPr>
      </w:pPr>
    </w:p>
    <w:p>
      <w:pPr>
        <w:pStyle w:val="BodyText"/>
        <w:spacing w:line="256" w:lineRule="auto"/>
        <w:ind w:left="1337" w:right="1473"/>
        <w:jc w:val="both"/>
      </w:pPr>
      <w:r>
        <w:rPr/>
        <w:t>More than eight in ten (85 per cent) claimant-side participants reported receiving this letter, close to the</w:t>
      </w:r>
      <w:r>
        <w:rPr>
          <w:spacing w:val="-1"/>
        </w:rPr>
        <w:t> </w:t>
      </w:r>
      <w:r>
        <w:rPr/>
        <w:t>2016 proportion of 88</w:t>
      </w:r>
      <w:r>
        <w:rPr>
          <w:spacing w:val="-2"/>
        </w:rPr>
        <w:t> </w:t>
      </w:r>
      <w:r>
        <w:rPr/>
        <w:t>per cent. Seven in</w:t>
      </w:r>
      <w:r>
        <w:rPr>
          <w:spacing w:val="-1"/>
        </w:rPr>
        <w:t> </w:t>
      </w:r>
      <w:r>
        <w:rPr/>
        <w:t>ten</w:t>
      </w:r>
      <w:r>
        <w:rPr>
          <w:spacing w:val="-1"/>
        </w:rPr>
        <w:t> </w:t>
      </w:r>
      <w:r>
        <w:rPr/>
        <w:t>(71 per cent) employer-side participants reported having received this letter, a significant decrease from 2016 (83 per cent).</w:t>
      </w:r>
    </w:p>
    <w:p>
      <w:pPr>
        <w:pStyle w:val="BodyText"/>
        <w:spacing w:before="5"/>
        <w:rPr>
          <w:sz w:val="21"/>
        </w:rPr>
      </w:pPr>
    </w:p>
    <w:p>
      <w:pPr>
        <w:pStyle w:val="BodyText"/>
        <w:spacing w:line="256" w:lineRule="auto"/>
        <w:ind w:left="1337" w:right="1471"/>
        <w:jc w:val="both"/>
      </w:pPr>
      <w:r>
        <w:rPr/>
        <w:t>Claimant-side</w:t>
      </w:r>
      <w:r>
        <w:rPr>
          <w:spacing w:val="-15"/>
        </w:rPr>
        <w:t> </w:t>
      </w:r>
      <w:r>
        <w:rPr/>
        <w:t>participants</w:t>
      </w:r>
      <w:r>
        <w:rPr>
          <w:spacing w:val="-16"/>
        </w:rPr>
        <w:t> </w:t>
      </w:r>
      <w:r>
        <w:rPr/>
        <w:t>were</w:t>
      </w:r>
      <w:r>
        <w:rPr>
          <w:spacing w:val="-15"/>
        </w:rPr>
        <w:t> </w:t>
      </w:r>
      <w:r>
        <w:rPr/>
        <w:t>asked</w:t>
      </w:r>
      <w:r>
        <w:rPr>
          <w:spacing w:val="-15"/>
        </w:rPr>
        <w:t> </w:t>
      </w:r>
      <w:r>
        <w:rPr/>
        <w:t>whether</w:t>
      </w:r>
      <w:r>
        <w:rPr>
          <w:spacing w:val="-15"/>
        </w:rPr>
        <w:t> </w:t>
      </w:r>
      <w:r>
        <w:rPr/>
        <w:t>they</w:t>
      </w:r>
      <w:r>
        <w:rPr>
          <w:spacing w:val="-15"/>
        </w:rPr>
        <w:t> </w:t>
      </w:r>
      <w:r>
        <w:rPr/>
        <w:t>or</w:t>
      </w:r>
      <w:r>
        <w:rPr>
          <w:spacing w:val="-15"/>
        </w:rPr>
        <w:t> </w:t>
      </w:r>
      <w:r>
        <w:rPr/>
        <w:t>Acas</w:t>
      </w:r>
      <w:r>
        <w:rPr>
          <w:spacing w:val="-15"/>
        </w:rPr>
        <w:t> </w:t>
      </w:r>
      <w:r>
        <w:rPr/>
        <w:t>had</w:t>
      </w:r>
      <w:r>
        <w:rPr>
          <w:spacing w:val="-15"/>
        </w:rPr>
        <w:t> </w:t>
      </w:r>
      <w:r>
        <w:rPr/>
        <w:t>initiated</w:t>
      </w:r>
      <w:r>
        <w:rPr>
          <w:spacing w:val="-15"/>
        </w:rPr>
        <w:t> </w:t>
      </w:r>
      <w:r>
        <w:rPr/>
        <w:t>contact.</w:t>
      </w:r>
      <w:r>
        <w:rPr>
          <w:position w:val="7"/>
          <w:sz w:val="13"/>
        </w:rPr>
        <w:t>27 </w:t>
      </w:r>
      <w:r>
        <w:rPr/>
        <w:t>A slightly larger proportion of participants claimed that they had made the first contact with Acas after submitting an ET1 form, rather than Acas making the first contact with them – a change from 2016. Four in ten (44 per cent) claimant-side participants reported that they made the first contact</w:t>
      </w:r>
      <w:r>
        <w:rPr>
          <w:spacing w:val="-1"/>
        </w:rPr>
        <w:t> </w:t>
      </w:r>
      <w:r>
        <w:rPr/>
        <w:t>with</w:t>
      </w:r>
      <w:r>
        <w:rPr>
          <w:spacing w:val="-1"/>
        </w:rPr>
        <w:t> </w:t>
      </w:r>
      <w:r>
        <w:rPr/>
        <w:t>Acas after the ET claim was</w:t>
      </w:r>
      <w:r>
        <w:rPr>
          <w:spacing w:val="35"/>
        </w:rPr>
        <w:t> </w:t>
      </w:r>
      <w:r>
        <w:rPr/>
        <w:t>submitted.</w:t>
      </w:r>
      <w:r>
        <w:rPr>
          <w:spacing w:val="35"/>
        </w:rPr>
        <w:t> </w:t>
      </w:r>
      <w:r>
        <w:rPr/>
        <w:t>A</w:t>
      </w:r>
      <w:r>
        <w:rPr>
          <w:spacing w:val="34"/>
        </w:rPr>
        <w:t> </w:t>
      </w:r>
      <w:r>
        <w:rPr/>
        <w:t>similar</w:t>
      </w:r>
      <w:r>
        <w:rPr>
          <w:spacing w:val="35"/>
        </w:rPr>
        <w:t> </w:t>
      </w:r>
      <w:r>
        <w:rPr/>
        <w:t>proportion</w:t>
      </w:r>
      <w:r>
        <w:rPr>
          <w:spacing w:val="35"/>
        </w:rPr>
        <w:t> </w:t>
      </w:r>
      <w:r>
        <w:rPr/>
        <w:t>(40</w:t>
      </w:r>
      <w:r>
        <w:rPr>
          <w:spacing w:val="34"/>
        </w:rPr>
        <w:t> </w:t>
      </w:r>
      <w:r>
        <w:rPr/>
        <w:t>per</w:t>
      </w:r>
      <w:r>
        <w:rPr>
          <w:spacing w:val="35"/>
        </w:rPr>
        <w:t> </w:t>
      </w:r>
      <w:r>
        <w:rPr/>
        <w:t>cent)</w:t>
      </w:r>
      <w:r>
        <w:rPr>
          <w:spacing w:val="35"/>
        </w:rPr>
        <w:t> </w:t>
      </w:r>
      <w:r>
        <w:rPr/>
        <w:t>of</w:t>
      </w:r>
      <w:r>
        <w:rPr>
          <w:spacing w:val="36"/>
        </w:rPr>
        <w:t> </w:t>
      </w:r>
      <w:r>
        <w:rPr/>
        <w:t>claimant-side</w:t>
      </w:r>
      <w:r>
        <w:rPr>
          <w:spacing w:val="36"/>
        </w:rPr>
        <w:t> </w:t>
      </w:r>
      <w:r>
        <w:rPr/>
        <w:t>participants</w:t>
      </w:r>
    </w:p>
    <w:p>
      <w:pPr>
        <w:spacing w:after="0" w:line="256" w:lineRule="auto"/>
        <w:jc w:val="both"/>
        <w:sectPr>
          <w:pgSz w:w="11910" w:h="16840"/>
          <w:pgMar w:header="0" w:footer="996" w:top="1360" w:bottom="1180" w:left="460" w:right="318"/>
        </w:sectPr>
      </w:pPr>
    </w:p>
    <w:p>
      <w:pPr>
        <w:pStyle w:val="BodyText"/>
        <w:spacing w:line="256" w:lineRule="auto" w:before="79"/>
        <w:ind w:left="1337" w:right="1472"/>
        <w:jc w:val="both"/>
      </w:pPr>
      <w:r>
        <w:rPr/>
        <w:t>reported that the Acas conciliator made the first contact. One in ten (13 per cent) could not recall who made the initial contact and just three per cent said contact was never made. In 2016, a greater proportion of claimant-side participants reported</w:t>
      </w:r>
      <w:r>
        <w:rPr>
          <w:spacing w:val="-18"/>
        </w:rPr>
        <w:t> </w:t>
      </w:r>
      <w:r>
        <w:rPr/>
        <w:t>that</w:t>
      </w:r>
      <w:r>
        <w:rPr>
          <w:spacing w:val="-18"/>
        </w:rPr>
        <w:t> </w:t>
      </w:r>
      <w:r>
        <w:rPr/>
        <w:t>Acas</w:t>
      </w:r>
      <w:r>
        <w:rPr>
          <w:spacing w:val="-17"/>
        </w:rPr>
        <w:t> </w:t>
      </w:r>
      <w:r>
        <w:rPr/>
        <w:t>had</w:t>
      </w:r>
      <w:r>
        <w:rPr>
          <w:spacing w:val="-18"/>
        </w:rPr>
        <w:t> </w:t>
      </w:r>
      <w:r>
        <w:rPr/>
        <w:t>made</w:t>
      </w:r>
      <w:r>
        <w:rPr>
          <w:spacing w:val="-17"/>
        </w:rPr>
        <w:t> </w:t>
      </w:r>
      <w:r>
        <w:rPr/>
        <w:t>the</w:t>
      </w:r>
      <w:r>
        <w:rPr>
          <w:spacing w:val="-18"/>
        </w:rPr>
        <w:t> </w:t>
      </w:r>
      <w:r>
        <w:rPr/>
        <w:t>first</w:t>
      </w:r>
      <w:r>
        <w:rPr>
          <w:spacing w:val="-18"/>
        </w:rPr>
        <w:t> </w:t>
      </w:r>
      <w:r>
        <w:rPr/>
        <w:t>contact</w:t>
      </w:r>
      <w:r>
        <w:rPr>
          <w:spacing w:val="-17"/>
        </w:rPr>
        <w:t> </w:t>
      </w:r>
      <w:r>
        <w:rPr/>
        <w:t>(61</w:t>
      </w:r>
      <w:r>
        <w:rPr>
          <w:spacing w:val="-18"/>
        </w:rPr>
        <w:t> </w:t>
      </w:r>
      <w:r>
        <w:rPr/>
        <w:t>per</w:t>
      </w:r>
      <w:r>
        <w:rPr>
          <w:spacing w:val="-17"/>
        </w:rPr>
        <w:t> </w:t>
      </w:r>
      <w:r>
        <w:rPr/>
        <w:t>cent)</w:t>
      </w:r>
      <w:r>
        <w:rPr>
          <w:spacing w:val="-18"/>
        </w:rPr>
        <w:t> </w:t>
      </w:r>
      <w:r>
        <w:rPr/>
        <w:t>and</w:t>
      </w:r>
      <w:r>
        <w:rPr>
          <w:spacing w:val="-17"/>
        </w:rPr>
        <w:t> </w:t>
      </w:r>
      <w:r>
        <w:rPr/>
        <w:t>a</w:t>
      </w:r>
      <w:r>
        <w:rPr>
          <w:spacing w:val="-18"/>
        </w:rPr>
        <w:t> </w:t>
      </w:r>
      <w:r>
        <w:rPr/>
        <w:t>smaller</w:t>
      </w:r>
      <w:r>
        <w:rPr>
          <w:spacing w:val="-18"/>
        </w:rPr>
        <w:t> </w:t>
      </w:r>
      <w:r>
        <w:rPr/>
        <w:t>proportion reported that they had made the first contact (31 per cent).</w:t>
      </w:r>
    </w:p>
    <w:p>
      <w:pPr>
        <w:pStyle w:val="BodyText"/>
        <w:spacing w:before="11"/>
        <w:rPr>
          <w:sz w:val="19"/>
        </w:rPr>
      </w:pPr>
    </w:p>
    <w:p>
      <w:pPr>
        <w:pStyle w:val="BodyText"/>
        <w:ind w:left="1337" w:right="1475"/>
        <w:jc w:val="both"/>
        <w:rPr>
          <w:rFonts w:ascii="Calibri" w:hAnsi="Calibri"/>
        </w:rPr>
      </w:pPr>
      <w:r>
        <w:rPr/>
        <w:t>Given the large proportion of ‘don’t know’ responses to this question, excluding these from the results is likely to give a more accurate picture, whereby Acas reportedly</w:t>
      </w:r>
      <w:r>
        <w:rPr>
          <w:spacing w:val="-9"/>
        </w:rPr>
        <w:t> </w:t>
      </w:r>
      <w:r>
        <w:rPr/>
        <w:t>made</w:t>
      </w:r>
      <w:r>
        <w:rPr>
          <w:spacing w:val="-10"/>
        </w:rPr>
        <w:t> </w:t>
      </w:r>
      <w:r>
        <w:rPr/>
        <w:t>initial</w:t>
      </w:r>
      <w:r>
        <w:rPr>
          <w:spacing w:val="-9"/>
        </w:rPr>
        <w:t> </w:t>
      </w:r>
      <w:r>
        <w:rPr/>
        <w:t>contact</w:t>
      </w:r>
      <w:r>
        <w:rPr>
          <w:spacing w:val="-9"/>
        </w:rPr>
        <w:t> </w:t>
      </w:r>
      <w:r>
        <w:rPr/>
        <w:t>in</w:t>
      </w:r>
      <w:r>
        <w:rPr>
          <w:spacing w:val="-11"/>
        </w:rPr>
        <w:t> </w:t>
      </w:r>
      <w:r>
        <w:rPr/>
        <w:t>46</w:t>
      </w:r>
      <w:r>
        <w:rPr>
          <w:spacing w:val="-9"/>
        </w:rPr>
        <w:t> </w:t>
      </w:r>
      <w:r>
        <w:rPr/>
        <w:t>per</w:t>
      </w:r>
      <w:r>
        <w:rPr>
          <w:spacing w:val="-10"/>
        </w:rPr>
        <w:t> </w:t>
      </w:r>
      <w:r>
        <w:rPr/>
        <w:t>cent</w:t>
      </w:r>
      <w:r>
        <w:rPr>
          <w:spacing w:val="-10"/>
        </w:rPr>
        <w:t> </w:t>
      </w:r>
      <w:r>
        <w:rPr/>
        <w:t>of</w:t>
      </w:r>
      <w:r>
        <w:rPr>
          <w:spacing w:val="-9"/>
        </w:rPr>
        <w:t> </w:t>
      </w:r>
      <w:r>
        <w:rPr/>
        <w:t>cases,</w:t>
      </w:r>
      <w:r>
        <w:rPr>
          <w:spacing w:val="-11"/>
        </w:rPr>
        <w:t> </w:t>
      </w:r>
      <w:r>
        <w:rPr/>
        <w:t>with</w:t>
      </w:r>
      <w:r>
        <w:rPr>
          <w:spacing w:val="-9"/>
        </w:rPr>
        <w:t> </w:t>
      </w:r>
      <w:r>
        <w:rPr/>
        <w:t>50</w:t>
      </w:r>
      <w:r>
        <w:rPr>
          <w:spacing w:val="-9"/>
        </w:rPr>
        <w:t> </w:t>
      </w:r>
      <w:r>
        <w:rPr/>
        <w:t>per</w:t>
      </w:r>
      <w:r>
        <w:rPr>
          <w:spacing w:val="-11"/>
        </w:rPr>
        <w:t> </w:t>
      </w:r>
      <w:r>
        <w:rPr/>
        <w:t>cent</w:t>
      </w:r>
      <w:r>
        <w:rPr>
          <w:spacing w:val="-10"/>
        </w:rPr>
        <w:t> </w:t>
      </w:r>
      <w:r>
        <w:rPr/>
        <w:t>saying</w:t>
      </w:r>
      <w:r>
        <w:rPr>
          <w:spacing w:val="-10"/>
        </w:rPr>
        <w:t> </w:t>
      </w:r>
      <w:r>
        <w:rPr/>
        <w:t>that they had made first contact, and no contact being established for just three per cent.</w:t>
      </w:r>
      <w:r>
        <w:rPr>
          <w:spacing w:val="-13"/>
        </w:rPr>
        <w:t> </w:t>
      </w:r>
      <w:r>
        <w:rPr/>
        <w:t>With</w:t>
      </w:r>
      <w:r>
        <w:rPr>
          <w:spacing w:val="-12"/>
        </w:rPr>
        <w:t> </w:t>
      </w:r>
      <w:r>
        <w:rPr/>
        <w:t>‘don’t</w:t>
      </w:r>
      <w:r>
        <w:rPr>
          <w:spacing w:val="-13"/>
        </w:rPr>
        <w:t> </w:t>
      </w:r>
      <w:r>
        <w:rPr/>
        <w:t>know’</w:t>
      </w:r>
      <w:r>
        <w:rPr>
          <w:spacing w:val="-13"/>
        </w:rPr>
        <w:t> </w:t>
      </w:r>
      <w:r>
        <w:rPr/>
        <w:t>responses</w:t>
      </w:r>
      <w:r>
        <w:rPr>
          <w:spacing w:val="-12"/>
        </w:rPr>
        <w:t> </w:t>
      </w:r>
      <w:r>
        <w:rPr/>
        <w:t>removed,</w:t>
      </w:r>
      <w:r>
        <w:rPr>
          <w:spacing w:val="-12"/>
        </w:rPr>
        <w:t> </w:t>
      </w:r>
      <w:r>
        <w:rPr/>
        <w:t>claimants</w:t>
      </w:r>
      <w:r>
        <w:rPr>
          <w:spacing w:val="-12"/>
        </w:rPr>
        <w:t> </w:t>
      </w:r>
      <w:r>
        <w:rPr/>
        <w:t>themselves</w:t>
      </w:r>
      <w:r>
        <w:rPr>
          <w:spacing w:val="-13"/>
        </w:rPr>
        <w:t> </w:t>
      </w:r>
      <w:r>
        <w:rPr/>
        <w:t>were</w:t>
      </w:r>
      <w:r>
        <w:rPr>
          <w:spacing w:val="-13"/>
        </w:rPr>
        <w:t> </w:t>
      </w:r>
      <w:r>
        <w:rPr/>
        <w:t>more</w:t>
      </w:r>
      <w:r>
        <w:rPr>
          <w:spacing w:val="-13"/>
        </w:rPr>
        <w:t> </w:t>
      </w:r>
      <w:r>
        <w:rPr/>
        <w:t>likely than</w:t>
      </w:r>
      <w:r>
        <w:rPr>
          <w:spacing w:val="-7"/>
        </w:rPr>
        <w:t> </w:t>
      </w:r>
      <w:r>
        <w:rPr/>
        <w:t>claimant</w:t>
      </w:r>
      <w:r>
        <w:rPr>
          <w:spacing w:val="-6"/>
        </w:rPr>
        <w:t> </w:t>
      </w:r>
      <w:r>
        <w:rPr/>
        <w:t>representatives</w:t>
      </w:r>
      <w:r>
        <w:rPr>
          <w:spacing w:val="-7"/>
        </w:rPr>
        <w:t> </w:t>
      </w:r>
      <w:r>
        <w:rPr/>
        <w:t>to</w:t>
      </w:r>
      <w:r>
        <w:rPr>
          <w:spacing w:val="-7"/>
        </w:rPr>
        <w:t> </w:t>
      </w:r>
      <w:r>
        <w:rPr/>
        <w:t>report</w:t>
      </w:r>
      <w:r>
        <w:rPr>
          <w:spacing w:val="-6"/>
        </w:rPr>
        <w:t> </w:t>
      </w:r>
      <w:r>
        <w:rPr/>
        <w:t>having</w:t>
      </w:r>
      <w:r>
        <w:rPr>
          <w:spacing w:val="-9"/>
        </w:rPr>
        <w:t> </w:t>
      </w:r>
      <w:r>
        <w:rPr/>
        <w:t>made</w:t>
      </w:r>
      <w:r>
        <w:rPr>
          <w:spacing w:val="-7"/>
        </w:rPr>
        <w:t> </w:t>
      </w:r>
      <w:r>
        <w:rPr/>
        <w:t>first</w:t>
      </w:r>
      <w:r>
        <w:rPr>
          <w:spacing w:val="-6"/>
        </w:rPr>
        <w:t> </w:t>
      </w:r>
      <w:r>
        <w:rPr/>
        <w:t>contact</w:t>
      </w:r>
      <w:r>
        <w:rPr>
          <w:spacing w:val="-8"/>
        </w:rPr>
        <w:t> </w:t>
      </w:r>
      <w:r>
        <w:rPr/>
        <w:t>(55</w:t>
      </w:r>
      <w:r>
        <w:rPr>
          <w:spacing w:val="-8"/>
        </w:rPr>
        <w:t> </w:t>
      </w:r>
      <w:r>
        <w:rPr/>
        <w:t>per</w:t>
      </w:r>
      <w:r>
        <w:rPr>
          <w:spacing w:val="-7"/>
        </w:rPr>
        <w:t> </w:t>
      </w:r>
      <w:r>
        <w:rPr/>
        <w:t>cent</w:t>
      </w:r>
      <w:r>
        <w:rPr>
          <w:spacing w:val="-6"/>
        </w:rPr>
        <w:t> </w:t>
      </w:r>
      <w:r>
        <w:rPr/>
        <w:t>and 43 per cent respectively), echoing the pattern observed in 2016. However, it is important to note that small base sizes mean the difference is not statistically </w:t>
      </w:r>
      <w:r>
        <w:rPr>
          <w:spacing w:val="-2"/>
        </w:rPr>
        <w:t>significant.</w:t>
      </w:r>
      <w:hyperlink w:history="true" w:anchor="_bookmark101">
        <w:r>
          <w:rPr>
            <w:rFonts w:ascii="Calibri" w:hAnsi="Calibri"/>
            <w:spacing w:val="-2"/>
            <w:vertAlign w:val="superscript"/>
          </w:rPr>
          <w:t>28</w:t>
        </w:r>
      </w:hyperlink>
    </w:p>
    <w:p>
      <w:pPr>
        <w:pStyle w:val="BodyText"/>
        <w:spacing w:before="4"/>
        <w:rPr>
          <w:rFonts w:ascii="Calibri"/>
          <w:sz w:val="22"/>
        </w:rPr>
      </w:pPr>
    </w:p>
    <w:p>
      <w:pPr>
        <w:pStyle w:val="Heading3"/>
        <w:spacing w:before="1"/>
        <w:ind w:right="1475"/>
      </w:pPr>
      <w:r>
        <w:rPr/>
        <w:t>Figure</w:t>
      </w:r>
      <w:r>
        <w:rPr>
          <w:spacing w:val="-9"/>
        </w:rPr>
        <w:t> </w:t>
      </w:r>
      <w:r>
        <w:rPr/>
        <w:t>24.</w:t>
      </w:r>
      <w:r>
        <w:rPr>
          <w:spacing w:val="-10"/>
        </w:rPr>
        <w:t> </w:t>
      </w:r>
      <w:r>
        <w:rPr/>
        <w:t>Who</w:t>
      </w:r>
      <w:r>
        <w:rPr>
          <w:spacing w:val="-8"/>
        </w:rPr>
        <w:t> </w:t>
      </w:r>
      <w:r>
        <w:rPr/>
        <w:t>made</w:t>
      </w:r>
      <w:r>
        <w:rPr>
          <w:spacing w:val="-9"/>
        </w:rPr>
        <w:t> </w:t>
      </w:r>
      <w:r>
        <w:rPr/>
        <w:t>first</w:t>
      </w:r>
      <w:r>
        <w:rPr>
          <w:spacing w:val="-8"/>
        </w:rPr>
        <w:t> </w:t>
      </w:r>
      <w:r>
        <w:rPr/>
        <w:t>contact</w:t>
      </w:r>
      <w:r>
        <w:rPr>
          <w:spacing w:val="-10"/>
        </w:rPr>
        <w:t> </w:t>
      </w:r>
      <w:r>
        <w:rPr/>
        <w:t>between</w:t>
      </w:r>
      <w:r>
        <w:rPr>
          <w:spacing w:val="-8"/>
        </w:rPr>
        <w:t> </w:t>
      </w:r>
      <w:r>
        <w:rPr/>
        <w:t>claimant-side</w:t>
      </w:r>
      <w:r>
        <w:rPr>
          <w:spacing w:val="-8"/>
        </w:rPr>
        <w:t> </w:t>
      </w:r>
      <w:r>
        <w:rPr/>
        <w:t>participants</w:t>
      </w:r>
      <w:r>
        <w:rPr>
          <w:spacing w:val="-8"/>
        </w:rPr>
        <w:t> </w:t>
      </w:r>
      <w:r>
        <w:rPr/>
        <w:t>and </w:t>
      </w:r>
      <w:r>
        <w:rPr>
          <w:spacing w:val="-4"/>
        </w:rPr>
        <w:t>Acas</w:t>
      </w:r>
    </w:p>
    <w:p>
      <w:pPr>
        <w:pStyle w:val="BodyText"/>
        <w:spacing w:before="6"/>
        <w:rPr>
          <w:b/>
          <w:sz w:val="5"/>
        </w:rPr>
      </w:pPr>
      <w:r>
        <w:rPr/>
        <w:drawing>
          <wp:anchor distT="0" distB="0" distL="0" distR="0" allowOverlap="1" layoutInCell="1" locked="0" behindDoc="0" simplePos="0" relativeHeight="53">
            <wp:simplePos x="0" y="0"/>
            <wp:positionH relativeFrom="page">
              <wp:posOffset>1262228</wp:posOffset>
            </wp:positionH>
            <wp:positionV relativeFrom="paragraph">
              <wp:posOffset>58248</wp:posOffset>
            </wp:positionV>
            <wp:extent cx="5107882" cy="3237547"/>
            <wp:effectExtent l="0" t="0" r="0" b="0"/>
            <wp:wrapTopAndBottom/>
            <wp:docPr id="79" name="image40.png" descr="Pie chart showing who made first contact between claimant-side particiopants and Acas "/>
            <wp:cNvGraphicFramePr>
              <a:graphicFrameLocks noChangeAspect="1"/>
            </wp:cNvGraphicFramePr>
            <a:graphic>
              <a:graphicData uri="http://schemas.openxmlformats.org/drawingml/2006/picture">
                <pic:pic>
                  <pic:nvPicPr>
                    <pic:cNvPr id="80" name="image40.png"/>
                    <pic:cNvPicPr/>
                  </pic:nvPicPr>
                  <pic:blipFill>
                    <a:blip r:embed="rId53" cstate="print"/>
                    <a:stretch>
                      <a:fillRect/>
                    </a:stretch>
                  </pic:blipFill>
                  <pic:spPr>
                    <a:xfrm>
                      <a:off x="0" y="0"/>
                      <a:ext cx="5107882" cy="3237547"/>
                    </a:xfrm>
                    <a:prstGeom prst="rect">
                      <a:avLst/>
                    </a:prstGeom>
                  </pic:spPr>
                </pic:pic>
              </a:graphicData>
            </a:graphic>
          </wp:anchor>
        </w:drawing>
      </w:r>
    </w:p>
    <w:p>
      <w:pPr>
        <w:pStyle w:val="BodyText"/>
        <w:rPr>
          <w:b/>
          <w:sz w:val="24"/>
        </w:rPr>
      </w:pPr>
    </w:p>
    <w:p>
      <w:pPr>
        <w:pStyle w:val="BodyText"/>
        <w:spacing w:before="6"/>
        <w:rPr>
          <w:b/>
          <w:sz w:val="35"/>
        </w:rPr>
      </w:pPr>
    </w:p>
    <w:p>
      <w:pPr>
        <w:pStyle w:val="BodyText"/>
        <w:ind w:left="1337" w:right="1473" w:hanging="1"/>
        <w:jc w:val="both"/>
      </w:pPr>
      <w:r>
        <w:rPr/>
        <w:t>Nearly half (47 per cent) of employer-side participants reported that the Acas conciliator made the first contact. Almost three in ten (28 per cent) reported that they</w:t>
      </w:r>
      <w:r>
        <w:rPr>
          <w:spacing w:val="-6"/>
        </w:rPr>
        <w:t> </w:t>
      </w:r>
      <w:r>
        <w:rPr/>
        <w:t>made</w:t>
      </w:r>
      <w:r>
        <w:rPr>
          <w:spacing w:val="-7"/>
        </w:rPr>
        <w:t> </w:t>
      </w:r>
      <w:r>
        <w:rPr/>
        <w:t>the</w:t>
      </w:r>
      <w:r>
        <w:rPr>
          <w:spacing w:val="-6"/>
        </w:rPr>
        <w:t> </w:t>
      </w:r>
      <w:r>
        <w:rPr/>
        <w:t>first</w:t>
      </w:r>
      <w:r>
        <w:rPr>
          <w:spacing w:val="-6"/>
        </w:rPr>
        <w:t> </w:t>
      </w:r>
      <w:r>
        <w:rPr/>
        <w:t>contact</w:t>
      </w:r>
      <w:r>
        <w:rPr>
          <w:spacing w:val="-6"/>
        </w:rPr>
        <w:t> </w:t>
      </w:r>
      <w:r>
        <w:rPr/>
        <w:t>with</w:t>
      </w:r>
      <w:r>
        <w:rPr>
          <w:spacing w:val="-6"/>
        </w:rPr>
        <w:t> </w:t>
      </w:r>
      <w:r>
        <w:rPr/>
        <w:t>Acas</w:t>
      </w:r>
      <w:r>
        <w:rPr>
          <w:spacing w:val="-5"/>
        </w:rPr>
        <w:t> </w:t>
      </w:r>
      <w:r>
        <w:rPr/>
        <w:t>after</w:t>
      </w:r>
      <w:r>
        <w:rPr>
          <w:spacing w:val="-6"/>
        </w:rPr>
        <w:t> </w:t>
      </w:r>
      <w:r>
        <w:rPr/>
        <w:t>the</w:t>
      </w:r>
      <w:r>
        <w:rPr>
          <w:spacing w:val="-7"/>
        </w:rPr>
        <w:t> </w:t>
      </w:r>
      <w:r>
        <w:rPr/>
        <w:t>ET</w:t>
      </w:r>
      <w:r>
        <w:rPr>
          <w:spacing w:val="-6"/>
        </w:rPr>
        <w:t> </w:t>
      </w:r>
      <w:r>
        <w:rPr/>
        <w:t>claim</w:t>
      </w:r>
      <w:r>
        <w:rPr>
          <w:spacing w:val="-6"/>
        </w:rPr>
        <w:t> </w:t>
      </w:r>
      <w:r>
        <w:rPr/>
        <w:t>was</w:t>
      </w:r>
      <w:r>
        <w:rPr>
          <w:spacing w:val="-5"/>
        </w:rPr>
        <w:t> </w:t>
      </w:r>
      <w:r>
        <w:rPr/>
        <w:t>submitted.</w:t>
      </w:r>
      <w:r>
        <w:rPr>
          <w:spacing w:val="-4"/>
        </w:rPr>
        <w:t> </w:t>
      </w:r>
      <w:r>
        <w:rPr/>
        <w:t>Two</w:t>
      </w:r>
      <w:r>
        <w:rPr>
          <w:spacing w:val="-7"/>
        </w:rPr>
        <w:t> </w:t>
      </w:r>
      <w:r>
        <w:rPr/>
        <w:t>in</w:t>
      </w:r>
      <w:r>
        <w:rPr>
          <w:spacing w:val="-6"/>
        </w:rPr>
        <w:t> </w:t>
      </w:r>
      <w:r>
        <w:rPr/>
        <w:t>ten (20 per cent) could not recall who made the initial contact and just three per cent said contact was never made. As with claimants, in 2016 a greater proportion of employer-side participants reported that Acas had made the first contact (66 per cent) and a smaller proportion reported that they had made the first contact (25 per cent).</w:t>
      </w:r>
    </w:p>
    <w:p>
      <w:pPr>
        <w:pStyle w:val="BodyText"/>
        <w:spacing w:before="161"/>
        <w:ind w:left="1337" w:right="1473"/>
        <w:jc w:val="both"/>
      </w:pPr>
      <w:r>
        <w:rPr/>
        <w:t>As</w:t>
      </w:r>
      <w:r>
        <w:rPr>
          <w:spacing w:val="-5"/>
        </w:rPr>
        <w:t> </w:t>
      </w:r>
      <w:r>
        <w:rPr/>
        <w:t>was</w:t>
      </w:r>
      <w:r>
        <w:rPr>
          <w:spacing w:val="-5"/>
        </w:rPr>
        <w:t> </w:t>
      </w:r>
      <w:r>
        <w:rPr/>
        <w:t>the</w:t>
      </w:r>
      <w:r>
        <w:rPr>
          <w:spacing w:val="-7"/>
        </w:rPr>
        <w:t> </w:t>
      </w:r>
      <w:r>
        <w:rPr/>
        <w:t>case</w:t>
      </w:r>
      <w:r>
        <w:rPr>
          <w:spacing w:val="-6"/>
        </w:rPr>
        <w:t> </w:t>
      </w:r>
      <w:r>
        <w:rPr/>
        <w:t>with</w:t>
      </w:r>
      <w:r>
        <w:rPr>
          <w:spacing w:val="-5"/>
        </w:rPr>
        <w:t> </w:t>
      </w:r>
      <w:r>
        <w:rPr/>
        <w:t>claimants,</w:t>
      </w:r>
      <w:r>
        <w:rPr>
          <w:spacing w:val="-5"/>
        </w:rPr>
        <w:t> </w:t>
      </w:r>
      <w:r>
        <w:rPr/>
        <w:t>employer-side</w:t>
      </w:r>
      <w:r>
        <w:rPr>
          <w:spacing w:val="-6"/>
        </w:rPr>
        <w:t> </w:t>
      </w:r>
      <w:r>
        <w:rPr/>
        <w:t>participants</w:t>
      </w:r>
      <w:r>
        <w:rPr>
          <w:spacing w:val="-6"/>
        </w:rPr>
        <w:t> </w:t>
      </w:r>
      <w:r>
        <w:rPr/>
        <w:t>who</w:t>
      </w:r>
      <w:r>
        <w:rPr>
          <w:spacing w:val="-6"/>
        </w:rPr>
        <w:t> </w:t>
      </w:r>
      <w:r>
        <w:rPr/>
        <w:t>accepted</w:t>
      </w:r>
      <w:r>
        <w:rPr>
          <w:spacing w:val="-5"/>
        </w:rPr>
        <w:t> </w:t>
      </w:r>
      <w:r>
        <w:rPr/>
        <w:t>the</w:t>
      </w:r>
      <w:r>
        <w:rPr>
          <w:spacing w:val="-6"/>
        </w:rPr>
        <w:t> </w:t>
      </w:r>
      <w:r>
        <w:rPr/>
        <w:t>Acas offer of post-ET1 conciliation were more likely to report having made the first contact with Acas. Thirty-five per cent of this group initiated contact, compared with</w:t>
      </w:r>
      <w:r>
        <w:rPr>
          <w:spacing w:val="-5"/>
        </w:rPr>
        <w:t> </w:t>
      </w:r>
      <w:r>
        <w:rPr/>
        <w:t>19</w:t>
      </w:r>
      <w:r>
        <w:rPr>
          <w:spacing w:val="-6"/>
        </w:rPr>
        <w:t> </w:t>
      </w:r>
      <w:r>
        <w:rPr/>
        <w:t>per</w:t>
      </w:r>
      <w:r>
        <w:rPr>
          <w:spacing w:val="-6"/>
        </w:rPr>
        <w:t> </w:t>
      </w:r>
      <w:r>
        <w:rPr/>
        <w:t>cent</w:t>
      </w:r>
      <w:r>
        <w:rPr>
          <w:spacing w:val="-5"/>
        </w:rPr>
        <w:t> </w:t>
      </w:r>
      <w:r>
        <w:rPr/>
        <w:t>of</w:t>
      </w:r>
      <w:r>
        <w:rPr>
          <w:spacing w:val="-5"/>
        </w:rPr>
        <w:t> </w:t>
      </w:r>
      <w:r>
        <w:rPr/>
        <w:t>those</w:t>
      </w:r>
      <w:r>
        <w:rPr>
          <w:spacing w:val="-5"/>
        </w:rPr>
        <w:t> </w:t>
      </w:r>
      <w:r>
        <w:rPr/>
        <w:t>who</w:t>
      </w:r>
      <w:r>
        <w:rPr>
          <w:spacing w:val="-5"/>
        </w:rPr>
        <w:t> </w:t>
      </w:r>
      <w:r>
        <w:rPr/>
        <w:t>did</w:t>
      </w:r>
      <w:r>
        <w:rPr>
          <w:spacing w:val="-6"/>
        </w:rPr>
        <w:t> </w:t>
      </w:r>
      <w:r>
        <w:rPr/>
        <w:t>not</w:t>
      </w:r>
      <w:r>
        <w:rPr>
          <w:spacing w:val="-4"/>
        </w:rPr>
        <w:t> </w:t>
      </w:r>
      <w:r>
        <w:rPr/>
        <w:t>take</w:t>
      </w:r>
      <w:r>
        <w:rPr>
          <w:spacing w:val="-5"/>
        </w:rPr>
        <w:t> </w:t>
      </w:r>
      <w:r>
        <w:rPr/>
        <w:t>part</w:t>
      </w:r>
      <w:r>
        <w:rPr>
          <w:spacing w:val="-5"/>
        </w:rPr>
        <w:t> </w:t>
      </w:r>
      <w:r>
        <w:rPr/>
        <w:t>in</w:t>
      </w:r>
      <w:r>
        <w:rPr>
          <w:spacing w:val="-4"/>
        </w:rPr>
        <w:t> </w:t>
      </w:r>
      <w:r>
        <w:rPr/>
        <w:t>conciliation,</w:t>
      </w:r>
      <w:r>
        <w:rPr>
          <w:spacing w:val="-5"/>
        </w:rPr>
        <w:t> </w:t>
      </w:r>
      <w:r>
        <w:rPr/>
        <w:t>suggesting</w:t>
      </w:r>
      <w:r>
        <w:rPr>
          <w:spacing w:val="-6"/>
        </w:rPr>
        <w:t> </w:t>
      </w:r>
      <w:r>
        <w:rPr/>
        <w:t>that</w:t>
      </w:r>
      <w:r>
        <w:rPr>
          <w:spacing w:val="-5"/>
        </w:rPr>
        <w:t> </w:t>
      </w:r>
      <w:r>
        <w:rPr/>
        <w:t>this group is more actively engaged with the service.</w:t>
      </w:r>
    </w:p>
    <w:p>
      <w:pPr>
        <w:spacing w:after="0"/>
        <w:jc w:val="both"/>
        <w:sectPr>
          <w:pgSz w:w="11910" w:h="16840"/>
          <w:pgMar w:header="0" w:footer="996" w:top="1360" w:bottom="1180" w:left="460" w:right="320"/>
        </w:sectPr>
      </w:pPr>
    </w:p>
    <w:p>
      <w:pPr>
        <w:pStyle w:val="BodyText"/>
        <w:spacing w:before="82"/>
        <w:ind w:left="1337" w:right="1473"/>
        <w:jc w:val="both"/>
      </w:pPr>
      <w:r>
        <w:rPr/>
        <w:t>As with claimant-side participants, there was a large proportion of ‘don’t know’ responses</w:t>
      </w:r>
      <w:r>
        <w:rPr>
          <w:spacing w:val="-9"/>
        </w:rPr>
        <w:t> </w:t>
      </w:r>
      <w:r>
        <w:rPr/>
        <w:t>to</w:t>
      </w:r>
      <w:r>
        <w:rPr>
          <w:spacing w:val="-9"/>
        </w:rPr>
        <w:t> </w:t>
      </w:r>
      <w:r>
        <w:rPr/>
        <w:t>this</w:t>
      </w:r>
      <w:r>
        <w:rPr>
          <w:spacing w:val="-10"/>
        </w:rPr>
        <w:t> </w:t>
      </w:r>
      <w:r>
        <w:rPr/>
        <w:t>question.</w:t>
      </w:r>
      <w:r>
        <w:rPr>
          <w:spacing w:val="-10"/>
        </w:rPr>
        <w:t> </w:t>
      </w:r>
      <w:r>
        <w:rPr/>
        <w:t>Excluding</w:t>
      </w:r>
      <w:r>
        <w:rPr>
          <w:spacing w:val="-9"/>
        </w:rPr>
        <w:t> </w:t>
      </w:r>
      <w:r>
        <w:rPr/>
        <w:t>these</w:t>
      </w:r>
      <w:r>
        <w:rPr>
          <w:spacing w:val="-11"/>
        </w:rPr>
        <w:t> </w:t>
      </w:r>
      <w:r>
        <w:rPr/>
        <w:t>from</w:t>
      </w:r>
      <w:r>
        <w:rPr>
          <w:spacing w:val="-10"/>
        </w:rPr>
        <w:t> </w:t>
      </w:r>
      <w:r>
        <w:rPr/>
        <w:t>the</w:t>
      </w:r>
      <w:r>
        <w:rPr>
          <w:spacing w:val="-10"/>
        </w:rPr>
        <w:t> </w:t>
      </w:r>
      <w:r>
        <w:rPr/>
        <w:t>results</w:t>
      </w:r>
      <w:r>
        <w:rPr>
          <w:spacing w:val="-9"/>
        </w:rPr>
        <w:t> </w:t>
      </w:r>
      <w:r>
        <w:rPr/>
        <w:t>is</w:t>
      </w:r>
      <w:r>
        <w:rPr>
          <w:spacing w:val="-9"/>
        </w:rPr>
        <w:t> </w:t>
      </w:r>
      <w:r>
        <w:rPr/>
        <w:t>likely</w:t>
      </w:r>
      <w:r>
        <w:rPr>
          <w:spacing w:val="-9"/>
        </w:rPr>
        <w:t> </w:t>
      </w:r>
      <w:r>
        <w:rPr/>
        <w:t>to</w:t>
      </w:r>
      <w:r>
        <w:rPr>
          <w:spacing w:val="-9"/>
        </w:rPr>
        <w:t> </w:t>
      </w:r>
      <w:r>
        <w:rPr/>
        <w:t>give</w:t>
      </w:r>
      <w:r>
        <w:rPr>
          <w:spacing w:val="-10"/>
        </w:rPr>
        <w:t> </w:t>
      </w:r>
      <w:r>
        <w:rPr/>
        <w:t>a</w:t>
      </w:r>
      <w:r>
        <w:rPr>
          <w:spacing w:val="-11"/>
        </w:rPr>
        <w:t> </w:t>
      </w:r>
      <w:r>
        <w:rPr/>
        <w:t>more accurate picture; using this approach Acas made initial contact in six in ten cases (59</w:t>
      </w:r>
      <w:r>
        <w:rPr>
          <w:spacing w:val="-7"/>
        </w:rPr>
        <w:t> </w:t>
      </w:r>
      <w:r>
        <w:rPr/>
        <w:t>per</w:t>
      </w:r>
      <w:r>
        <w:rPr>
          <w:spacing w:val="-8"/>
        </w:rPr>
        <w:t> </w:t>
      </w:r>
      <w:r>
        <w:rPr/>
        <w:t>cent),</w:t>
      </w:r>
      <w:r>
        <w:rPr>
          <w:spacing w:val="-8"/>
        </w:rPr>
        <w:t> </w:t>
      </w:r>
      <w:r>
        <w:rPr/>
        <w:t>with</w:t>
      </w:r>
      <w:r>
        <w:rPr>
          <w:spacing w:val="-7"/>
        </w:rPr>
        <w:t> </w:t>
      </w:r>
      <w:r>
        <w:rPr/>
        <w:t>employers</w:t>
      </w:r>
      <w:r>
        <w:rPr>
          <w:spacing w:val="-7"/>
        </w:rPr>
        <w:t> </w:t>
      </w:r>
      <w:r>
        <w:rPr/>
        <w:t>(or</w:t>
      </w:r>
      <w:r>
        <w:rPr>
          <w:spacing w:val="-8"/>
        </w:rPr>
        <w:t> </w:t>
      </w:r>
      <w:r>
        <w:rPr/>
        <w:t>their</w:t>
      </w:r>
      <w:r>
        <w:rPr>
          <w:spacing w:val="-7"/>
        </w:rPr>
        <w:t> </w:t>
      </w:r>
      <w:r>
        <w:rPr/>
        <w:t>representatives)</w:t>
      </w:r>
      <w:r>
        <w:rPr>
          <w:spacing w:val="-8"/>
        </w:rPr>
        <w:t> </w:t>
      </w:r>
      <w:r>
        <w:rPr/>
        <w:t>making</w:t>
      </w:r>
      <w:r>
        <w:rPr>
          <w:spacing w:val="-7"/>
        </w:rPr>
        <w:t> </w:t>
      </w:r>
      <w:r>
        <w:rPr/>
        <w:t>the</w:t>
      </w:r>
      <w:r>
        <w:rPr>
          <w:spacing w:val="-8"/>
        </w:rPr>
        <w:t> </w:t>
      </w:r>
      <w:r>
        <w:rPr/>
        <w:t>first</w:t>
      </w:r>
      <w:r>
        <w:rPr>
          <w:spacing w:val="-6"/>
        </w:rPr>
        <w:t> </w:t>
      </w:r>
      <w:r>
        <w:rPr/>
        <w:t>contact</w:t>
      </w:r>
      <w:r>
        <w:rPr>
          <w:spacing w:val="-8"/>
        </w:rPr>
        <w:t> </w:t>
      </w:r>
      <w:r>
        <w:rPr/>
        <w:t>in around four in ten (35 per cent) cases and with six per cent reporting that no contact was made. See Figure 25.</w:t>
      </w:r>
    </w:p>
    <w:p>
      <w:pPr>
        <w:pStyle w:val="BodyText"/>
        <w:spacing w:before="159"/>
        <w:ind w:left="1337" w:right="1472"/>
        <w:jc w:val="both"/>
      </w:pPr>
      <w:r>
        <w:rPr/>
        <w:t>Employers were significantly more likely than their representatives to report that the</w:t>
      </w:r>
      <w:r>
        <w:rPr>
          <w:spacing w:val="-9"/>
        </w:rPr>
        <w:t> </w:t>
      </w:r>
      <w:r>
        <w:rPr/>
        <w:t>Acas</w:t>
      </w:r>
      <w:r>
        <w:rPr>
          <w:spacing w:val="-8"/>
        </w:rPr>
        <w:t> </w:t>
      </w:r>
      <w:r>
        <w:rPr/>
        <w:t>conciliator</w:t>
      </w:r>
      <w:r>
        <w:rPr>
          <w:spacing w:val="-8"/>
        </w:rPr>
        <w:t> </w:t>
      </w:r>
      <w:r>
        <w:rPr/>
        <w:t>had</w:t>
      </w:r>
      <w:r>
        <w:rPr>
          <w:spacing w:val="-8"/>
        </w:rPr>
        <w:t> </w:t>
      </w:r>
      <w:r>
        <w:rPr/>
        <w:t>made</w:t>
      </w:r>
      <w:r>
        <w:rPr>
          <w:spacing w:val="-9"/>
        </w:rPr>
        <w:t> </w:t>
      </w:r>
      <w:r>
        <w:rPr/>
        <w:t>the</w:t>
      </w:r>
      <w:r>
        <w:rPr>
          <w:spacing w:val="-10"/>
        </w:rPr>
        <w:t> </w:t>
      </w:r>
      <w:r>
        <w:rPr/>
        <w:t>first</w:t>
      </w:r>
      <w:r>
        <w:rPr>
          <w:spacing w:val="-8"/>
        </w:rPr>
        <w:t> </w:t>
      </w:r>
      <w:r>
        <w:rPr/>
        <w:t>contact</w:t>
      </w:r>
      <w:r>
        <w:rPr>
          <w:spacing w:val="-9"/>
        </w:rPr>
        <w:t> </w:t>
      </w:r>
      <w:r>
        <w:rPr/>
        <w:t>after</w:t>
      </w:r>
      <w:r>
        <w:rPr>
          <w:spacing w:val="-8"/>
        </w:rPr>
        <w:t> </w:t>
      </w:r>
      <w:r>
        <w:rPr/>
        <w:t>the</w:t>
      </w:r>
      <w:r>
        <w:rPr>
          <w:spacing w:val="-9"/>
        </w:rPr>
        <w:t> </w:t>
      </w:r>
      <w:r>
        <w:rPr/>
        <w:t>submission</w:t>
      </w:r>
      <w:r>
        <w:rPr>
          <w:spacing w:val="-8"/>
        </w:rPr>
        <w:t> </w:t>
      </w:r>
      <w:r>
        <w:rPr/>
        <w:t>of</w:t>
      </w:r>
      <w:r>
        <w:rPr>
          <w:spacing w:val="-8"/>
        </w:rPr>
        <w:t> </w:t>
      </w:r>
      <w:r>
        <w:rPr/>
        <w:t>the</w:t>
      </w:r>
      <w:r>
        <w:rPr>
          <w:spacing w:val="-9"/>
        </w:rPr>
        <w:t> </w:t>
      </w:r>
      <w:r>
        <w:rPr/>
        <w:t>ET</w:t>
      </w:r>
      <w:r>
        <w:rPr>
          <w:spacing w:val="-8"/>
        </w:rPr>
        <w:t> </w:t>
      </w:r>
      <w:r>
        <w:rPr/>
        <w:t>claim (64 per cent compared to 55 per cent with ‘don’t know’ responses removed).</w:t>
      </w:r>
    </w:p>
    <w:p>
      <w:pPr>
        <w:pStyle w:val="BodyText"/>
        <w:spacing w:before="5"/>
        <w:rPr>
          <w:sz w:val="21"/>
        </w:rPr>
      </w:pPr>
    </w:p>
    <w:p>
      <w:pPr>
        <w:pStyle w:val="BodyText"/>
        <w:spacing w:before="1"/>
        <w:ind w:left="1337" w:right="1473"/>
        <w:jc w:val="both"/>
      </w:pPr>
      <w:r>
        <w:rPr/>
        <w:t>In contrast with the claimant-side, employers who reported that they had made the first contact were more likely to have reached a settlement (43 per cent compared to 23 per cent respectively when ‘don’t know’ responses are removed).</w:t>
      </w:r>
    </w:p>
    <w:p>
      <w:pPr>
        <w:pStyle w:val="BodyText"/>
        <w:spacing w:before="4"/>
        <w:rPr>
          <w:sz w:val="21"/>
        </w:rPr>
      </w:pPr>
    </w:p>
    <w:p>
      <w:pPr>
        <w:pStyle w:val="Heading3"/>
        <w:ind w:right="1474"/>
      </w:pPr>
      <w:r>
        <w:rPr/>
        <w:t>Figure</w:t>
      </w:r>
      <w:r>
        <w:rPr>
          <w:spacing w:val="-18"/>
        </w:rPr>
        <w:t> </w:t>
      </w:r>
      <w:r>
        <w:rPr/>
        <w:t>25.</w:t>
      </w:r>
      <w:r>
        <w:rPr>
          <w:spacing w:val="-17"/>
        </w:rPr>
        <w:t> </w:t>
      </w:r>
      <w:r>
        <w:rPr/>
        <w:t>Who</w:t>
      </w:r>
      <w:r>
        <w:rPr>
          <w:spacing w:val="-17"/>
        </w:rPr>
        <w:t> </w:t>
      </w:r>
      <w:r>
        <w:rPr/>
        <w:t>made</w:t>
      </w:r>
      <w:r>
        <w:rPr>
          <w:spacing w:val="-17"/>
        </w:rPr>
        <w:t> </w:t>
      </w:r>
      <w:r>
        <w:rPr/>
        <w:t>first</w:t>
      </w:r>
      <w:r>
        <w:rPr>
          <w:spacing w:val="-17"/>
        </w:rPr>
        <w:t> </w:t>
      </w:r>
      <w:r>
        <w:rPr/>
        <w:t>contact</w:t>
      </w:r>
      <w:r>
        <w:rPr>
          <w:spacing w:val="-17"/>
        </w:rPr>
        <w:t> </w:t>
      </w:r>
      <w:r>
        <w:rPr/>
        <w:t>between</w:t>
      </w:r>
      <w:r>
        <w:rPr>
          <w:spacing w:val="-17"/>
        </w:rPr>
        <w:t> </w:t>
      </w:r>
      <w:r>
        <w:rPr/>
        <w:t>employer-side</w:t>
      </w:r>
      <w:r>
        <w:rPr>
          <w:spacing w:val="-17"/>
        </w:rPr>
        <w:t> </w:t>
      </w:r>
      <w:r>
        <w:rPr/>
        <w:t>participants</w:t>
      </w:r>
      <w:r>
        <w:rPr>
          <w:spacing w:val="-17"/>
        </w:rPr>
        <w:t> </w:t>
      </w:r>
      <w:r>
        <w:rPr/>
        <w:t>and </w:t>
      </w:r>
      <w:r>
        <w:rPr>
          <w:spacing w:val="-4"/>
        </w:rPr>
        <w:t>Acas</w:t>
      </w:r>
    </w:p>
    <w:p>
      <w:pPr>
        <w:pStyle w:val="BodyText"/>
        <w:rPr>
          <w:b/>
        </w:rPr>
      </w:pPr>
    </w:p>
    <w:p>
      <w:pPr>
        <w:pStyle w:val="BodyText"/>
        <w:spacing w:before="3"/>
        <w:rPr>
          <w:b/>
          <w:sz w:val="10"/>
        </w:rPr>
      </w:pPr>
      <w:r>
        <w:rPr/>
        <w:drawing>
          <wp:anchor distT="0" distB="0" distL="0" distR="0" allowOverlap="1" layoutInCell="1" locked="0" behindDoc="0" simplePos="0" relativeHeight="54">
            <wp:simplePos x="0" y="0"/>
            <wp:positionH relativeFrom="page">
              <wp:posOffset>1261866</wp:posOffset>
            </wp:positionH>
            <wp:positionV relativeFrom="paragraph">
              <wp:posOffset>94869</wp:posOffset>
            </wp:positionV>
            <wp:extent cx="5066259" cy="3221831"/>
            <wp:effectExtent l="0" t="0" r="0" b="0"/>
            <wp:wrapTopAndBottom/>
            <wp:docPr id="81" name="image41.png" descr="Pie chart showing who made first contact between employee-side participants and Acas "/>
            <wp:cNvGraphicFramePr>
              <a:graphicFrameLocks noChangeAspect="1"/>
            </wp:cNvGraphicFramePr>
            <a:graphic>
              <a:graphicData uri="http://schemas.openxmlformats.org/drawingml/2006/picture">
                <pic:pic>
                  <pic:nvPicPr>
                    <pic:cNvPr id="82" name="image41.png"/>
                    <pic:cNvPicPr/>
                  </pic:nvPicPr>
                  <pic:blipFill>
                    <a:blip r:embed="rId54" cstate="print"/>
                    <a:stretch>
                      <a:fillRect/>
                    </a:stretch>
                  </pic:blipFill>
                  <pic:spPr>
                    <a:xfrm>
                      <a:off x="0" y="0"/>
                      <a:ext cx="5066259" cy="3221831"/>
                    </a:xfrm>
                    <a:prstGeom prst="rect">
                      <a:avLst/>
                    </a:prstGeom>
                  </pic:spPr>
                </pic:pic>
              </a:graphicData>
            </a:graphic>
          </wp:anchor>
        </w:drawing>
      </w:r>
    </w:p>
    <w:p>
      <w:pPr>
        <w:pStyle w:val="BodyText"/>
        <w:spacing w:before="2"/>
        <w:rPr>
          <w:b/>
          <w:sz w:val="30"/>
        </w:rPr>
      </w:pPr>
    </w:p>
    <w:p>
      <w:pPr>
        <w:pStyle w:val="BodyText"/>
        <w:ind w:left="1337" w:right="1474"/>
        <w:jc w:val="both"/>
      </w:pPr>
      <w:r>
        <w:rPr/>
        <w:t>Where participants reported both receiving a notification letter and Acas making initial</w:t>
      </w:r>
      <w:r>
        <w:rPr>
          <w:spacing w:val="-9"/>
        </w:rPr>
        <w:t> </w:t>
      </w:r>
      <w:r>
        <w:rPr/>
        <w:t>contact,</w:t>
      </w:r>
      <w:r>
        <w:rPr>
          <w:spacing w:val="-9"/>
        </w:rPr>
        <w:t> </w:t>
      </w:r>
      <w:r>
        <w:rPr/>
        <w:t>they</w:t>
      </w:r>
      <w:r>
        <w:rPr>
          <w:spacing w:val="-9"/>
        </w:rPr>
        <w:t> </w:t>
      </w:r>
      <w:r>
        <w:rPr/>
        <w:t>were</w:t>
      </w:r>
      <w:r>
        <w:rPr>
          <w:spacing w:val="-8"/>
        </w:rPr>
        <w:t> </w:t>
      </w:r>
      <w:r>
        <w:rPr/>
        <w:t>asked</w:t>
      </w:r>
      <w:r>
        <w:rPr>
          <w:spacing w:val="-9"/>
        </w:rPr>
        <w:t> </w:t>
      </w:r>
      <w:r>
        <w:rPr/>
        <w:t>how</w:t>
      </w:r>
      <w:r>
        <w:rPr>
          <w:spacing w:val="-8"/>
        </w:rPr>
        <w:t> </w:t>
      </w:r>
      <w:r>
        <w:rPr/>
        <w:t>soon</w:t>
      </w:r>
      <w:r>
        <w:rPr>
          <w:spacing w:val="-7"/>
        </w:rPr>
        <w:t> </w:t>
      </w:r>
      <w:r>
        <w:rPr/>
        <w:t>after</w:t>
      </w:r>
      <w:r>
        <w:rPr>
          <w:spacing w:val="-8"/>
        </w:rPr>
        <w:t> </w:t>
      </w:r>
      <w:r>
        <w:rPr/>
        <w:t>receiving</w:t>
      </w:r>
      <w:r>
        <w:rPr>
          <w:spacing w:val="-8"/>
        </w:rPr>
        <w:t> </w:t>
      </w:r>
      <w:r>
        <w:rPr/>
        <w:t>the</w:t>
      </w:r>
      <w:r>
        <w:rPr>
          <w:spacing w:val="-8"/>
        </w:rPr>
        <w:t> </w:t>
      </w:r>
      <w:r>
        <w:rPr/>
        <w:t>letter</w:t>
      </w:r>
      <w:r>
        <w:rPr>
          <w:spacing w:val="-8"/>
        </w:rPr>
        <w:t> </w:t>
      </w:r>
      <w:r>
        <w:rPr/>
        <w:t>this</w:t>
      </w:r>
      <w:r>
        <w:rPr>
          <w:spacing w:val="-8"/>
        </w:rPr>
        <w:t> </w:t>
      </w:r>
      <w:r>
        <w:rPr/>
        <w:t>contact</w:t>
      </w:r>
      <w:r>
        <w:rPr>
          <w:spacing w:val="-9"/>
        </w:rPr>
        <w:t> </w:t>
      </w:r>
      <w:r>
        <w:rPr/>
        <w:t>had been established.</w:t>
      </w:r>
    </w:p>
    <w:p>
      <w:pPr>
        <w:pStyle w:val="BodyText"/>
        <w:spacing w:before="9"/>
        <w:rPr>
          <w:sz w:val="22"/>
        </w:rPr>
      </w:pPr>
    </w:p>
    <w:p>
      <w:pPr>
        <w:pStyle w:val="BodyText"/>
        <w:spacing w:line="256" w:lineRule="auto" w:before="1"/>
        <w:ind w:left="1337" w:right="1473"/>
        <w:jc w:val="both"/>
      </w:pPr>
      <w:r>
        <w:rPr/>
        <w:t>Four</w:t>
      </w:r>
      <w:r>
        <w:rPr>
          <w:spacing w:val="-7"/>
        </w:rPr>
        <w:t> </w:t>
      </w:r>
      <w:r>
        <w:rPr/>
        <w:t>in</w:t>
      </w:r>
      <w:r>
        <w:rPr>
          <w:spacing w:val="-6"/>
        </w:rPr>
        <w:t> </w:t>
      </w:r>
      <w:r>
        <w:rPr/>
        <w:t>ten</w:t>
      </w:r>
      <w:r>
        <w:rPr>
          <w:spacing w:val="-7"/>
        </w:rPr>
        <w:t> </w:t>
      </w:r>
      <w:r>
        <w:rPr/>
        <w:t>(39</w:t>
      </w:r>
      <w:r>
        <w:rPr>
          <w:spacing w:val="-7"/>
        </w:rPr>
        <w:t> </w:t>
      </w:r>
      <w:r>
        <w:rPr/>
        <w:t>per</w:t>
      </w:r>
      <w:r>
        <w:rPr>
          <w:spacing w:val="-7"/>
        </w:rPr>
        <w:t> </w:t>
      </w:r>
      <w:r>
        <w:rPr/>
        <w:t>cent)</w:t>
      </w:r>
      <w:r>
        <w:rPr>
          <w:spacing w:val="-6"/>
        </w:rPr>
        <w:t> </w:t>
      </w:r>
      <w:r>
        <w:rPr/>
        <w:t>claimant-side</w:t>
      </w:r>
      <w:r>
        <w:rPr>
          <w:spacing w:val="-7"/>
        </w:rPr>
        <w:t> </w:t>
      </w:r>
      <w:r>
        <w:rPr/>
        <w:t>participants</w:t>
      </w:r>
      <w:r>
        <w:rPr>
          <w:spacing w:val="-7"/>
        </w:rPr>
        <w:t> </w:t>
      </w:r>
      <w:r>
        <w:rPr/>
        <w:t>reported</w:t>
      </w:r>
      <w:r>
        <w:rPr>
          <w:spacing w:val="-7"/>
        </w:rPr>
        <w:t> </w:t>
      </w:r>
      <w:r>
        <w:rPr/>
        <w:t>that</w:t>
      </w:r>
      <w:r>
        <w:rPr>
          <w:spacing w:val="-6"/>
        </w:rPr>
        <w:t> </w:t>
      </w:r>
      <w:r>
        <w:rPr/>
        <w:t>Acas</w:t>
      </w:r>
      <w:r>
        <w:rPr>
          <w:spacing w:val="-7"/>
        </w:rPr>
        <w:t> </w:t>
      </w:r>
      <w:r>
        <w:rPr/>
        <w:t>contact</w:t>
      </w:r>
      <w:r>
        <w:rPr>
          <w:spacing w:val="-6"/>
        </w:rPr>
        <w:t> </w:t>
      </w:r>
      <w:r>
        <w:rPr/>
        <w:t>had been established between two working days and a week of receiving the letter. A quarter (24 per cent) reported that contact was established a week or more after receiving the letter and a similar proportion (23 per cent) said they didn’t know when contact was made. Over one in ten (15 per cent) reported that contact with Acas was established within two working days after receiving the letter. In 2016, these figures were very similar; with claimant-side participants most commonly reporting</w:t>
      </w:r>
      <w:r>
        <w:rPr>
          <w:spacing w:val="-4"/>
        </w:rPr>
        <w:t> </w:t>
      </w:r>
      <w:r>
        <w:rPr/>
        <w:t>that</w:t>
      </w:r>
      <w:r>
        <w:rPr>
          <w:spacing w:val="-4"/>
        </w:rPr>
        <w:t> </w:t>
      </w:r>
      <w:r>
        <w:rPr/>
        <w:t>Acas</w:t>
      </w:r>
      <w:r>
        <w:rPr>
          <w:spacing w:val="-5"/>
        </w:rPr>
        <w:t> </w:t>
      </w:r>
      <w:r>
        <w:rPr/>
        <w:t>contact</w:t>
      </w:r>
      <w:r>
        <w:rPr>
          <w:spacing w:val="-5"/>
        </w:rPr>
        <w:t> </w:t>
      </w:r>
      <w:r>
        <w:rPr/>
        <w:t>had</w:t>
      </w:r>
      <w:r>
        <w:rPr>
          <w:spacing w:val="-6"/>
        </w:rPr>
        <w:t> </w:t>
      </w:r>
      <w:r>
        <w:rPr/>
        <w:t>been</w:t>
      </w:r>
      <w:r>
        <w:rPr>
          <w:spacing w:val="-4"/>
        </w:rPr>
        <w:t> </w:t>
      </w:r>
      <w:r>
        <w:rPr/>
        <w:t>established</w:t>
      </w:r>
      <w:r>
        <w:rPr>
          <w:spacing w:val="-4"/>
        </w:rPr>
        <w:t> </w:t>
      </w:r>
      <w:r>
        <w:rPr/>
        <w:t>between</w:t>
      </w:r>
      <w:r>
        <w:rPr>
          <w:spacing w:val="-5"/>
        </w:rPr>
        <w:t> </w:t>
      </w:r>
      <w:r>
        <w:rPr/>
        <w:t>two</w:t>
      </w:r>
      <w:r>
        <w:rPr>
          <w:spacing w:val="-6"/>
        </w:rPr>
        <w:t> </w:t>
      </w:r>
      <w:r>
        <w:rPr/>
        <w:t>working</w:t>
      </w:r>
      <w:r>
        <w:rPr>
          <w:spacing w:val="-4"/>
        </w:rPr>
        <w:t> </w:t>
      </w:r>
      <w:r>
        <w:rPr/>
        <w:t>days</w:t>
      </w:r>
      <w:r>
        <w:rPr>
          <w:spacing w:val="-5"/>
        </w:rPr>
        <w:t> </w:t>
      </w:r>
      <w:r>
        <w:rPr/>
        <w:t>and</w:t>
      </w:r>
      <w:r>
        <w:rPr>
          <w:spacing w:val="-7"/>
        </w:rPr>
        <w:t> </w:t>
      </w:r>
      <w:r>
        <w:rPr/>
        <w:t>a week of receiving the letter (40 per cent).</w:t>
      </w:r>
    </w:p>
    <w:p>
      <w:pPr>
        <w:spacing w:after="0" w:line="256" w:lineRule="auto"/>
        <w:jc w:val="both"/>
        <w:sectPr>
          <w:pgSz w:w="11910" w:h="16840"/>
          <w:pgMar w:header="0" w:footer="996" w:top="1340" w:bottom="1180" w:left="460" w:right="320"/>
        </w:sectPr>
      </w:pPr>
    </w:p>
    <w:p>
      <w:pPr>
        <w:pStyle w:val="BodyText"/>
        <w:spacing w:line="256" w:lineRule="auto" w:before="79"/>
        <w:ind w:left="1337" w:right="1473"/>
        <w:jc w:val="both"/>
      </w:pPr>
      <w:r>
        <w:rPr/>
        <w:t>Claimant-side participants involved in fast or standard track disputes were most likely report that contact with Acas had been established within one week, while claimant-side</w:t>
      </w:r>
      <w:r>
        <w:rPr>
          <w:spacing w:val="-18"/>
        </w:rPr>
        <w:t> </w:t>
      </w:r>
      <w:r>
        <w:rPr/>
        <w:t>participants</w:t>
      </w:r>
      <w:r>
        <w:rPr>
          <w:spacing w:val="-18"/>
        </w:rPr>
        <w:t> </w:t>
      </w:r>
      <w:r>
        <w:rPr/>
        <w:t>involved</w:t>
      </w:r>
      <w:r>
        <w:rPr>
          <w:spacing w:val="-17"/>
        </w:rPr>
        <w:t> </w:t>
      </w:r>
      <w:r>
        <w:rPr/>
        <w:t>in</w:t>
      </w:r>
      <w:r>
        <w:rPr>
          <w:spacing w:val="-18"/>
        </w:rPr>
        <w:t> </w:t>
      </w:r>
      <w:r>
        <w:rPr/>
        <w:t>open</w:t>
      </w:r>
      <w:r>
        <w:rPr>
          <w:spacing w:val="-17"/>
        </w:rPr>
        <w:t> </w:t>
      </w:r>
      <w:r>
        <w:rPr/>
        <w:t>track</w:t>
      </w:r>
      <w:r>
        <w:rPr>
          <w:spacing w:val="-18"/>
        </w:rPr>
        <w:t> </w:t>
      </w:r>
      <w:r>
        <w:rPr/>
        <w:t>disputes</w:t>
      </w:r>
      <w:r>
        <w:rPr>
          <w:spacing w:val="-18"/>
        </w:rPr>
        <w:t> </w:t>
      </w:r>
      <w:r>
        <w:rPr/>
        <w:t>were</w:t>
      </w:r>
      <w:r>
        <w:rPr>
          <w:spacing w:val="-17"/>
        </w:rPr>
        <w:t> </w:t>
      </w:r>
      <w:r>
        <w:rPr/>
        <w:t>most</w:t>
      </w:r>
      <w:r>
        <w:rPr>
          <w:spacing w:val="-18"/>
        </w:rPr>
        <w:t> </w:t>
      </w:r>
      <w:r>
        <w:rPr/>
        <w:t>likely</w:t>
      </w:r>
      <w:r>
        <w:rPr>
          <w:spacing w:val="-17"/>
        </w:rPr>
        <w:t> </w:t>
      </w:r>
      <w:r>
        <w:rPr/>
        <w:t>to</w:t>
      </w:r>
      <w:r>
        <w:rPr>
          <w:spacing w:val="-18"/>
        </w:rPr>
        <w:t> </w:t>
      </w:r>
      <w:r>
        <w:rPr/>
        <w:t>report that contact has been established a week or more after receiving the letter. This suggests that for those involved in open track disputes, establishing contact with Acas takes longer than for those in fast and standard track disputes.</w:t>
      </w:r>
      <w:hyperlink w:history="true" w:anchor="_bookmark100">
        <w:r>
          <w:rPr>
            <w:position w:val="7"/>
            <w:sz w:val="13"/>
          </w:rPr>
          <w:t>29</w:t>
        </w:r>
      </w:hyperlink>
      <w:r>
        <w:rPr>
          <w:spacing w:val="80"/>
          <w:position w:val="7"/>
          <w:sz w:val="13"/>
        </w:rPr>
        <w:t> </w:t>
      </w:r>
      <w:r>
        <w:rPr/>
        <w:t>This disparity may simply reflect variability in the scheduling for employment tribunal hearings (i.e. open track case hearings tend to be scheduled further in advance, thus</w:t>
      </w:r>
      <w:r>
        <w:rPr>
          <w:spacing w:val="-5"/>
        </w:rPr>
        <w:t> </w:t>
      </w:r>
      <w:r>
        <w:rPr/>
        <w:t>affording</w:t>
      </w:r>
      <w:r>
        <w:rPr>
          <w:spacing w:val="-7"/>
        </w:rPr>
        <w:t> </w:t>
      </w:r>
      <w:r>
        <w:rPr/>
        <w:t>the</w:t>
      </w:r>
      <w:r>
        <w:rPr>
          <w:spacing w:val="-7"/>
        </w:rPr>
        <w:t> </w:t>
      </w:r>
      <w:r>
        <w:rPr/>
        <w:t>conciliator</w:t>
      </w:r>
      <w:r>
        <w:rPr>
          <w:spacing w:val="-6"/>
        </w:rPr>
        <w:t> </w:t>
      </w:r>
      <w:r>
        <w:rPr/>
        <w:t>longer</w:t>
      </w:r>
      <w:r>
        <w:rPr>
          <w:spacing w:val="-5"/>
        </w:rPr>
        <w:t> </w:t>
      </w:r>
      <w:r>
        <w:rPr/>
        <w:t>lead</w:t>
      </w:r>
      <w:r>
        <w:rPr>
          <w:spacing w:val="-5"/>
        </w:rPr>
        <w:t> </w:t>
      </w:r>
      <w:r>
        <w:rPr/>
        <w:t>times</w:t>
      </w:r>
      <w:r>
        <w:rPr>
          <w:spacing w:val="-5"/>
        </w:rPr>
        <w:t> </w:t>
      </w:r>
      <w:r>
        <w:rPr/>
        <w:t>for</w:t>
      </w:r>
      <w:r>
        <w:rPr>
          <w:spacing w:val="-6"/>
        </w:rPr>
        <w:t> </w:t>
      </w:r>
      <w:r>
        <w:rPr/>
        <w:t>establishing</w:t>
      </w:r>
      <w:r>
        <w:rPr>
          <w:spacing w:val="-5"/>
        </w:rPr>
        <w:t> </w:t>
      </w:r>
      <w:r>
        <w:rPr/>
        <w:t>contact</w:t>
      </w:r>
      <w:r>
        <w:rPr>
          <w:spacing w:val="-5"/>
        </w:rPr>
        <w:t> </w:t>
      </w:r>
      <w:r>
        <w:rPr/>
        <w:t>than</w:t>
      </w:r>
      <w:r>
        <w:rPr>
          <w:spacing w:val="-6"/>
        </w:rPr>
        <w:t> </w:t>
      </w:r>
      <w:r>
        <w:rPr/>
        <w:t>in</w:t>
      </w:r>
      <w:r>
        <w:rPr>
          <w:spacing w:val="-6"/>
        </w:rPr>
        <w:t> </w:t>
      </w:r>
      <w:r>
        <w:rPr/>
        <w:t>fast and standard track cases).</w:t>
      </w:r>
    </w:p>
    <w:p>
      <w:pPr>
        <w:pStyle w:val="BodyText"/>
        <w:spacing w:before="3"/>
        <w:rPr>
          <w:sz w:val="21"/>
        </w:rPr>
      </w:pPr>
    </w:p>
    <w:p>
      <w:pPr>
        <w:pStyle w:val="BodyText"/>
        <w:spacing w:line="256" w:lineRule="auto"/>
        <w:ind w:left="1337" w:right="1473"/>
        <w:jc w:val="both"/>
      </w:pPr>
      <w:r>
        <w:rPr/>
        <w:t>Among employer-side participants, one in five (22 per cent) reported that Acas contact had been established a week or more after receiving the letter, and the same proportion (22 per cent) reported that Acas contact had been established between two working days and a week of receiving the letter – but half (48 per cent)</w:t>
      </w:r>
      <w:r>
        <w:rPr>
          <w:spacing w:val="-4"/>
        </w:rPr>
        <w:t> </w:t>
      </w:r>
      <w:r>
        <w:rPr/>
        <w:t>said</w:t>
      </w:r>
      <w:r>
        <w:rPr>
          <w:spacing w:val="-3"/>
        </w:rPr>
        <w:t> </w:t>
      </w:r>
      <w:r>
        <w:rPr/>
        <w:t>they</w:t>
      </w:r>
      <w:r>
        <w:rPr>
          <w:spacing w:val="-4"/>
        </w:rPr>
        <w:t> </w:t>
      </w:r>
      <w:r>
        <w:rPr/>
        <w:t>did</w:t>
      </w:r>
      <w:r>
        <w:rPr>
          <w:spacing w:val="-3"/>
        </w:rPr>
        <w:t> </w:t>
      </w:r>
      <w:r>
        <w:rPr/>
        <w:t>not</w:t>
      </w:r>
      <w:r>
        <w:rPr>
          <w:spacing w:val="-5"/>
        </w:rPr>
        <w:t> </w:t>
      </w:r>
      <w:r>
        <w:rPr/>
        <w:t>know</w:t>
      </w:r>
      <w:r>
        <w:rPr>
          <w:spacing w:val="-5"/>
        </w:rPr>
        <w:t> </w:t>
      </w:r>
      <w:r>
        <w:rPr/>
        <w:t>when</w:t>
      </w:r>
      <w:r>
        <w:rPr>
          <w:spacing w:val="-4"/>
        </w:rPr>
        <w:t> </w:t>
      </w:r>
      <w:r>
        <w:rPr/>
        <w:t>contact</w:t>
      </w:r>
      <w:r>
        <w:rPr>
          <w:spacing w:val="-5"/>
        </w:rPr>
        <w:t> </w:t>
      </w:r>
      <w:r>
        <w:rPr/>
        <w:t>was</w:t>
      </w:r>
      <w:r>
        <w:rPr>
          <w:spacing w:val="-4"/>
        </w:rPr>
        <w:t> </w:t>
      </w:r>
      <w:r>
        <w:rPr/>
        <w:t>made.</w:t>
      </w:r>
      <w:r>
        <w:rPr>
          <w:spacing w:val="-5"/>
        </w:rPr>
        <w:t> </w:t>
      </w:r>
      <w:r>
        <w:rPr/>
        <w:t>Only</w:t>
      </w:r>
      <w:r>
        <w:rPr>
          <w:spacing w:val="-4"/>
        </w:rPr>
        <w:t> </w:t>
      </w:r>
      <w:r>
        <w:rPr/>
        <w:t>one</w:t>
      </w:r>
      <w:r>
        <w:rPr>
          <w:spacing w:val="-5"/>
        </w:rPr>
        <w:t> </w:t>
      </w:r>
      <w:r>
        <w:rPr/>
        <w:t>in</w:t>
      </w:r>
      <w:r>
        <w:rPr>
          <w:spacing w:val="-4"/>
        </w:rPr>
        <w:t> </w:t>
      </w:r>
      <w:r>
        <w:rPr/>
        <w:t>ten</w:t>
      </w:r>
      <w:r>
        <w:rPr>
          <w:spacing w:val="-5"/>
        </w:rPr>
        <w:t> </w:t>
      </w:r>
      <w:r>
        <w:rPr/>
        <w:t>(8</w:t>
      </w:r>
      <w:r>
        <w:rPr>
          <w:spacing w:val="-3"/>
        </w:rPr>
        <w:t> </w:t>
      </w:r>
      <w:r>
        <w:rPr/>
        <w:t>per</w:t>
      </w:r>
      <w:r>
        <w:rPr>
          <w:spacing w:val="-5"/>
        </w:rPr>
        <w:t> </w:t>
      </w:r>
      <w:r>
        <w:rPr/>
        <w:t>cent) reported that contact was established within two working days. In 2016, these figures were very similar, with employer-side participants most commonly reporting that they did not know when contact had been made (44 per cent).</w:t>
      </w:r>
    </w:p>
    <w:p>
      <w:pPr>
        <w:pStyle w:val="BodyText"/>
        <w:spacing w:before="3"/>
        <w:rPr>
          <w:sz w:val="21"/>
        </w:rPr>
      </w:pPr>
    </w:p>
    <w:p>
      <w:pPr>
        <w:pStyle w:val="BodyText"/>
        <w:spacing w:line="256" w:lineRule="auto" w:before="1"/>
        <w:ind w:left="1337" w:right="1473"/>
        <w:jc w:val="both"/>
      </w:pPr>
      <w:r>
        <w:rPr/>
        <w:t>Participants</w:t>
      </w:r>
      <w:r>
        <w:rPr>
          <w:spacing w:val="-9"/>
        </w:rPr>
        <w:t> </w:t>
      </w:r>
      <w:r>
        <w:rPr/>
        <w:t>who</w:t>
      </w:r>
      <w:r>
        <w:rPr>
          <w:spacing w:val="-11"/>
        </w:rPr>
        <w:t> </w:t>
      </w:r>
      <w:r>
        <w:rPr/>
        <w:t>reported</w:t>
      </w:r>
      <w:r>
        <w:rPr>
          <w:spacing w:val="-9"/>
        </w:rPr>
        <w:t> </w:t>
      </w:r>
      <w:r>
        <w:rPr/>
        <w:t>no</w:t>
      </w:r>
      <w:r>
        <w:rPr>
          <w:spacing w:val="-9"/>
        </w:rPr>
        <w:t> </w:t>
      </w:r>
      <w:r>
        <w:rPr/>
        <w:t>contact</w:t>
      </w:r>
      <w:r>
        <w:rPr>
          <w:spacing w:val="-9"/>
        </w:rPr>
        <w:t> </w:t>
      </w:r>
      <w:r>
        <w:rPr/>
        <w:t>being</w:t>
      </w:r>
      <w:r>
        <w:rPr>
          <w:spacing w:val="-9"/>
        </w:rPr>
        <w:t> </w:t>
      </w:r>
      <w:r>
        <w:rPr/>
        <w:t>made</w:t>
      </w:r>
      <w:r>
        <w:rPr>
          <w:spacing w:val="-10"/>
        </w:rPr>
        <w:t> </w:t>
      </w:r>
      <w:r>
        <w:rPr/>
        <w:t>between</w:t>
      </w:r>
      <w:r>
        <w:rPr>
          <w:spacing w:val="-10"/>
        </w:rPr>
        <w:t> </w:t>
      </w:r>
      <w:r>
        <w:rPr/>
        <w:t>them</w:t>
      </w:r>
      <w:r>
        <w:rPr>
          <w:spacing w:val="-9"/>
        </w:rPr>
        <w:t> </w:t>
      </w:r>
      <w:r>
        <w:rPr/>
        <w:t>and</w:t>
      </w:r>
      <w:r>
        <w:rPr>
          <w:spacing w:val="-10"/>
        </w:rPr>
        <w:t> </w:t>
      </w:r>
      <w:r>
        <w:rPr/>
        <w:t>Acas</w:t>
      </w:r>
      <w:r>
        <w:rPr>
          <w:spacing w:val="-9"/>
        </w:rPr>
        <w:t> </w:t>
      </w:r>
      <w:r>
        <w:rPr/>
        <w:t>after</w:t>
      </w:r>
      <w:r>
        <w:rPr>
          <w:spacing w:val="-9"/>
        </w:rPr>
        <w:t> </w:t>
      </w:r>
      <w:r>
        <w:rPr/>
        <w:t>the ET claim was submitted were asked whether any attempts were made by either side to contact each other.</w:t>
      </w:r>
    </w:p>
    <w:p>
      <w:pPr>
        <w:pStyle w:val="BodyText"/>
        <w:spacing w:before="4"/>
        <w:rPr>
          <w:sz w:val="21"/>
        </w:rPr>
      </w:pPr>
    </w:p>
    <w:p>
      <w:pPr>
        <w:pStyle w:val="BodyText"/>
        <w:spacing w:line="256" w:lineRule="auto"/>
        <w:ind w:left="1337" w:right="1472"/>
        <w:jc w:val="both"/>
        <w:rPr>
          <w:sz w:val="13"/>
        </w:rPr>
      </w:pPr>
      <w:r>
        <w:rPr/>
        <w:t>The vast majority (83 per cent) stated that neither side had attempted to make contact; twelve per cent reported that both sides had tried to make contact and five per cent reported that they tried to contact Acas. The majority (71 per cent) of employer-side participants stated that neither side had attempted to make contact;</w:t>
      </w:r>
      <w:r>
        <w:rPr>
          <w:spacing w:val="-7"/>
        </w:rPr>
        <w:t> </w:t>
      </w:r>
      <w:r>
        <w:rPr/>
        <w:t>twenty</w:t>
      </w:r>
      <w:r>
        <w:rPr>
          <w:spacing w:val="-7"/>
        </w:rPr>
        <w:t> </w:t>
      </w:r>
      <w:r>
        <w:rPr/>
        <w:t>per</w:t>
      </w:r>
      <w:r>
        <w:rPr>
          <w:spacing w:val="-7"/>
        </w:rPr>
        <w:t> </w:t>
      </w:r>
      <w:r>
        <w:rPr/>
        <w:t>cent</w:t>
      </w:r>
      <w:r>
        <w:rPr>
          <w:spacing w:val="-7"/>
        </w:rPr>
        <w:t> </w:t>
      </w:r>
      <w:r>
        <w:rPr/>
        <w:t>reported</w:t>
      </w:r>
      <w:r>
        <w:rPr>
          <w:spacing w:val="-8"/>
        </w:rPr>
        <w:t> </w:t>
      </w:r>
      <w:r>
        <w:rPr/>
        <w:t>that</w:t>
      </w:r>
      <w:r>
        <w:rPr>
          <w:spacing w:val="-8"/>
        </w:rPr>
        <w:t> </w:t>
      </w:r>
      <w:r>
        <w:rPr/>
        <w:t>they</w:t>
      </w:r>
      <w:r>
        <w:rPr>
          <w:spacing w:val="-8"/>
        </w:rPr>
        <w:t> </w:t>
      </w:r>
      <w:r>
        <w:rPr/>
        <w:t>had</w:t>
      </w:r>
      <w:r>
        <w:rPr>
          <w:spacing w:val="-7"/>
        </w:rPr>
        <w:t> </w:t>
      </w:r>
      <w:r>
        <w:rPr/>
        <w:t>tried</w:t>
      </w:r>
      <w:r>
        <w:rPr>
          <w:spacing w:val="-7"/>
        </w:rPr>
        <w:t> </w:t>
      </w:r>
      <w:r>
        <w:rPr/>
        <w:t>to</w:t>
      </w:r>
      <w:r>
        <w:rPr>
          <w:spacing w:val="-7"/>
        </w:rPr>
        <w:t> </w:t>
      </w:r>
      <w:r>
        <w:rPr/>
        <w:t>make</w:t>
      </w:r>
      <w:r>
        <w:rPr>
          <w:spacing w:val="-7"/>
        </w:rPr>
        <w:t> </w:t>
      </w:r>
      <w:r>
        <w:rPr/>
        <w:t>contact,</w:t>
      </w:r>
      <w:r>
        <w:rPr>
          <w:spacing w:val="-7"/>
        </w:rPr>
        <w:t> </w:t>
      </w:r>
      <w:r>
        <w:rPr/>
        <w:t>and</w:t>
      </w:r>
      <w:r>
        <w:rPr>
          <w:spacing w:val="-8"/>
        </w:rPr>
        <w:t> </w:t>
      </w:r>
      <w:r>
        <w:rPr/>
        <w:t>ten</w:t>
      </w:r>
      <w:r>
        <w:rPr>
          <w:spacing w:val="-6"/>
        </w:rPr>
        <w:t> </w:t>
      </w:r>
      <w:r>
        <w:rPr/>
        <w:t>per cent reported that Acas had tried to make contact.</w:t>
      </w:r>
      <w:hyperlink w:history="true" w:anchor="_bookmark99">
        <w:r>
          <w:rPr>
            <w:position w:val="7"/>
            <w:sz w:val="13"/>
          </w:rPr>
          <w:t>30</w:t>
        </w:r>
      </w:hyperlink>
    </w:p>
    <w:p>
      <w:pPr>
        <w:pStyle w:val="BodyText"/>
        <w:spacing w:before="1"/>
      </w:pPr>
    </w:p>
    <w:p>
      <w:pPr>
        <w:pStyle w:val="Heading3"/>
        <w:numPr>
          <w:ilvl w:val="1"/>
          <w:numId w:val="2"/>
        </w:numPr>
        <w:tabs>
          <w:tab w:pos="2115" w:val="left" w:leader="none"/>
        </w:tabs>
        <w:spacing w:line="240" w:lineRule="auto" w:before="0" w:after="0"/>
        <w:ind w:left="2115" w:right="0" w:hanging="778"/>
        <w:jc w:val="both"/>
      </w:pPr>
      <w:bookmarkStart w:name="14.2  Uptake of post-ET1 conciliation" w:id="169"/>
      <w:bookmarkEnd w:id="169"/>
      <w:r>
        <w:rPr>
          <w:b w:val="0"/>
        </w:rPr>
      </w:r>
      <w:bookmarkStart w:name="_bookmark40" w:id="170"/>
      <w:bookmarkEnd w:id="170"/>
      <w:r>
        <w:rPr/>
        <w:t>Up</w:t>
      </w:r>
      <w:r>
        <w:rPr/>
        <w:t>take</w:t>
      </w:r>
      <w:r>
        <w:rPr>
          <w:spacing w:val="-4"/>
        </w:rPr>
        <w:t> </w:t>
      </w:r>
      <w:r>
        <w:rPr/>
        <w:t>of</w:t>
      </w:r>
      <w:r>
        <w:rPr>
          <w:spacing w:val="-4"/>
        </w:rPr>
        <w:t> </w:t>
      </w:r>
      <w:r>
        <w:rPr/>
        <w:t>post-ET1</w:t>
      </w:r>
      <w:r>
        <w:rPr>
          <w:spacing w:val="-3"/>
        </w:rPr>
        <w:t> </w:t>
      </w:r>
      <w:r>
        <w:rPr>
          <w:spacing w:val="-2"/>
        </w:rPr>
        <w:t>conciliation</w:t>
      </w:r>
    </w:p>
    <w:p>
      <w:pPr>
        <w:pStyle w:val="BodyText"/>
        <w:spacing w:line="259" w:lineRule="auto" w:before="120"/>
        <w:ind w:left="1337" w:right="1475"/>
        <w:jc w:val="both"/>
      </w:pPr>
      <w:r>
        <w:rPr/>
        <w:t>Claimants and representatives who had contact with Acas after the submission of the</w:t>
      </w:r>
      <w:r>
        <w:rPr>
          <w:spacing w:val="-15"/>
        </w:rPr>
        <w:t> </w:t>
      </w:r>
      <w:r>
        <w:rPr/>
        <w:t>ET</w:t>
      </w:r>
      <w:r>
        <w:rPr>
          <w:spacing w:val="-15"/>
        </w:rPr>
        <w:t> </w:t>
      </w:r>
      <w:r>
        <w:rPr/>
        <w:t>claim</w:t>
      </w:r>
      <w:r>
        <w:rPr>
          <w:spacing w:val="-14"/>
        </w:rPr>
        <w:t> </w:t>
      </w:r>
      <w:r>
        <w:rPr/>
        <w:t>were</w:t>
      </w:r>
      <w:r>
        <w:rPr>
          <w:spacing w:val="-16"/>
        </w:rPr>
        <w:t> </w:t>
      </w:r>
      <w:r>
        <w:rPr/>
        <w:t>asked</w:t>
      </w:r>
      <w:r>
        <w:rPr>
          <w:spacing w:val="-15"/>
        </w:rPr>
        <w:t> </w:t>
      </w:r>
      <w:r>
        <w:rPr/>
        <w:t>whether</w:t>
      </w:r>
      <w:r>
        <w:rPr>
          <w:spacing w:val="-14"/>
        </w:rPr>
        <w:t> </w:t>
      </w:r>
      <w:r>
        <w:rPr/>
        <w:t>they</w:t>
      </w:r>
      <w:r>
        <w:rPr>
          <w:spacing w:val="-14"/>
        </w:rPr>
        <w:t> </w:t>
      </w:r>
      <w:r>
        <w:rPr/>
        <w:t>actually</w:t>
      </w:r>
      <w:r>
        <w:rPr>
          <w:spacing w:val="-13"/>
        </w:rPr>
        <w:t> </w:t>
      </w:r>
      <w:r>
        <w:rPr/>
        <w:t>took</w:t>
      </w:r>
      <w:r>
        <w:rPr>
          <w:spacing w:val="-14"/>
        </w:rPr>
        <w:t> </w:t>
      </w:r>
      <w:r>
        <w:rPr/>
        <w:t>part</w:t>
      </w:r>
      <w:r>
        <w:rPr>
          <w:spacing w:val="-15"/>
        </w:rPr>
        <w:t> </w:t>
      </w:r>
      <w:r>
        <w:rPr/>
        <w:t>in</w:t>
      </w:r>
      <w:r>
        <w:rPr>
          <w:spacing w:val="-15"/>
        </w:rPr>
        <w:t> </w:t>
      </w:r>
      <w:r>
        <w:rPr/>
        <w:t>the</w:t>
      </w:r>
      <w:r>
        <w:rPr>
          <w:spacing w:val="-14"/>
        </w:rPr>
        <w:t> </w:t>
      </w:r>
      <w:r>
        <w:rPr/>
        <w:t>conciliation</w:t>
      </w:r>
      <w:r>
        <w:rPr>
          <w:spacing w:val="-15"/>
        </w:rPr>
        <w:t> </w:t>
      </w:r>
      <w:r>
        <w:rPr/>
        <w:t>that</w:t>
      </w:r>
      <w:r>
        <w:rPr>
          <w:spacing w:val="-16"/>
        </w:rPr>
        <w:t> </w:t>
      </w:r>
      <w:r>
        <w:rPr/>
        <w:t>was offered at that point.</w:t>
      </w:r>
    </w:p>
    <w:p>
      <w:pPr>
        <w:pStyle w:val="BodyText"/>
        <w:spacing w:line="259" w:lineRule="auto" w:before="159"/>
        <w:ind w:left="1337" w:right="1474"/>
        <w:jc w:val="both"/>
        <w:rPr>
          <w:sz w:val="13"/>
        </w:rPr>
      </w:pPr>
      <w:r>
        <w:rPr/>
        <w:t>Just over half (55 per cent) of claimant-side participants who had been in contact with</w:t>
      </w:r>
      <w:r>
        <w:rPr>
          <w:spacing w:val="-1"/>
        </w:rPr>
        <w:t> </w:t>
      </w:r>
      <w:r>
        <w:rPr/>
        <w:t>Acas</w:t>
      </w:r>
      <w:r>
        <w:rPr>
          <w:spacing w:val="-2"/>
        </w:rPr>
        <w:t> </w:t>
      </w:r>
      <w:r>
        <w:rPr/>
        <w:t>since</w:t>
      </w:r>
      <w:r>
        <w:rPr>
          <w:spacing w:val="-2"/>
        </w:rPr>
        <w:t> </w:t>
      </w:r>
      <w:r>
        <w:rPr/>
        <w:t>the</w:t>
      </w:r>
      <w:r>
        <w:rPr>
          <w:spacing w:val="-2"/>
        </w:rPr>
        <w:t> </w:t>
      </w:r>
      <w:r>
        <w:rPr/>
        <w:t>submission</w:t>
      </w:r>
      <w:r>
        <w:rPr>
          <w:spacing w:val="-1"/>
        </w:rPr>
        <w:t> </w:t>
      </w:r>
      <w:r>
        <w:rPr/>
        <w:t>of</w:t>
      </w:r>
      <w:r>
        <w:rPr>
          <w:spacing w:val="-1"/>
        </w:rPr>
        <w:t> </w:t>
      </w:r>
      <w:r>
        <w:rPr/>
        <w:t>their</w:t>
      </w:r>
      <w:r>
        <w:rPr>
          <w:spacing w:val="-2"/>
        </w:rPr>
        <w:t> </w:t>
      </w:r>
      <w:r>
        <w:rPr/>
        <w:t>ET</w:t>
      </w:r>
      <w:r>
        <w:rPr>
          <w:spacing w:val="-3"/>
        </w:rPr>
        <w:t> </w:t>
      </w:r>
      <w:r>
        <w:rPr/>
        <w:t>claim</w:t>
      </w:r>
      <w:r>
        <w:rPr>
          <w:spacing w:val="-2"/>
        </w:rPr>
        <w:t> </w:t>
      </w:r>
      <w:r>
        <w:rPr/>
        <w:t>confirmed</w:t>
      </w:r>
      <w:r>
        <w:rPr>
          <w:spacing w:val="-2"/>
        </w:rPr>
        <w:t> </w:t>
      </w:r>
      <w:r>
        <w:rPr/>
        <w:t>taking</w:t>
      </w:r>
      <w:r>
        <w:rPr>
          <w:spacing w:val="-3"/>
        </w:rPr>
        <w:t> </w:t>
      </w:r>
      <w:r>
        <w:rPr/>
        <w:t>part</w:t>
      </w:r>
      <w:r>
        <w:rPr>
          <w:spacing w:val="-2"/>
        </w:rPr>
        <w:t> </w:t>
      </w:r>
      <w:r>
        <w:rPr/>
        <w:t>in</w:t>
      </w:r>
      <w:r>
        <w:rPr>
          <w:spacing w:val="-2"/>
        </w:rPr>
        <w:t> </w:t>
      </w:r>
      <w:r>
        <w:rPr/>
        <w:t>post-ET1 conciliation at this point. Thirty-five per cent said that they did not take part in conciliation, and nine per cent said they didn’t know.</w:t>
      </w:r>
      <w:hyperlink w:history="true" w:anchor="_bookmark98">
        <w:r>
          <w:rPr>
            <w:position w:val="7"/>
            <w:sz w:val="13"/>
          </w:rPr>
          <w:t>31</w:t>
        </w:r>
      </w:hyperlink>
    </w:p>
    <w:p>
      <w:pPr>
        <w:pStyle w:val="BodyText"/>
        <w:spacing w:line="259" w:lineRule="auto" w:before="160"/>
        <w:ind w:left="1337" w:right="1472"/>
        <w:jc w:val="both"/>
      </w:pPr>
      <w:r>
        <w:rPr/>
        <w:t>This figure of 55 per cent among claimant-side participants is significantly lower than</w:t>
      </w:r>
      <w:r>
        <w:rPr>
          <w:spacing w:val="-6"/>
        </w:rPr>
        <w:t> </w:t>
      </w:r>
      <w:r>
        <w:rPr/>
        <w:t>in</w:t>
      </w:r>
      <w:r>
        <w:rPr>
          <w:spacing w:val="-5"/>
        </w:rPr>
        <w:t> </w:t>
      </w:r>
      <w:r>
        <w:rPr/>
        <w:t>2016,</w:t>
      </w:r>
      <w:r>
        <w:rPr>
          <w:spacing w:val="-5"/>
        </w:rPr>
        <w:t> </w:t>
      </w:r>
      <w:r>
        <w:rPr/>
        <w:t>when</w:t>
      </w:r>
      <w:r>
        <w:rPr>
          <w:spacing w:val="-6"/>
        </w:rPr>
        <w:t> </w:t>
      </w:r>
      <w:r>
        <w:rPr/>
        <w:t>take-up</w:t>
      </w:r>
      <w:r>
        <w:rPr>
          <w:spacing w:val="-6"/>
        </w:rPr>
        <w:t> </w:t>
      </w:r>
      <w:r>
        <w:rPr/>
        <w:t>of</w:t>
      </w:r>
      <w:r>
        <w:rPr>
          <w:spacing w:val="-6"/>
        </w:rPr>
        <w:t> </w:t>
      </w:r>
      <w:r>
        <w:rPr/>
        <w:t>post-ET1</w:t>
      </w:r>
      <w:r>
        <w:rPr>
          <w:spacing w:val="-7"/>
        </w:rPr>
        <w:t> </w:t>
      </w:r>
      <w:r>
        <w:rPr/>
        <w:t>conciliation</w:t>
      </w:r>
      <w:r>
        <w:rPr>
          <w:spacing w:val="-5"/>
        </w:rPr>
        <w:t> </w:t>
      </w:r>
      <w:r>
        <w:rPr/>
        <w:t>stood</w:t>
      </w:r>
      <w:r>
        <w:rPr>
          <w:spacing w:val="-7"/>
        </w:rPr>
        <w:t> </w:t>
      </w:r>
      <w:r>
        <w:rPr/>
        <w:t>at</w:t>
      </w:r>
      <w:r>
        <w:rPr>
          <w:spacing w:val="-5"/>
        </w:rPr>
        <w:t> </w:t>
      </w:r>
      <w:r>
        <w:rPr/>
        <w:t>73</w:t>
      </w:r>
      <w:r>
        <w:rPr>
          <w:spacing w:val="-6"/>
        </w:rPr>
        <w:t> </w:t>
      </w:r>
      <w:r>
        <w:rPr/>
        <w:t>per</w:t>
      </w:r>
      <w:r>
        <w:rPr>
          <w:spacing w:val="-6"/>
        </w:rPr>
        <w:t> </w:t>
      </w:r>
      <w:r>
        <w:rPr/>
        <w:t>cent.</w:t>
      </w:r>
      <w:r>
        <w:rPr>
          <w:spacing w:val="-6"/>
        </w:rPr>
        <w:t> </w:t>
      </w:r>
      <w:r>
        <w:rPr/>
        <w:t>Unlike</w:t>
      </w:r>
      <w:r>
        <w:rPr>
          <w:spacing w:val="-6"/>
        </w:rPr>
        <w:t> </w:t>
      </w:r>
      <w:r>
        <w:rPr/>
        <w:t>in 2016 – when those in open track disputes were most likely to take part in ET1 conciliation – there were no significant differences in take up by track in 2019. However, consistent with the findings from the 2016 survey, where claimant-side participants reported having previously taken part in EC they were notably more likely to say that they had participated in post-ET1 conciliation: 68 per cent who participated</w:t>
      </w:r>
      <w:r>
        <w:rPr>
          <w:spacing w:val="-12"/>
        </w:rPr>
        <w:t> </w:t>
      </w:r>
      <w:r>
        <w:rPr/>
        <w:t>in</w:t>
      </w:r>
      <w:r>
        <w:rPr>
          <w:spacing w:val="-14"/>
        </w:rPr>
        <w:t> </w:t>
      </w:r>
      <w:r>
        <w:rPr/>
        <w:t>EC</w:t>
      </w:r>
      <w:r>
        <w:rPr>
          <w:spacing w:val="-14"/>
        </w:rPr>
        <w:t> </w:t>
      </w:r>
      <w:r>
        <w:rPr/>
        <w:t>also</w:t>
      </w:r>
      <w:r>
        <w:rPr>
          <w:spacing w:val="-13"/>
        </w:rPr>
        <w:t> </w:t>
      </w:r>
      <w:r>
        <w:rPr/>
        <w:t>took</w:t>
      </w:r>
      <w:r>
        <w:rPr>
          <w:spacing w:val="-13"/>
        </w:rPr>
        <w:t> </w:t>
      </w:r>
      <w:r>
        <w:rPr/>
        <w:t>part</w:t>
      </w:r>
      <w:r>
        <w:rPr>
          <w:spacing w:val="-14"/>
        </w:rPr>
        <w:t> </w:t>
      </w:r>
      <w:r>
        <w:rPr/>
        <w:t>in</w:t>
      </w:r>
      <w:r>
        <w:rPr>
          <w:spacing w:val="-14"/>
        </w:rPr>
        <w:t> </w:t>
      </w:r>
      <w:r>
        <w:rPr/>
        <w:t>ET1</w:t>
      </w:r>
      <w:r>
        <w:rPr>
          <w:spacing w:val="-14"/>
        </w:rPr>
        <w:t> </w:t>
      </w:r>
      <w:r>
        <w:rPr/>
        <w:t>conciliation,</w:t>
      </w:r>
      <w:r>
        <w:rPr>
          <w:spacing w:val="-13"/>
        </w:rPr>
        <w:t> </w:t>
      </w:r>
      <w:r>
        <w:rPr/>
        <w:t>compared</w:t>
      </w:r>
      <w:r>
        <w:rPr>
          <w:spacing w:val="-13"/>
        </w:rPr>
        <w:t> </w:t>
      </w:r>
      <w:r>
        <w:rPr/>
        <w:t>with</w:t>
      </w:r>
      <w:r>
        <w:rPr>
          <w:spacing w:val="-14"/>
        </w:rPr>
        <w:t> </w:t>
      </w:r>
      <w:r>
        <w:rPr/>
        <w:t>42</w:t>
      </w:r>
      <w:r>
        <w:rPr>
          <w:spacing w:val="-14"/>
        </w:rPr>
        <w:t> </w:t>
      </w:r>
      <w:r>
        <w:rPr/>
        <w:t>per</w:t>
      </w:r>
      <w:r>
        <w:rPr>
          <w:spacing w:val="-13"/>
        </w:rPr>
        <w:t> </w:t>
      </w:r>
      <w:r>
        <w:rPr/>
        <w:t>cent</w:t>
      </w:r>
      <w:r>
        <w:rPr>
          <w:spacing w:val="-14"/>
        </w:rPr>
        <w:t> </w:t>
      </w:r>
      <w:r>
        <w:rPr/>
        <w:t>who did not take part in EC.</w:t>
      </w:r>
    </w:p>
    <w:p>
      <w:pPr>
        <w:pStyle w:val="BodyText"/>
        <w:spacing w:line="259" w:lineRule="auto" w:before="158"/>
        <w:ind w:left="1337" w:right="1474"/>
        <w:jc w:val="both"/>
      </w:pPr>
      <w:r>
        <w:rPr/>
        <w:t>Uptake of post-ET1 conciliation among employer-side participants was similar to the uptake among claimant-side participants. Just under six in ten (58 per cent) employer-side</w:t>
      </w:r>
      <w:r>
        <w:rPr>
          <w:spacing w:val="-14"/>
        </w:rPr>
        <w:t> </w:t>
      </w:r>
      <w:r>
        <w:rPr/>
        <w:t>participants</w:t>
      </w:r>
      <w:r>
        <w:rPr>
          <w:spacing w:val="-12"/>
        </w:rPr>
        <w:t> </w:t>
      </w:r>
      <w:r>
        <w:rPr/>
        <w:t>who</w:t>
      </w:r>
      <w:r>
        <w:rPr>
          <w:spacing w:val="-13"/>
        </w:rPr>
        <w:t> </w:t>
      </w:r>
      <w:r>
        <w:rPr/>
        <w:t>had</w:t>
      </w:r>
      <w:r>
        <w:rPr>
          <w:spacing w:val="-12"/>
        </w:rPr>
        <w:t> </w:t>
      </w:r>
      <w:r>
        <w:rPr/>
        <w:t>been</w:t>
      </w:r>
      <w:r>
        <w:rPr>
          <w:spacing w:val="-11"/>
        </w:rPr>
        <w:t> </w:t>
      </w:r>
      <w:r>
        <w:rPr/>
        <w:t>in</w:t>
      </w:r>
      <w:r>
        <w:rPr>
          <w:spacing w:val="-11"/>
        </w:rPr>
        <w:t> </w:t>
      </w:r>
      <w:r>
        <w:rPr/>
        <w:t>contact</w:t>
      </w:r>
      <w:r>
        <w:rPr>
          <w:spacing w:val="-11"/>
        </w:rPr>
        <w:t> </w:t>
      </w:r>
      <w:r>
        <w:rPr/>
        <w:t>with</w:t>
      </w:r>
      <w:r>
        <w:rPr>
          <w:spacing w:val="-11"/>
        </w:rPr>
        <w:t> </w:t>
      </w:r>
      <w:r>
        <w:rPr/>
        <w:t>Acas</w:t>
      </w:r>
      <w:r>
        <w:rPr>
          <w:spacing w:val="-11"/>
        </w:rPr>
        <w:t> </w:t>
      </w:r>
      <w:r>
        <w:rPr/>
        <w:t>since</w:t>
      </w:r>
      <w:r>
        <w:rPr>
          <w:spacing w:val="-12"/>
        </w:rPr>
        <w:t> </w:t>
      </w:r>
      <w:r>
        <w:rPr/>
        <w:t>the</w:t>
      </w:r>
      <w:r>
        <w:rPr>
          <w:spacing w:val="-12"/>
        </w:rPr>
        <w:t> </w:t>
      </w:r>
      <w:r>
        <w:rPr>
          <w:spacing w:val="-2"/>
        </w:rPr>
        <w:t>submission</w:t>
      </w:r>
    </w:p>
    <w:p>
      <w:pPr>
        <w:spacing w:after="0" w:line="259" w:lineRule="auto"/>
        <w:jc w:val="both"/>
        <w:sectPr>
          <w:pgSz w:w="11910" w:h="16840"/>
          <w:pgMar w:header="0" w:footer="996" w:top="1360" w:bottom="1180" w:left="460" w:right="320"/>
        </w:sectPr>
      </w:pPr>
    </w:p>
    <w:p>
      <w:pPr>
        <w:pStyle w:val="BodyText"/>
        <w:spacing w:line="259" w:lineRule="auto" w:before="82"/>
        <w:ind w:left="1337" w:right="1473"/>
        <w:jc w:val="both"/>
      </w:pPr>
      <w:r>
        <w:rPr/>
        <w:t>of the ET claim confirmed having taken part in conciliation at this stage. Three in ten</w:t>
      </w:r>
      <w:r>
        <w:rPr>
          <w:spacing w:val="-2"/>
        </w:rPr>
        <w:t> </w:t>
      </w:r>
      <w:r>
        <w:rPr/>
        <w:t>(33</w:t>
      </w:r>
      <w:r>
        <w:rPr>
          <w:spacing w:val="-2"/>
        </w:rPr>
        <w:t> </w:t>
      </w:r>
      <w:r>
        <w:rPr/>
        <w:t>per</w:t>
      </w:r>
      <w:r>
        <w:rPr>
          <w:spacing w:val="-4"/>
        </w:rPr>
        <w:t> </w:t>
      </w:r>
      <w:r>
        <w:rPr/>
        <w:t>cent)</w:t>
      </w:r>
      <w:r>
        <w:rPr>
          <w:spacing w:val="-2"/>
        </w:rPr>
        <w:t> </w:t>
      </w:r>
      <w:r>
        <w:rPr/>
        <w:t>said</w:t>
      </w:r>
      <w:r>
        <w:rPr>
          <w:spacing w:val="-2"/>
        </w:rPr>
        <w:t> </w:t>
      </w:r>
      <w:r>
        <w:rPr/>
        <w:t>they</w:t>
      </w:r>
      <w:r>
        <w:rPr>
          <w:spacing w:val="-2"/>
        </w:rPr>
        <w:t> </w:t>
      </w:r>
      <w:r>
        <w:rPr/>
        <w:t>did</w:t>
      </w:r>
      <w:r>
        <w:rPr>
          <w:spacing w:val="-2"/>
        </w:rPr>
        <w:t> </w:t>
      </w:r>
      <w:r>
        <w:rPr/>
        <w:t>not</w:t>
      </w:r>
      <w:r>
        <w:rPr>
          <w:spacing w:val="-3"/>
        </w:rPr>
        <w:t> </w:t>
      </w:r>
      <w:r>
        <w:rPr/>
        <w:t>take</w:t>
      </w:r>
      <w:r>
        <w:rPr>
          <w:spacing w:val="-3"/>
        </w:rPr>
        <w:t> </w:t>
      </w:r>
      <w:r>
        <w:rPr/>
        <w:t>part</w:t>
      </w:r>
      <w:r>
        <w:rPr>
          <w:spacing w:val="-2"/>
        </w:rPr>
        <w:t> </w:t>
      </w:r>
      <w:r>
        <w:rPr/>
        <w:t>in</w:t>
      </w:r>
      <w:r>
        <w:rPr>
          <w:spacing w:val="-2"/>
        </w:rPr>
        <w:t> </w:t>
      </w:r>
      <w:r>
        <w:rPr/>
        <w:t>conciliation,</w:t>
      </w:r>
      <w:r>
        <w:rPr>
          <w:spacing w:val="-2"/>
        </w:rPr>
        <w:t> </w:t>
      </w:r>
      <w:r>
        <w:rPr/>
        <w:t>and</w:t>
      </w:r>
      <w:r>
        <w:rPr>
          <w:spacing w:val="-2"/>
        </w:rPr>
        <w:t> </w:t>
      </w:r>
      <w:r>
        <w:rPr/>
        <w:t>nine</w:t>
      </w:r>
      <w:r>
        <w:rPr>
          <w:spacing w:val="-3"/>
        </w:rPr>
        <w:t> </w:t>
      </w:r>
      <w:r>
        <w:rPr/>
        <w:t>per</w:t>
      </w:r>
      <w:r>
        <w:rPr>
          <w:spacing w:val="-2"/>
        </w:rPr>
        <w:t> </w:t>
      </w:r>
      <w:r>
        <w:rPr/>
        <w:t>cent</w:t>
      </w:r>
      <w:r>
        <w:rPr>
          <w:spacing w:val="-2"/>
        </w:rPr>
        <w:t> </w:t>
      </w:r>
      <w:r>
        <w:rPr/>
        <w:t>said they didn’t know. Again, this level of service uptake for post-ET1 conciliation is lower than the proportion of employer-side participants taking part in EC (78 per cent of those surveyed in 2019), possibly reflecting the fact that many of those employers most willing to engage with conciliation will have already reached settlements at EC.</w:t>
      </w:r>
    </w:p>
    <w:p>
      <w:pPr>
        <w:pStyle w:val="BodyText"/>
        <w:spacing w:line="259" w:lineRule="auto" w:before="158"/>
        <w:ind w:left="1337" w:right="1473"/>
        <w:jc w:val="both"/>
      </w:pPr>
      <w:r>
        <w:rPr/>
        <w:t>Employer-side participants who reported having previously taken part in EC were also significantly more likely to say that they had participated in post-ET1 conciliation: 78 per cent who participated in EC also took part in ET1 conciliation compared to 47 per cent who did not participate in EC but subsequently took part in ET1 conciliation. These findings are also consistent with the findings from the 2016 survey.</w:t>
      </w:r>
    </w:p>
    <w:p>
      <w:pPr>
        <w:pStyle w:val="Heading3"/>
        <w:numPr>
          <w:ilvl w:val="1"/>
          <w:numId w:val="2"/>
        </w:numPr>
        <w:tabs>
          <w:tab w:pos="2116" w:val="left" w:leader="none"/>
        </w:tabs>
        <w:spacing w:line="240" w:lineRule="auto" w:before="159" w:after="0"/>
        <w:ind w:left="2115" w:right="0" w:hanging="779"/>
        <w:jc w:val="both"/>
      </w:pPr>
      <w:bookmarkStart w:name="14.3  Reasons for not participating in p" w:id="171"/>
      <w:bookmarkEnd w:id="171"/>
      <w:r>
        <w:rPr>
          <w:b w:val="0"/>
        </w:rPr>
      </w:r>
      <w:bookmarkStart w:name="_bookmark41" w:id="172"/>
      <w:bookmarkEnd w:id="172"/>
      <w:r>
        <w:rPr/>
        <w:t>R</w:t>
      </w:r>
      <w:r>
        <w:rPr/>
        <w:t>easons</w:t>
      </w:r>
      <w:r>
        <w:rPr>
          <w:spacing w:val="-8"/>
        </w:rPr>
        <w:t> </w:t>
      </w:r>
      <w:r>
        <w:rPr/>
        <w:t>for</w:t>
      </w:r>
      <w:r>
        <w:rPr>
          <w:spacing w:val="-4"/>
        </w:rPr>
        <w:t> </w:t>
      </w:r>
      <w:r>
        <w:rPr/>
        <w:t>not</w:t>
      </w:r>
      <w:r>
        <w:rPr>
          <w:spacing w:val="-5"/>
        </w:rPr>
        <w:t> </w:t>
      </w:r>
      <w:r>
        <w:rPr/>
        <w:t>participating</w:t>
      </w:r>
      <w:r>
        <w:rPr>
          <w:spacing w:val="-4"/>
        </w:rPr>
        <w:t> </w:t>
      </w:r>
      <w:r>
        <w:rPr/>
        <w:t>in</w:t>
      </w:r>
      <w:r>
        <w:rPr>
          <w:spacing w:val="-5"/>
        </w:rPr>
        <w:t> </w:t>
      </w:r>
      <w:r>
        <w:rPr/>
        <w:t>post-ET1</w:t>
      </w:r>
      <w:r>
        <w:rPr>
          <w:spacing w:val="-5"/>
        </w:rPr>
        <w:t> </w:t>
      </w:r>
      <w:r>
        <w:rPr>
          <w:spacing w:val="-2"/>
        </w:rPr>
        <w:t>conciliation</w:t>
      </w:r>
    </w:p>
    <w:p>
      <w:pPr>
        <w:pStyle w:val="BodyText"/>
        <w:spacing w:line="259" w:lineRule="auto" w:before="120"/>
        <w:ind w:left="1337" w:right="1474"/>
        <w:jc w:val="both"/>
      </w:pPr>
      <w:r>
        <w:rPr/>
        <w:t>The most common reasons given by claimant-side participants for not taking part in post-ET1 conciliation were ‘the other side was not willing to negotiate’ (45 per cent)</w:t>
      </w:r>
      <w:r>
        <w:rPr>
          <w:spacing w:val="-3"/>
        </w:rPr>
        <w:t> </w:t>
      </w:r>
      <w:r>
        <w:rPr/>
        <w:t>and</w:t>
      </w:r>
      <w:r>
        <w:rPr>
          <w:spacing w:val="-4"/>
        </w:rPr>
        <w:t> </w:t>
      </w:r>
      <w:r>
        <w:rPr/>
        <w:t>‘I</w:t>
      </w:r>
      <w:r>
        <w:rPr>
          <w:spacing w:val="-4"/>
        </w:rPr>
        <w:t> </w:t>
      </w:r>
      <w:r>
        <w:rPr/>
        <w:t>knew</w:t>
      </w:r>
      <w:r>
        <w:rPr>
          <w:spacing w:val="-3"/>
        </w:rPr>
        <w:t> </w:t>
      </w:r>
      <w:r>
        <w:rPr/>
        <w:t>that</w:t>
      </w:r>
      <w:r>
        <w:rPr>
          <w:spacing w:val="-4"/>
        </w:rPr>
        <w:t> </w:t>
      </w:r>
      <w:r>
        <w:rPr/>
        <w:t>the</w:t>
      </w:r>
      <w:r>
        <w:rPr>
          <w:spacing w:val="-4"/>
        </w:rPr>
        <w:t> </w:t>
      </w:r>
      <w:r>
        <w:rPr/>
        <w:t>employer</w:t>
      </w:r>
      <w:r>
        <w:rPr>
          <w:spacing w:val="-4"/>
        </w:rPr>
        <w:t> </w:t>
      </w:r>
      <w:r>
        <w:rPr/>
        <w:t>would</w:t>
      </w:r>
      <w:r>
        <w:rPr>
          <w:spacing w:val="-3"/>
        </w:rPr>
        <w:t> </w:t>
      </w:r>
      <w:r>
        <w:rPr/>
        <w:t>not</w:t>
      </w:r>
      <w:r>
        <w:rPr>
          <w:spacing w:val="-4"/>
        </w:rPr>
        <w:t> </w:t>
      </w:r>
      <w:r>
        <w:rPr/>
        <w:t>be</w:t>
      </w:r>
      <w:r>
        <w:rPr>
          <w:spacing w:val="-4"/>
        </w:rPr>
        <w:t> </w:t>
      </w:r>
      <w:r>
        <w:rPr/>
        <w:t>willing</w:t>
      </w:r>
      <w:r>
        <w:rPr>
          <w:spacing w:val="-3"/>
        </w:rPr>
        <w:t> </w:t>
      </w:r>
      <w:r>
        <w:rPr/>
        <w:t>to</w:t>
      </w:r>
      <w:r>
        <w:rPr>
          <w:spacing w:val="-4"/>
        </w:rPr>
        <w:t> </w:t>
      </w:r>
      <w:r>
        <w:rPr/>
        <w:t>engage’</w:t>
      </w:r>
      <w:r>
        <w:rPr>
          <w:spacing w:val="-3"/>
        </w:rPr>
        <w:t> </w:t>
      </w:r>
      <w:r>
        <w:rPr/>
        <w:t>(11</w:t>
      </w:r>
      <w:r>
        <w:rPr>
          <w:spacing w:val="-3"/>
        </w:rPr>
        <w:t> </w:t>
      </w:r>
      <w:r>
        <w:rPr/>
        <w:t>per</w:t>
      </w:r>
      <w:r>
        <w:rPr>
          <w:spacing w:val="-4"/>
        </w:rPr>
        <w:t> </w:t>
      </w:r>
      <w:r>
        <w:rPr/>
        <w:t>cent). This matches the top two reasons given by participants in 2016.</w:t>
      </w:r>
    </w:p>
    <w:p>
      <w:pPr>
        <w:pStyle w:val="BodyText"/>
        <w:spacing w:line="259" w:lineRule="auto" w:before="160"/>
        <w:ind w:left="1337" w:right="1472"/>
        <w:jc w:val="both"/>
      </w:pPr>
      <w:r>
        <w:rPr/>
        <w:t>Among</w:t>
      </w:r>
      <w:r>
        <w:rPr>
          <w:spacing w:val="-11"/>
        </w:rPr>
        <w:t> </w:t>
      </w:r>
      <w:r>
        <w:rPr/>
        <w:t>employer-side</w:t>
      </w:r>
      <w:r>
        <w:rPr>
          <w:spacing w:val="-12"/>
        </w:rPr>
        <w:t> </w:t>
      </w:r>
      <w:r>
        <w:rPr/>
        <w:t>participants,</w:t>
      </w:r>
      <w:r>
        <w:rPr>
          <w:spacing w:val="-12"/>
        </w:rPr>
        <w:t> </w:t>
      </w:r>
      <w:r>
        <w:rPr/>
        <w:t>the</w:t>
      </w:r>
      <w:r>
        <w:rPr>
          <w:spacing w:val="-12"/>
        </w:rPr>
        <w:t> </w:t>
      </w:r>
      <w:r>
        <w:rPr/>
        <w:t>top</w:t>
      </w:r>
      <w:r>
        <w:rPr>
          <w:spacing w:val="-13"/>
        </w:rPr>
        <w:t> </w:t>
      </w:r>
      <w:r>
        <w:rPr/>
        <w:t>two</w:t>
      </w:r>
      <w:r>
        <w:rPr>
          <w:spacing w:val="-13"/>
        </w:rPr>
        <w:t> </w:t>
      </w:r>
      <w:r>
        <w:rPr/>
        <w:t>reasons</w:t>
      </w:r>
      <w:r>
        <w:rPr>
          <w:spacing w:val="-11"/>
        </w:rPr>
        <w:t> </w:t>
      </w:r>
      <w:r>
        <w:rPr/>
        <w:t>stated</w:t>
      </w:r>
      <w:r>
        <w:rPr>
          <w:spacing w:val="-11"/>
        </w:rPr>
        <w:t> </w:t>
      </w:r>
      <w:r>
        <w:rPr/>
        <w:t>were</w:t>
      </w:r>
      <w:r>
        <w:rPr>
          <w:spacing w:val="-12"/>
        </w:rPr>
        <w:t> </w:t>
      </w:r>
      <w:r>
        <w:rPr/>
        <w:t>‘felt</w:t>
      </w:r>
      <w:r>
        <w:rPr>
          <w:spacing w:val="-11"/>
        </w:rPr>
        <w:t> </w:t>
      </w:r>
      <w:r>
        <w:rPr/>
        <w:t>we</w:t>
      </w:r>
      <w:r>
        <w:rPr>
          <w:spacing w:val="-13"/>
        </w:rPr>
        <w:t> </w:t>
      </w:r>
      <w:r>
        <w:rPr/>
        <w:t>had</w:t>
      </w:r>
      <w:r>
        <w:rPr>
          <w:spacing w:val="-13"/>
        </w:rPr>
        <w:t> </w:t>
      </w:r>
      <w:r>
        <w:rPr/>
        <w:t>no case</w:t>
      </w:r>
      <w:r>
        <w:rPr>
          <w:spacing w:val="-18"/>
        </w:rPr>
        <w:t> </w:t>
      </w:r>
      <w:r>
        <w:rPr/>
        <w:t>to</w:t>
      </w:r>
      <w:r>
        <w:rPr>
          <w:spacing w:val="-18"/>
        </w:rPr>
        <w:t> </w:t>
      </w:r>
      <w:r>
        <w:rPr/>
        <w:t>answer</w:t>
      </w:r>
      <w:r>
        <w:rPr>
          <w:spacing w:val="-17"/>
        </w:rPr>
        <w:t> </w:t>
      </w:r>
      <w:r>
        <w:rPr/>
        <w:t>to’</w:t>
      </w:r>
      <w:r>
        <w:rPr>
          <w:spacing w:val="-18"/>
        </w:rPr>
        <w:t> </w:t>
      </w:r>
      <w:r>
        <w:rPr/>
        <w:t>(25</w:t>
      </w:r>
      <w:r>
        <w:rPr>
          <w:spacing w:val="-17"/>
        </w:rPr>
        <w:t> </w:t>
      </w:r>
      <w:r>
        <w:rPr/>
        <w:t>per</w:t>
      </w:r>
      <w:r>
        <w:rPr>
          <w:spacing w:val="-18"/>
        </w:rPr>
        <w:t> </w:t>
      </w:r>
      <w:r>
        <w:rPr/>
        <w:t>cent)</w:t>
      </w:r>
      <w:r>
        <w:rPr>
          <w:spacing w:val="-18"/>
        </w:rPr>
        <w:t> </w:t>
      </w:r>
      <w:r>
        <w:rPr/>
        <w:t>and</w:t>
      </w:r>
      <w:r>
        <w:rPr>
          <w:spacing w:val="-17"/>
        </w:rPr>
        <w:t> </w:t>
      </w:r>
      <w:r>
        <w:rPr/>
        <w:t>‘not</w:t>
      </w:r>
      <w:r>
        <w:rPr>
          <w:spacing w:val="-18"/>
        </w:rPr>
        <w:t> </w:t>
      </w:r>
      <w:r>
        <w:rPr/>
        <w:t>willing</w:t>
      </w:r>
      <w:r>
        <w:rPr>
          <w:spacing w:val="-17"/>
        </w:rPr>
        <w:t> </w:t>
      </w:r>
      <w:r>
        <w:rPr/>
        <w:t>to</w:t>
      </w:r>
      <w:r>
        <w:rPr>
          <w:spacing w:val="-18"/>
        </w:rPr>
        <w:t> </w:t>
      </w:r>
      <w:r>
        <w:rPr/>
        <w:t>negotiate’</w:t>
      </w:r>
      <w:r>
        <w:rPr>
          <w:spacing w:val="-17"/>
        </w:rPr>
        <w:t> </w:t>
      </w:r>
      <w:r>
        <w:rPr/>
        <w:t>(21</w:t>
      </w:r>
      <w:r>
        <w:rPr>
          <w:spacing w:val="-18"/>
        </w:rPr>
        <w:t> </w:t>
      </w:r>
      <w:r>
        <w:rPr/>
        <w:t>per</w:t>
      </w:r>
      <w:r>
        <w:rPr>
          <w:spacing w:val="-18"/>
        </w:rPr>
        <w:t> </w:t>
      </w:r>
      <w:r>
        <w:rPr/>
        <w:t>cent),</w:t>
      </w:r>
      <w:r>
        <w:rPr>
          <w:spacing w:val="-17"/>
        </w:rPr>
        <w:t> </w:t>
      </w:r>
      <w:r>
        <w:rPr/>
        <w:t>followed by ‘I felt that conciliation would not resolve the issue / would be a waste of time’ (16 per cent). Again, this closely matches the answers given in 2016.</w:t>
      </w:r>
    </w:p>
    <w:p>
      <w:pPr>
        <w:pStyle w:val="BodyText"/>
        <w:spacing w:line="261" w:lineRule="auto" w:before="158"/>
        <w:ind w:left="1337" w:right="1472"/>
        <w:jc w:val="both"/>
      </w:pPr>
      <w:r>
        <w:rPr/>
        <w:t>These reasons differ from the rationales given by claimants in the EC survey for deciding</w:t>
      </w:r>
      <w:r>
        <w:rPr>
          <w:spacing w:val="-7"/>
        </w:rPr>
        <w:t> </w:t>
      </w:r>
      <w:r>
        <w:rPr/>
        <w:t>against</w:t>
      </w:r>
      <w:r>
        <w:rPr>
          <w:spacing w:val="-7"/>
        </w:rPr>
        <w:t> </w:t>
      </w:r>
      <w:r>
        <w:rPr/>
        <w:t>conciliation</w:t>
      </w:r>
      <w:r>
        <w:rPr>
          <w:spacing w:val="-7"/>
        </w:rPr>
        <w:t> </w:t>
      </w:r>
      <w:r>
        <w:rPr/>
        <w:t>at</w:t>
      </w:r>
      <w:r>
        <w:rPr>
          <w:spacing w:val="-7"/>
        </w:rPr>
        <w:t> </w:t>
      </w:r>
      <w:r>
        <w:rPr/>
        <w:t>that</w:t>
      </w:r>
      <w:r>
        <w:rPr>
          <w:spacing w:val="-7"/>
        </w:rPr>
        <w:t> </w:t>
      </w:r>
      <w:r>
        <w:rPr/>
        <w:t>earlier</w:t>
      </w:r>
      <w:r>
        <w:rPr>
          <w:spacing w:val="-7"/>
        </w:rPr>
        <w:t> </w:t>
      </w:r>
      <w:r>
        <w:rPr/>
        <w:t>point.</w:t>
      </w:r>
      <w:hyperlink w:history="true" w:anchor="_bookmark97">
        <w:r>
          <w:rPr>
            <w:rFonts w:ascii="Calibri" w:hAnsi="Calibri"/>
            <w:vertAlign w:val="superscript"/>
          </w:rPr>
          <w:t>32</w:t>
        </w:r>
      </w:hyperlink>
      <w:r>
        <w:rPr>
          <w:rFonts w:ascii="Calibri" w:hAnsi="Calibri"/>
          <w:spacing w:val="18"/>
          <w:vertAlign w:val="baseline"/>
        </w:rPr>
        <w:t> </w:t>
      </w:r>
      <w:r>
        <w:rPr>
          <w:vertAlign w:val="baseline"/>
        </w:rPr>
        <w:t>Claimants</w:t>
      </w:r>
      <w:r>
        <w:rPr>
          <w:spacing w:val="-8"/>
          <w:vertAlign w:val="baseline"/>
        </w:rPr>
        <w:t> </w:t>
      </w:r>
      <w:r>
        <w:rPr>
          <w:vertAlign w:val="baseline"/>
        </w:rPr>
        <w:t>who</w:t>
      </w:r>
      <w:r>
        <w:rPr>
          <w:spacing w:val="-7"/>
          <w:vertAlign w:val="baseline"/>
        </w:rPr>
        <w:t> </w:t>
      </w:r>
      <w:r>
        <w:rPr>
          <w:vertAlign w:val="baseline"/>
        </w:rPr>
        <w:t>did</w:t>
      </w:r>
      <w:r>
        <w:rPr>
          <w:spacing w:val="-8"/>
          <w:vertAlign w:val="baseline"/>
        </w:rPr>
        <w:t> </w:t>
      </w:r>
      <w:r>
        <w:rPr>
          <w:vertAlign w:val="baseline"/>
        </w:rPr>
        <w:t>not</w:t>
      </w:r>
      <w:r>
        <w:rPr>
          <w:spacing w:val="-7"/>
          <w:vertAlign w:val="baseline"/>
        </w:rPr>
        <w:t> </w:t>
      </w:r>
      <w:r>
        <w:rPr>
          <w:vertAlign w:val="baseline"/>
        </w:rPr>
        <w:t>take</w:t>
      </w:r>
      <w:r>
        <w:rPr>
          <w:spacing w:val="-8"/>
          <w:vertAlign w:val="baseline"/>
        </w:rPr>
        <w:t> </w:t>
      </w:r>
      <w:r>
        <w:rPr>
          <w:vertAlign w:val="baseline"/>
        </w:rPr>
        <w:t>part in EC mentioned a wider range of reasons, including ‘I knew that the employer would not be willing to engage’ and ‘The issue was resolved by the time Acas assistance was offered’. This suggests that at this earlier stage in a dispute resolution journey there are many reasons for non-participation, whereas by the ET</w:t>
      </w:r>
      <w:r>
        <w:rPr>
          <w:spacing w:val="-13"/>
          <w:vertAlign w:val="baseline"/>
        </w:rPr>
        <w:t> </w:t>
      </w:r>
      <w:r>
        <w:rPr>
          <w:vertAlign w:val="baseline"/>
        </w:rPr>
        <w:t>stage</w:t>
      </w:r>
      <w:r>
        <w:rPr>
          <w:spacing w:val="-13"/>
          <w:vertAlign w:val="baseline"/>
        </w:rPr>
        <w:t> </w:t>
      </w:r>
      <w:r>
        <w:rPr>
          <w:vertAlign w:val="baseline"/>
        </w:rPr>
        <w:t>most</w:t>
      </w:r>
      <w:r>
        <w:rPr>
          <w:spacing w:val="-11"/>
          <w:vertAlign w:val="baseline"/>
        </w:rPr>
        <w:t> </w:t>
      </w:r>
      <w:r>
        <w:rPr>
          <w:vertAlign w:val="baseline"/>
        </w:rPr>
        <w:t>claimants</w:t>
      </w:r>
      <w:r>
        <w:rPr>
          <w:spacing w:val="-13"/>
          <w:vertAlign w:val="baseline"/>
        </w:rPr>
        <w:t> </w:t>
      </w:r>
      <w:r>
        <w:rPr>
          <w:vertAlign w:val="baseline"/>
        </w:rPr>
        <w:t>who</w:t>
      </w:r>
      <w:r>
        <w:rPr>
          <w:spacing w:val="-13"/>
          <w:vertAlign w:val="baseline"/>
        </w:rPr>
        <w:t> </w:t>
      </w:r>
      <w:r>
        <w:rPr>
          <w:vertAlign w:val="baseline"/>
        </w:rPr>
        <w:t>do</w:t>
      </w:r>
      <w:r>
        <w:rPr>
          <w:spacing w:val="-13"/>
          <w:vertAlign w:val="baseline"/>
        </w:rPr>
        <w:t> </w:t>
      </w:r>
      <w:r>
        <w:rPr>
          <w:vertAlign w:val="baseline"/>
        </w:rPr>
        <w:t>not</w:t>
      </w:r>
      <w:r>
        <w:rPr>
          <w:spacing w:val="-13"/>
          <w:vertAlign w:val="baseline"/>
        </w:rPr>
        <w:t> </w:t>
      </w:r>
      <w:r>
        <w:rPr>
          <w:vertAlign w:val="baseline"/>
        </w:rPr>
        <w:t>take</w:t>
      </w:r>
      <w:r>
        <w:rPr>
          <w:spacing w:val="-13"/>
          <w:vertAlign w:val="baseline"/>
        </w:rPr>
        <w:t> </w:t>
      </w:r>
      <w:r>
        <w:rPr>
          <w:vertAlign w:val="baseline"/>
        </w:rPr>
        <w:t>part</w:t>
      </w:r>
      <w:r>
        <w:rPr>
          <w:spacing w:val="-12"/>
          <w:vertAlign w:val="baseline"/>
        </w:rPr>
        <w:t> </w:t>
      </w:r>
      <w:r>
        <w:rPr>
          <w:vertAlign w:val="baseline"/>
        </w:rPr>
        <w:t>have</w:t>
      </w:r>
      <w:r>
        <w:rPr>
          <w:spacing w:val="-12"/>
          <w:vertAlign w:val="baseline"/>
        </w:rPr>
        <w:t> </w:t>
      </w:r>
      <w:r>
        <w:rPr>
          <w:vertAlign w:val="baseline"/>
        </w:rPr>
        <w:t>a</w:t>
      </w:r>
      <w:r>
        <w:rPr>
          <w:spacing w:val="-13"/>
          <w:vertAlign w:val="baseline"/>
        </w:rPr>
        <w:t> </w:t>
      </w:r>
      <w:r>
        <w:rPr>
          <w:vertAlign w:val="baseline"/>
        </w:rPr>
        <w:t>perception</w:t>
      </w:r>
      <w:r>
        <w:rPr>
          <w:spacing w:val="-11"/>
          <w:vertAlign w:val="baseline"/>
        </w:rPr>
        <w:t> </w:t>
      </w:r>
      <w:r>
        <w:rPr>
          <w:vertAlign w:val="baseline"/>
        </w:rPr>
        <w:t>that</w:t>
      </w:r>
      <w:r>
        <w:rPr>
          <w:spacing w:val="-14"/>
          <w:vertAlign w:val="baseline"/>
        </w:rPr>
        <w:t> </w:t>
      </w:r>
      <w:r>
        <w:rPr>
          <w:vertAlign w:val="baseline"/>
        </w:rPr>
        <w:t>the</w:t>
      </w:r>
      <w:r>
        <w:rPr>
          <w:spacing w:val="-12"/>
          <w:vertAlign w:val="baseline"/>
        </w:rPr>
        <w:t> </w:t>
      </w:r>
      <w:r>
        <w:rPr>
          <w:vertAlign w:val="baseline"/>
        </w:rPr>
        <w:t>other</w:t>
      </w:r>
      <w:r>
        <w:rPr>
          <w:spacing w:val="-13"/>
          <w:vertAlign w:val="baseline"/>
        </w:rPr>
        <w:t> </w:t>
      </w:r>
      <w:r>
        <w:rPr>
          <w:vertAlign w:val="baseline"/>
        </w:rPr>
        <w:t>side is not willing to negotiate (possibly informed by their prior experience at EC).</w:t>
      </w:r>
    </w:p>
    <w:p>
      <w:pPr>
        <w:pStyle w:val="BodyText"/>
        <w:spacing w:line="259" w:lineRule="auto" w:before="154"/>
        <w:ind w:left="1337" w:right="1472"/>
        <w:jc w:val="both"/>
      </w:pPr>
      <w:r>
        <w:rPr/>
        <w:t>By contrast, on the employer-side at the EC stage, a clear majority (64 per cent) cited their reason for not participating in conciliation as being ‘I/employer had no case to answer to’. This is consistent with the top reason cited at the ET stage in 2015 and by employer-side participants in the 2019 EC survey.</w:t>
      </w:r>
    </w:p>
    <w:p>
      <w:pPr>
        <w:pStyle w:val="Heading3"/>
        <w:numPr>
          <w:ilvl w:val="1"/>
          <w:numId w:val="2"/>
        </w:numPr>
        <w:tabs>
          <w:tab w:pos="2116" w:val="left" w:leader="none"/>
        </w:tabs>
        <w:spacing w:line="240" w:lineRule="auto" w:before="160" w:after="0"/>
        <w:ind w:left="2115" w:right="0" w:hanging="779"/>
        <w:jc w:val="both"/>
      </w:pPr>
      <w:bookmarkStart w:name="14.4  Determinants of taking part in pos" w:id="173"/>
      <w:bookmarkEnd w:id="173"/>
      <w:r>
        <w:rPr>
          <w:b w:val="0"/>
        </w:rPr>
      </w:r>
      <w:bookmarkStart w:name="_bookmark42" w:id="174"/>
      <w:bookmarkEnd w:id="174"/>
      <w:r>
        <w:rPr/>
        <w:t>De</w:t>
      </w:r>
      <w:r>
        <w:rPr/>
        <w:t>terminants</w:t>
      </w:r>
      <w:r>
        <w:rPr>
          <w:spacing w:val="-8"/>
        </w:rPr>
        <w:t> </w:t>
      </w:r>
      <w:r>
        <w:rPr/>
        <w:t>of</w:t>
      </w:r>
      <w:r>
        <w:rPr>
          <w:spacing w:val="-4"/>
        </w:rPr>
        <w:t> </w:t>
      </w:r>
      <w:r>
        <w:rPr/>
        <w:t>taking</w:t>
      </w:r>
      <w:r>
        <w:rPr>
          <w:spacing w:val="-4"/>
        </w:rPr>
        <w:t> </w:t>
      </w:r>
      <w:r>
        <w:rPr/>
        <w:t>part</w:t>
      </w:r>
      <w:r>
        <w:rPr>
          <w:spacing w:val="-4"/>
        </w:rPr>
        <w:t> </w:t>
      </w:r>
      <w:r>
        <w:rPr/>
        <w:t>in</w:t>
      </w:r>
      <w:r>
        <w:rPr>
          <w:spacing w:val="-6"/>
        </w:rPr>
        <w:t> </w:t>
      </w:r>
      <w:r>
        <w:rPr/>
        <w:t>post-ET1</w:t>
      </w:r>
      <w:r>
        <w:rPr>
          <w:spacing w:val="-4"/>
        </w:rPr>
        <w:t> </w:t>
      </w:r>
      <w:r>
        <w:rPr>
          <w:spacing w:val="-2"/>
        </w:rPr>
        <w:t>conciliation</w:t>
      </w:r>
    </w:p>
    <w:p>
      <w:pPr>
        <w:pStyle w:val="BodyText"/>
        <w:spacing w:before="120"/>
        <w:ind w:left="1337" w:right="1472"/>
        <w:jc w:val="both"/>
      </w:pPr>
      <w:r>
        <w:rPr/>
        <w:t>Throughout this report a series of regression analyses have been conducted to understand</w:t>
      </w:r>
      <w:r>
        <w:rPr>
          <w:spacing w:val="-17"/>
        </w:rPr>
        <w:t> </w:t>
      </w:r>
      <w:r>
        <w:rPr/>
        <w:t>the</w:t>
      </w:r>
      <w:r>
        <w:rPr>
          <w:spacing w:val="-17"/>
        </w:rPr>
        <w:t> </w:t>
      </w:r>
      <w:r>
        <w:rPr/>
        <w:t>factors</w:t>
      </w:r>
      <w:r>
        <w:rPr>
          <w:spacing w:val="-17"/>
        </w:rPr>
        <w:t> </w:t>
      </w:r>
      <w:r>
        <w:rPr/>
        <w:t>associated</w:t>
      </w:r>
      <w:r>
        <w:rPr>
          <w:spacing w:val="-16"/>
        </w:rPr>
        <w:t> </w:t>
      </w:r>
      <w:r>
        <w:rPr/>
        <w:t>with</w:t>
      </w:r>
      <w:r>
        <w:rPr>
          <w:spacing w:val="-16"/>
        </w:rPr>
        <w:t> </w:t>
      </w:r>
      <w:r>
        <w:rPr/>
        <w:t>the</w:t>
      </w:r>
      <w:r>
        <w:rPr>
          <w:spacing w:val="-17"/>
        </w:rPr>
        <w:t> </w:t>
      </w:r>
      <w:r>
        <w:rPr/>
        <w:t>likelihood</w:t>
      </w:r>
      <w:r>
        <w:rPr>
          <w:spacing w:val="-16"/>
        </w:rPr>
        <w:t> </w:t>
      </w:r>
      <w:r>
        <w:rPr/>
        <w:t>of</w:t>
      </w:r>
      <w:r>
        <w:rPr>
          <w:spacing w:val="-16"/>
        </w:rPr>
        <w:t> </w:t>
      </w:r>
      <w:r>
        <w:rPr/>
        <w:t>service</w:t>
      </w:r>
      <w:r>
        <w:rPr>
          <w:spacing w:val="-17"/>
        </w:rPr>
        <w:t> </w:t>
      </w:r>
      <w:r>
        <w:rPr/>
        <w:t>users</w:t>
      </w:r>
      <w:r>
        <w:rPr>
          <w:spacing w:val="-16"/>
        </w:rPr>
        <w:t> </w:t>
      </w:r>
      <w:r>
        <w:rPr/>
        <w:t>engaging</w:t>
      </w:r>
      <w:r>
        <w:rPr>
          <w:spacing w:val="-16"/>
        </w:rPr>
        <w:t> </w:t>
      </w:r>
      <w:r>
        <w:rPr/>
        <w:t>with post-ET1</w:t>
      </w:r>
      <w:r>
        <w:rPr>
          <w:spacing w:val="-18"/>
        </w:rPr>
        <w:t> </w:t>
      </w:r>
      <w:r>
        <w:rPr/>
        <w:t>conciliation.</w:t>
      </w:r>
      <w:hyperlink w:history="true" w:anchor="_bookmark96">
        <w:r>
          <w:rPr>
            <w:position w:val="7"/>
            <w:sz w:val="13"/>
          </w:rPr>
          <w:t>33</w:t>
        </w:r>
      </w:hyperlink>
      <w:r>
        <w:rPr>
          <w:spacing w:val="-8"/>
          <w:position w:val="7"/>
          <w:sz w:val="13"/>
        </w:rPr>
        <w:t> </w:t>
      </w:r>
      <w:r>
        <w:rPr/>
        <w:t>This</w:t>
      </w:r>
      <w:r>
        <w:rPr>
          <w:spacing w:val="-17"/>
        </w:rPr>
        <w:t> </w:t>
      </w:r>
      <w:r>
        <w:rPr/>
        <w:t>model</w:t>
      </w:r>
      <w:r>
        <w:rPr>
          <w:spacing w:val="-18"/>
        </w:rPr>
        <w:t> </w:t>
      </w:r>
      <w:r>
        <w:rPr/>
        <w:t>examines</w:t>
      </w:r>
      <w:r>
        <w:rPr>
          <w:spacing w:val="-18"/>
        </w:rPr>
        <w:t> </w:t>
      </w:r>
      <w:r>
        <w:rPr/>
        <w:t>the</w:t>
      </w:r>
      <w:r>
        <w:rPr>
          <w:spacing w:val="-17"/>
        </w:rPr>
        <w:t> </w:t>
      </w:r>
      <w:r>
        <w:rPr/>
        <w:t>factors</w:t>
      </w:r>
      <w:r>
        <w:rPr>
          <w:spacing w:val="-18"/>
        </w:rPr>
        <w:t> </w:t>
      </w:r>
      <w:r>
        <w:rPr/>
        <w:t>‘driving’</w:t>
      </w:r>
      <w:r>
        <w:rPr>
          <w:spacing w:val="-17"/>
        </w:rPr>
        <w:t> </w:t>
      </w:r>
      <w:r>
        <w:rPr/>
        <w:t>whether</w:t>
      </w:r>
      <w:r>
        <w:rPr>
          <w:spacing w:val="-18"/>
        </w:rPr>
        <w:t> </w:t>
      </w:r>
      <w:r>
        <w:rPr/>
        <w:t>claimants took part in conciliation at this stage (representatives were not included in the model). Note that this model measures associations between variables, not </w:t>
      </w:r>
      <w:r>
        <w:rPr>
          <w:spacing w:val="-2"/>
        </w:rPr>
        <w:t>causation.</w:t>
      </w:r>
    </w:p>
    <w:p>
      <w:pPr>
        <w:pStyle w:val="BodyText"/>
      </w:pPr>
    </w:p>
    <w:p>
      <w:pPr>
        <w:pStyle w:val="Heading4"/>
        <w:jc w:val="left"/>
        <w:rPr>
          <w:i/>
        </w:rPr>
      </w:pPr>
      <w:r>
        <w:rPr>
          <w:i/>
          <w:spacing w:val="-2"/>
        </w:rPr>
        <w:t>Claimants</w:t>
      </w:r>
    </w:p>
    <w:p>
      <w:pPr>
        <w:pStyle w:val="BodyText"/>
        <w:rPr>
          <w:b/>
          <w:i/>
        </w:rPr>
      </w:pPr>
    </w:p>
    <w:p>
      <w:pPr>
        <w:pStyle w:val="BodyText"/>
        <w:ind w:left="1337" w:right="1472"/>
        <w:jc w:val="both"/>
      </w:pPr>
      <w:r>
        <w:rPr/>
        <w:t>The independent variables which were found to be determinants of whether claimants took part in post-ET1 conciliation are listed below in order of predictive </w:t>
      </w:r>
      <w:r>
        <w:rPr>
          <w:spacing w:val="-2"/>
        </w:rPr>
        <w:t>strength:</w:t>
      </w:r>
    </w:p>
    <w:p>
      <w:pPr>
        <w:spacing w:after="0"/>
        <w:jc w:val="both"/>
        <w:sectPr>
          <w:pgSz w:w="11910" w:h="16840"/>
          <w:pgMar w:header="0" w:footer="996" w:top="1340" w:bottom="1180" w:left="460" w:right="320"/>
        </w:sectPr>
      </w:pPr>
    </w:p>
    <w:p>
      <w:pPr>
        <w:pStyle w:val="ListParagraph"/>
        <w:numPr>
          <w:ilvl w:val="0"/>
          <w:numId w:val="37"/>
        </w:numPr>
        <w:tabs>
          <w:tab w:pos="2058" w:val="left" w:leader="none"/>
        </w:tabs>
        <w:spacing w:line="240" w:lineRule="auto" w:before="82" w:after="0"/>
        <w:ind w:left="2057" w:right="1474" w:hanging="360"/>
        <w:jc w:val="both"/>
        <w:rPr>
          <w:sz w:val="20"/>
        </w:rPr>
      </w:pPr>
      <w:r>
        <w:rPr>
          <w:b/>
          <w:sz w:val="20"/>
        </w:rPr>
        <w:t>Receiving a letter from the Acas conciliator</w:t>
      </w:r>
      <w:r>
        <w:rPr>
          <w:sz w:val="20"/>
        </w:rPr>
        <w:t>: Those who said they received a letter from the Acas conciliator saying they would be in contact to</w:t>
      </w:r>
      <w:r>
        <w:rPr>
          <w:spacing w:val="-2"/>
          <w:sz w:val="20"/>
        </w:rPr>
        <w:t> </w:t>
      </w:r>
      <w:r>
        <w:rPr>
          <w:sz w:val="20"/>
        </w:rPr>
        <w:t>try</w:t>
      </w:r>
      <w:r>
        <w:rPr>
          <w:spacing w:val="-3"/>
          <w:sz w:val="20"/>
        </w:rPr>
        <w:t> </w:t>
      </w:r>
      <w:r>
        <w:rPr>
          <w:sz w:val="20"/>
        </w:rPr>
        <w:t>and</w:t>
      </w:r>
      <w:r>
        <w:rPr>
          <w:spacing w:val="-3"/>
          <w:sz w:val="20"/>
        </w:rPr>
        <w:t> </w:t>
      </w:r>
      <w:r>
        <w:rPr>
          <w:sz w:val="20"/>
        </w:rPr>
        <w:t>settle</w:t>
      </w:r>
      <w:r>
        <w:rPr>
          <w:spacing w:val="-2"/>
          <w:sz w:val="20"/>
        </w:rPr>
        <w:t> </w:t>
      </w:r>
      <w:r>
        <w:rPr>
          <w:sz w:val="20"/>
        </w:rPr>
        <w:t>the</w:t>
      </w:r>
      <w:r>
        <w:rPr>
          <w:spacing w:val="-4"/>
          <w:sz w:val="20"/>
        </w:rPr>
        <w:t> </w:t>
      </w:r>
      <w:r>
        <w:rPr>
          <w:sz w:val="20"/>
        </w:rPr>
        <w:t>case</w:t>
      </w:r>
      <w:r>
        <w:rPr>
          <w:spacing w:val="-2"/>
          <w:sz w:val="20"/>
        </w:rPr>
        <w:t> </w:t>
      </w:r>
      <w:r>
        <w:rPr>
          <w:sz w:val="20"/>
        </w:rPr>
        <w:t>were</w:t>
      </w:r>
      <w:r>
        <w:rPr>
          <w:spacing w:val="-2"/>
          <w:sz w:val="20"/>
        </w:rPr>
        <w:t> </w:t>
      </w:r>
      <w:r>
        <w:rPr>
          <w:sz w:val="20"/>
        </w:rPr>
        <w:t>associated</w:t>
      </w:r>
      <w:r>
        <w:rPr>
          <w:spacing w:val="-2"/>
          <w:sz w:val="20"/>
        </w:rPr>
        <w:t> </w:t>
      </w:r>
      <w:r>
        <w:rPr>
          <w:sz w:val="20"/>
        </w:rPr>
        <w:t>with</w:t>
      </w:r>
      <w:r>
        <w:rPr>
          <w:spacing w:val="-3"/>
          <w:sz w:val="20"/>
        </w:rPr>
        <w:t> </w:t>
      </w:r>
      <w:r>
        <w:rPr>
          <w:sz w:val="20"/>
        </w:rPr>
        <w:t>a</w:t>
      </w:r>
      <w:r>
        <w:rPr>
          <w:spacing w:val="-3"/>
          <w:sz w:val="20"/>
        </w:rPr>
        <w:t> </w:t>
      </w:r>
      <w:r>
        <w:rPr>
          <w:sz w:val="20"/>
        </w:rPr>
        <w:t>higher</w:t>
      </w:r>
      <w:r>
        <w:rPr>
          <w:spacing w:val="-2"/>
          <w:sz w:val="20"/>
        </w:rPr>
        <w:t> </w:t>
      </w:r>
      <w:r>
        <w:rPr>
          <w:sz w:val="20"/>
        </w:rPr>
        <w:t>likelihood</w:t>
      </w:r>
      <w:r>
        <w:rPr>
          <w:spacing w:val="-2"/>
          <w:sz w:val="20"/>
        </w:rPr>
        <w:t> </w:t>
      </w:r>
      <w:r>
        <w:rPr>
          <w:sz w:val="20"/>
        </w:rPr>
        <w:t>of</w:t>
      </w:r>
      <w:r>
        <w:rPr>
          <w:spacing w:val="-3"/>
          <w:sz w:val="20"/>
        </w:rPr>
        <w:t> </w:t>
      </w:r>
      <w:r>
        <w:rPr>
          <w:sz w:val="20"/>
        </w:rPr>
        <w:t>taking part in Acas conciliation at the post-ET1 stage</w:t>
      </w:r>
    </w:p>
    <w:p>
      <w:pPr>
        <w:pStyle w:val="ListParagraph"/>
        <w:numPr>
          <w:ilvl w:val="0"/>
          <w:numId w:val="37"/>
        </w:numPr>
        <w:tabs>
          <w:tab w:pos="2058" w:val="left" w:leader="none"/>
        </w:tabs>
        <w:spacing w:line="240" w:lineRule="auto" w:before="0" w:after="0"/>
        <w:ind w:left="2057" w:right="1474" w:hanging="360"/>
        <w:jc w:val="both"/>
        <w:rPr>
          <w:sz w:val="20"/>
        </w:rPr>
      </w:pPr>
      <w:r>
        <w:rPr>
          <w:b/>
          <w:sz w:val="20"/>
        </w:rPr>
        <w:t>Participation in EC earlier in their dispute</w:t>
      </w:r>
      <w:r>
        <w:rPr>
          <w:sz w:val="20"/>
        </w:rPr>
        <w:t>: Claimants who agreed to take part in Early Conciliation earlier in the dispute were also associated with a higher likelihood of participating in post-ET1 conciliation</w:t>
      </w:r>
    </w:p>
    <w:p>
      <w:pPr>
        <w:pStyle w:val="ListParagraph"/>
        <w:numPr>
          <w:ilvl w:val="0"/>
          <w:numId w:val="37"/>
        </w:numPr>
        <w:tabs>
          <w:tab w:pos="2058" w:val="left" w:leader="none"/>
        </w:tabs>
        <w:spacing w:line="240" w:lineRule="auto" w:before="0" w:after="0"/>
        <w:ind w:left="2057" w:right="1474" w:hanging="360"/>
        <w:jc w:val="both"/>
        <w:rPr>
          <w:sz w:val="20"/>
        </w:rPr>
      </w:pPr>
      <w:r>
        <w:rPr>
          <w:b/>
          <w:sz w:val="20"/>
        </w:rPr>
        <w:t>Claimant ethnic background</w:t>
      </w:r>
      <w:r>
        <w:rPr>
          <w:sz w:val="20"/>
        </w:rPr>
        <w:t>: If the claimant was from a white ethnic background, this factor was associated with a lower likelihood of participating in the offer of post-ET1 conciliation.</w:t>
      </w:r>
    </w:p>
    <w:p>
      <w:pPr>
        <w:pStyle w:val="BodyText"/>
        <w:rPr>
          <w:sz w:val="24"/>
        </w:rPr>
      </w:pPr>
    </w:p>
    <w:p>
      <w:pPr>
        <w:pStyle w:val="Heading3"/>
        <w:spacing w:before="189"/>
        <w:jc w:val="left"/>
      </w:pPr>
      <w:r>
        <w:rPr/>
        <w:t>Figure</w:t>
      </w:r>
      <w:r>
        <w:rPr>
          <w:spacing w:val="-6"/>
        </w:rPr>
        <w:t> </w:t>
      </w:r>
      <w:r>
        <w:rPr/>
        <w:t>26.</w:t>
      </w:r>
      <w:r>
        <w:rPr>
          <w:spacing w:val="-5"/>
        </w:rPr>
        <w:t> </w:t>
      </w:r>
      <w:r>
        <w:rPr/>
        <w:t>Claimant</w:t>
      </w:r>
      <w:r>
        <w:rPr>
          <w:spacing w:val="-5"/>
        </w:rPr>
        <w:t> </w:t>
      </w:r>
      <w:r>
        <w:rPr/>
        <w:t>participation</w:t>
      </w:r>
      <w:r>
        <w:rPr>
          <w:spacing w:val="-3"/>
        </w:rPr>
        <w:t> </w:t>
      </w:r>
      <w:r>
        <w:rPr/>
        <w:t>in</w:t>
      </w:r>
      <w:r>
        <w:rPr>
          <w:spacing w:val="-4"/>
        </w:rPr>
        <w:t> </w:t>
      </w:r>
      <w:r>
        <w:rPr/>
        <w:t>ET</w:t>
      </w:r>
      <w:r>
        <w:rPr>
          <w:spacing w:val="-3"/>
        </w:rPr>
        <w:t> </w:t>
      </w:r>
      <w:r>
        <w:rPr>
          <w:spacing w:val="-2"/>
        </w:rPr>
        <w:t>conciliation</w:t>
      </w:r>
    </w:p>
    <w:p>
      <w:pPr>
        <w:pStyle w:val="BodyText"/>
        <w:rPr>
          <w:b/>
          <w:sz w:val="11"/>
        </w:rPr>
      </w:pPr>
      <w:r>
        <w:rPr/>
        <w:drawing>
          <wp:anchor distT="0" distB="0" distL="0" distR="0" allowOverlap="1" layoutInCell="1" locked="0" behindDoc="0" simplePos="0" relativeHeight="55">
            <wp:simplePos x="0" y="0"/>
            <wp:positionH relativeFrom="page">
              <wp:posOffset>1372099</wp:posOffset>
            </wp:positionH>
            <wp:positionV relativeFrom="paragraph">
              <wp:posOffset>100504</wp:posOffset>
            </wp:positionV>
            <wp:extent cx="4627892" cy="2490216"/>
            <wp:effectExtent l="0" t="0" r="0" b="0"/>
            <wp:wrapTopAndBottom/>
            <wp:docPr id="83" name="image42.png" descr="Graph showing claimant participation in ET conciliation "/>
            <wp:cNvGraphicFramePr>
              <a:graphicFrameLocks noChangeAspect="1"/>
            </wp:cNvGraphicFramePr>
            <a:graphic>
              <a:graphicData uri="http://schemas.openxmlformats.org/drawingml/2006/picture">
                <pic:pic>
                  <pic:nvPicPr>
                    <pic:cNvPr id="84" name="image42.png"/>
                    <pic:cNvPicPr/>
                  </pic:nvPicPr>
                  <pic:blipFill>
                    <a:blip r:embed="rId55" cstate="print"/>
                    <a:stretch>
                      <a:fillRect/>
                    </a:stretch>
                  </pic:blipFill>
                  <pic:spPr>
                    <a:xfrm>
                      <a:off x="0" y="0"/>
                      <a:ext cx="4627892" cy="2490216"/>
                    </a:xfrm>
                    <a:prstGeom prst="rect">
                      <a:avLst/>
                    </a:prstGeom>
                  </pic:spPr>
                </pic:pic>
              </a:graphicData>
            </a:graphic>
          </wp:anchor>
        </w:drawing>
      </w:r>
    </w:p>
    <w:p>
      <w:pPr>
        <w:pStyle w:val="BodyText"/>
        <w:rPr>
          <w:b/>
          <w:sz w:val="24"/>
        </w:rPr>
      </w:pPr>
    </w:p>
    <w:p>
      <w:pPr>
        <w:pStyle w:val="BodyText"/>
        <w:spacing w:before="6"/>
        <w:rPr>
          <w:b/>
          <w:sz w:val="30"/>
        </w:rPr>
      </w:pPr>
    </w:p>
    <w:p>
      <w:pPr>
        <w:pStyle w:val="Heading4"/>
        <w:spacing w:before="1"/>
        <w:jc w:val="left"/>
        <w:rPr>
          <w:i/>
        </w:rPr>
      </w:pPr>
      <w:r>
        <w:rPr>
          <w:i/>
          <w:spacing w:val="-2"/>
        </w:rPr>
        <w:t>Employers</w:t>
      </w:r>
    </w:p>
    <w:p>
      <w:pPr>
        <w:pStyle w:val="BodyText"/>
        <w:spacing w:before="12"/>
        <w:rPr>
          <w:b/>
          <w:i/>
          <w:sz w:val="19"/>
        </w:rPr>
      </w:pPr>
    </w:p>
    <w:p>
      <w:pPr>
        <w:pStyle w:val="BodyText"/>
        <w:ind w:left="1337" w:right="1473"/>
        <w:jc w:val="both"/>
      </w:pPr>
      <w:r>
        <w:rPr/>
        <w:t>The independent variables which were found to be determinants of whether employers took part in post-ET1</w:t>
      </w:r>
      <w:r>
        <w:rPr>
          <w:spacing w:val="-1"/>
        </w:rPr>
        <w:t> </w:t>
      </w:r>
      <w:r>
        <w:rPr/>
        <w:t>conciliation are listed below in order of predictive </w:t>
      </w:r>
      <w:r>
        <w:rPr>
          <w:spacing w:val="-2"/>
        </w:rPr>
        <w:t>strength:</w:t>
      </w:r>
    </w:p>
    <w:p>
      <w:pPr>
        <w:pStyle w:val="BodyText"/>
        <w:spacing w:before="1"/>
      </w:pPr>
    </w:p>
    <w:p>
      <w:pPr>
        <w:pStyle w:val="ListParagraph"/>
        <w:numPr>
          <w:ilvl w:val="0"/>
          <w:numId w:val="37"/>
        </w:numPr>
        <w:tabs>
          <w:tab w:pos="2057" w:val="left" w:leader="none"/>
        </w:tabs>
        <w:spacing w:line="240" w:lineRule="auto" w:before="0" w:after="0"/>
        <w:ind w:left="2057" w:right="1472" w:hanging="361"/>
        <w:jc w:val="both"/>
        <w:rPr>
          <w:sz w:val="20"/>
        </w:rPr>
      </w:pPr>
      <w:r>
        <w:rPr>
          <w:b/>
          <w:sz w:val="20"/>
        </w:rPr>
        <w:t>Participation in EC earlier in their dispute</w:t>
      </w:r>
      <w:r>
        <w:rPr>
          <w:sz w:val="20"/>
        </w:rPr>
        <w:t>: Employers who agreed to take part in Early Conciliation earlier in the dispute were correlated with a higher likelihood of participating in post-ET1 conciliation</w:t>
      </w:r>
    </w:p>
    <w:p>
      <w:pPr>
        <w:pStyle w:val="ListParagraph"/>
        <w:numPr>
          <w:ilvl w:val="0"/>
          <w:numId w:val="37"/>
        </w:numPr>
        <w:tabs>
          <w:tab w:pos="2057" w:val="left" w:leader="none"/>
        </w:tabs>
        <w:spacing w:line="240" w:lineRule="auto" w:before="0" w:after="0"/>
        <w:ind w:left="2056" w:right="1472" w:hanging="360"/>
        <w:jc w:val="both"/>
        <w:rPr>
          <w:sz w:val="20"/>
        </w:rPr>
      </w:pPr>
      <w:r>
        <w:rPr>
          <w:b/>
          <w:sz w:val="20"/>
        </w:rPr>
        <w:t>Receiving a letter from the Acas Conciliator</w:t>
      </w:r>
      <w:r>
        <w:rPr>
          <w:sz w:val="20"/>
        </w:rPr>
        <w:t>: There was a positive association with the likelihood of post-ET1 conciliation among employers who</w:t>
      </w:r>
      <w:r>
        <w:rPr>
          <w:spacing w:val="-13"/>
          <w:sz w:val="20"/>
        </w:rPr>
        <w:t> </w:t>
      </w:r>
      <w:r>
        <w:rPr>
          <w:sz w:val="20"/>
        </w:rPr>
        <w:t>could</w:t>
      </w:r>
      <w:r>
        <w:rPr>
          <w:spacing w:val="-13"/>
          <w:sz w:val="20"/>
        </w:rPr>
        <w:t> </w:t>
      </w:r>
      <w:r>
        <w:rPr>
          <w:sz w:val="20"/>
        </w:rPr>
        <w:t>not</w:t>
      </w:r>
      <w:r>
        <w:rPr>
          <w:spacing w:val="-11"/>
          <w:sz w:val="20"/>
        </w:rPr>
        <w:t> </w:t>
      </w:r>
      <w:r>
        <w:rPr>
          <w:sz w:val="20"/>
        </w:rPr>
        <w:t>recall</w:t>
      </w:r>
      <w:r>
        <w:rPr>
          <w:spacing w:val="-12"/>
          <w:sz w:val="20"/>
        </w:rPr>
        <w:t> </w:t>
      </w:r>
      <w:r>
        <w:rPr>
          <w:sz w:val="20"/>
        </w:rPr>
        <w:t>if</w:t>
      </w:r>
      <w:r>
        <w:rPr>
          <w:spacing w:val="-11"/>
          <w:sz w:val="20"/>
        </w:rPr>
        <w:t> </w:t>
      </w:r>
      <w:r>
        <w:rPr>
          <w:sz w:val="20"/>
        </w:rPr>
        <w:t>they</w:t>
      </w:r>
      <w:r>
        <w:rPr>
          <w:spacing w:val="-11"/>
          <w:sz w:val="20"/>
        </w:rPr>
        <w:t> </w:t>
      </w:r>
      <w:r>
        <w:rPr>
          <w:sz w:val="20"/>
        </w:rPr>
        <w:t>received</w:t>
      </w:r>
      <w:r>
        <w:rPr>
          <w:spacing w:val="-11"/>
          <w:sz w:val="20"/>
        </w:rPr>
        <w:t> </w:t>
      </w:r>
      <w:r>
        <w:rPr>
          <w:sz w:val="20"/>
        </w:rPr>
        <w:t>a</w:t>
      </w:r>
      <w:r>
        <w:rPr>
          <w:spacing w:val="-13"/>
          <w:sz w:val="20"/>
        </w:rPr>
        <w:t> </w:t>
      </w:r>
      <w:r>
        <w:rPr>
          <w:sz w:val="20"/>
        </w:rPr>
        <w:t>letter</w:t>
      </w:r>
      <w:r>
        <w:rPr>
          <w:spacing w:val="-12"/>
          <w:sz w:val="20"/>
        </w:rPr>
        <w:t> </w:t>
      </w:r>
      <w:r>
        <w:rPr>
          <w:sz w:val="20"/>
        </w:rPr>
        <w:t>from</w:t>
      </w:r>
      <w:r>
        <w:rPr>
          <w:spacing w:val="-12"/>
          <w:sz w:val="20"/>
        </w:rPr>
        <w:t> </w:t>
      </w:r>
      <w:r>
        <w:rPr>
          <w:sz w:val="20"/>
        </w:rPr>
        <w:t>the</w:t>
      </w:r>
      <w:r>
        <w:rPr>
          <w:spacing w:val="-13"/>
          <w:sz w:val="20"/>
        </w:rPr>
        <w:t> </w:t>
      </w:r>
      <w:r>
        <w:rPr>
          <w:sz w:val="20"/>
        </w:rPr>
        <w:t>conciliator</w:t>
      </w:r>
      <w:r>
        <w:rPr>
          <w:spacing w:val="-12"/>
          <w:sz w:val="20"/>
        </w:rPr>
        <w:t> </w:t>
      </w:r>
      <w:r>
        <w:rPr>
          <w:sz w:val="20"/>
        </w:rPr>
        <w:t>saying</w:t>
      </w:r>
      <w:r>
        <w:rPr>
          <w:spacing w:val="-11"/>
          <w:sz w:val="20"/>
        </w:rPr>
        <w:t> </w:t>
      </w:r>
      <w:r>
        <w:rPr>
          <w:sz w:val="20"/>
        </w:rPr>
        <w:t>they would be in touch to resolve the case. The model also revealed an association between those who did recall receiving a letter and a higher likelihood of participation, however it did not meet the threshold for statistical significance. This suggests that both groups are more likely to participate in conciliation than those </w:t>
      </w:r>
      <w:r>
        <w:rPr>
          <w:i/>
          <w:sz w:val="20"/>
        </w:rPr>
        <w:t>not </w:t>
      </w:r>
      <w:r>
        <w:rPr>
          <w:sz w:val="20"/>
        </w:rPr>
        <w:t>receiving a letter from the </w:t>
      </w:r>
      <w:r>
        <w:rPr>
          <w:spacing w:val="-2"/>
          <w:sz w:val="20"/>
        </w:rPr>
        <w:t>conciliator</w:t>
      </w:r>
    </w:p>
    <w:p>
      <w:pPr>
        <w:spacing w:after="0" w:line="240" w:lineRule="auto"/>
        <w:jc w:val="both"/>
        <w:rPr>
          <w:sz w:val="20"/>
        </w:rPr>
        <w:sectPr>
          <w:pgSz w:w="11910" w:h="16840"/>
          <w:pgMar w:header="0" w:footer="996" w:top="1340" w:bottom="1180" w:left="460" w:right="320"/>
        </w:sectPr>
      </w:pPr>
    </w:p>
    <w:p>
      <w:pPr>
        <w:pStyle w:val="Heading3"/>
        <w:spacing w:before="82"/>
      </w:pPr>
      <w:r>
        <w:rPr/>
        <w:t>Figure</w:t>
      </w:r>
      <w:r>
        <w:rPr>
          <w:spacing w:val="-8"/>
        </w:rPr>
        <w:t> </w:t>
      </w:r>
      <w:r>
        <w:rPr/>
        <w:t>27.</w:t>
      </w:r>
      <w:r>
        <w:rPr>
          <w:spacing w:val="-5"/>
        </w:rPr>
        <w:t> </w:t>
      </w:r>
      <w:r>
        <w:rPr/>
        <w:t>Claimant</w:t>
      </w:r>
      <w:r>
        <w:rPr>
          <w:spacing w:val="-4"/>
        </w:rPr>
        <w:t> </w:t>
      </w:r>
      <w:r>
        <w:rPr/>
        <w:t>participant</w:t>
      </w:r>
      <w:r>
        <w:rPr>
          <w:spacing w:val="-4"/>
        </w:rPr>
        <w:t> </w:t>
      </w:r>
      <w:r>
        <w:rPr/>
        <w:t>in</w:t>
      </w:r>
      <w:r>
        <w:rPr>
          <w:spacing w:val="-5"/>
        </w:rPr>
        <w:t> </w:t>
      </w:r>
      <w:r>
        <w:rPr/>
        <w:t>ET</w:t>
      </w:r>
      <w:r>
        <w:rPr>
          <w:spacing w:val="-3"/>
        </w:rPr>
        <w:t> </w:t>
      </w:r>
      <w:r>
        <w:rPr>
          <w:spacing w:val="-2"/>
        </w:rPr>
        <w:t>conciliation</w:t>
      </w:r>
    </w:p>
    <w:p>
      <w:pPr>
        <w:pStyle w:val="BodyText"/>
        <w:spacing w:before="2"/>
        <w:rPr>
          <w:b/>
          <w:sz w:val="8"/>
        </w:rPr>
      </w:pPr>
      <w:r>
        <w:rPr/>
        <w:drawing>
          <wp:anchor distT="0" distB="0" distL="0" distR="0" allowOverlap="1" layoutInCell="1" locked="0" behindDoc="0" simplePos="0" relativeHeight="56">
            <wp:simplePos x="0" y="0"/>
            <wp:positionH relativeFrom="page">
              <wp:posOffset>1388057</wp:posOffset>
            </wp:positionH>
            <wp:positionV relativeFrom="paragraph">
              <wp:posOffset>78362</wp:posOffset>
            </wp:positionV>
            <wp:extent cx="4748250" cy="1860232"/>
            <wp:effectExtent l="0" t="0" r="0" b="0"/>
            <wp:wrapTopAndBottom/>
            <wp:docPr id="85" name="image43.png" descr="Graph showing claimant participant in ET conciliation "/>
            <wp:cNvGraphicFramePr>
              <a:graphicFrameLocks noChangeAspect="1"/>
            </wp:cNvGraphicFramePr>
            <a:graphic>
              <a:graphicData uri="http://schemas.openxmlformats.org/drawingml/2006/picture">
                <pic:pic>
                  <pic:nvPicPr>
                    <pic:cNvPr id="86" name="image43.png"/>
                    <pic:cNvPicPr/>
                  </pic:nvPicPr>
                  <pic:blipFill>
                    <a:blip r:embed="rId56" cstate="print"/>
                    <a:stretch>
                      <a:fillRect/>
                    </a:stretch>
                  </pic:blipFill>
                  <pic:spPr>
                    <a:xfrm>
                      <a:off x="0" y="0"/>
                      <a:ext cx="4748250" cy="1860232"/>
                    </a:xfrm>
                    <a:prstGeom prst="rect">
                      <a:avLst/>
                    </a:prstGeom>
                  </pic:spPr>
                </pic:pic>
              </a:graphicData>
            </a:graphic>
          </wp:anchor>
        </w:drawing>
      </w:r>
    </w:p>
    <w:p>
      <w:pPr>
        <w:pStyle w:val="BodyText"/>
        <w:spacing w:before="8"/>
        <w:rPr>
          <w:b/>
          <w:sz w:val="25"/>
        </w:rPr>
      </w:pPr>
    </w:p>
    <w:p>
      <w:pPr>
        <w:pStyle w:val="BodyText"/>
        <w:spacing w:line="259" w:lineRule="auto"/>
        <w:ind w:left="1337" w:right="1472"/>
        <w:jc w:val="both"/>
      </w:pPr>
      <w:r>
        <w:rPr/>
        <w:t>These models both highlight two key factors behind acceptance of post-ET1 conciliation: previous experience of conciliation through EC earlier in the process, and the importance of an initial letter from the conciliator after the submission of an ET1 form.</w:t>
      </w:r>
    </w:p>
    <w:p>
      <w:pPr>
        <w:spacing w:after="0" w:line="259" w:lineRule="auto"/>
        <w:jc w:val="both"/>
        <w:sectPr>
          <w:pgSz w:w="11910" w:h="16840"/>
          <w:pgMar w:header="0" w:footer="996" w:top="1340" w:bottom="1180" w:left="460" w:right="320"/>
        </w:sectPr>
      </w:pPr>
    </w:p>
    <w:p>
      <w:pPr>
        <w:pStyle w:val="Heading2"/>
        <w:numPr>
          <w:ilvl w:val="0"/>
          <w:numId w:val="2"/>
        </w:numPr>
        <w:tabs>
          <w:tab w:pos="2058" w:val="left" w:leader="none"/>
        </w:tabs>
        <w:spacing w:line="240" w:lineRule="auto" w:before="82" w:after="0"/>
        <w:ind w:left="2057" w:right="0" w:hanging="721"/>
        <w:jc w:val="left"/>
      </w:pPr>
      <w:bookmarkStart w:name="15. THE POST-ET1 CONCILIATION EXPERIENCE" w:id="175"/>
      <w:bookmarkEnd w:id="175"/>
      <w:r>
        <w:rPr>
          <w:b w:val="0"/>
        </w:rPr>
      </w:r>
      <w:bookmarkStart w:name="16." w:id="176"/>
      <w:bookmarkEnd w:id="176"/>
      <w:r>
        <w:rPr>
          <w:b w:val="0"/>
        </w:rPr>
      </w:r>
      <w:bookmarkStart w:name="15." w:id="177"/>
      <w:bookmarkEnd w:id="177"/>
      <w:r>
        <w:rPr>
          <w:b w:val="0"/>
        </w:rPr>
      </w:r>
      <w:bookmarkStart w:name="_bookmark43" w:id="178"/>
      <w:bookmarkEnd w:id="178"/>
      <w:r>
        <w:rPr/>
        <w:t>T</w:t>
      </w:r>
      <w:r>
        <w:rPr/>
        <w:t>HE</w:t>
      </w:r>
      <w:r>
        <w:rPr>
          <w:spacing w:val="-17"/>
        </w:rPr>
        <w:t> </w:t>
      </w:r>
      <w:r>
        <w:rPr/>
        <w:t>POST-ET1</w:t>
      </w:r>
      <w:r>
        <w:rPr>
          <w:spacing w:val="-16"/>
        </w:rPr>
        <w:t> </w:t>
      </w:r>
      <w:r>
        <w:rPr/>
        <w:t>CONCILIATION</w:t>
      </w:r>
      <w:r>
        <w:rPr>
          <w:spacing w:val="-16"/>
        </w:rPr>
        <w:t> </w:t>
      </w:r>
      <w:r>
        <w:rPr>
          <w:spacing w:val="-2"/>
        </w:rPr>
        <w:t>EXPERIENCE</w:t>
      </w:r>
    </w:p>
    <w:p>
      <w:pPr>
        <w:pStyle w:val="BodyText"/>
        <w:rPr>
          <w:b/>
          <w:sz w:val="34"/>
        </w:rPr>
      </w:pPr>
    </w:p>
    <w:p>
      <w:pPr>
        <w:pStyle w:val="BodyText"/>
        <w:spacing w:before="4"/>
        <w:rPr>
          <w:b/>
          <w:sz w:val="37"/>
        </w:rPr>
      </w:pPr>
    </w:p>
    <w:p>
      <w:pPr>
        <w:pStyle w:val="BodyText"/>
        <w:ind w:left="1337" w:right="1474"/>
        <w:jc w:val="both"/>
      </w:pPr>
      <w:r>
        <w:rPr>
          <w:b/>
        </w:rPr>
        <w:t>Synopsis: </w:t>
      </w:r>
      <w:r>
        <w:rPr/>
        <w:t>This chapter explores users’ experiences of post-ET1 conciliation, including contact with and perceptions of the Acas conciliator, as well as overall satisfaction with the conciliation process.</w:t>
      </w:r>
    </w:p>
    <w:p>
      <w:pPr>
        <w:pStyle w:val="BodyText"/>
        <w:spacing w:before="11"/>
        <w:rPr>
          <w:sz w:val="17"/>
        </w:rPr>
      </w:pPr>
      <w:r>
        <w:rPr/>
        <w:pict>
          <v:shape style="position:absolute;margin-left:85.380501pt;margin-top:12.871103pt;width:459pt;height:293.25pt;mso-position-horizontal-relative:page;mso-position-vertical-relative:paragraph;z-index:-15699456;mso-wrap-distance-left:0;mso-wrap-distance-right:0" type="#_x0000_t202" id="docshape55" filled="true" fillcolor="#f1f1f1" stroked="true" strokeweight="1.441pt" strokecolor="#000000">
            <v:textbox inset="0,0,0,0">
              <w:txbxContent>
                <w:p>
                  <w:pPr>
                    <w:pStyle w:val="BodyText"/>
                    <w:rPr>
                      <w:color w:val="000000"/>
                    </w:rPr>
                  </w:pPr>
                </w:p>
                <w:p>
                  <w:pPr>
                    <w:spacing w:before="0"/>
                    <w:ind w:left="183" w:right="0" w:firstLine="0"/>
                    <w:jc w:val="left"/>
                    <w:rPr>
                      <w:b/>
                      <w:color w:val="000000"/>
                      <w:sz w:val="20"/>
                    </w:rPr>
                  </w:pPr>
                  <w:r>
                    <w:rPr>
                      <w:b/>
                      <w:color w:val="000000"/>
                      <w:sz w:val="20"/>
                    </w:rPr>
                    <w:t>Key</w:t>
                  </w:r>
                  <w:r>
                    <w:rPr>
                      <w:b/>
                      <w:color w:val="000000"/>
                      <w:spacing w:val="-2"/>
                      <w:sz w:val="20"/>
                    </w:rPr>
                    <w:t> </w:t>
                  </w:r>
                  <w:r>
                    <w:rPr>
                      <w:b/>
                      <w:color w:val="000000"/>
                      <w:sz w:val="20"/>
                    </w:rPr>
                    <w:t>trends</w:t>
                  </w:r>
                  <w:r>
                    <w:rPr>
                      <w:b/>
                      <w:color w:val="000000"/>
                      <w:spacing w:val="-3"/>
                      <w:sz w:val="20"/>
                    </w:rPr>
                    <w:t> </w:t>
                  </w:r>
                  <w:r>
                    <w:rPr>
                      <w:b/>
                      <w:color w:val="000000"/>
                      <w:sz w:val="20"/>
                    </w:rPr>
                    <w:t>at</w:t>
                  </w:r>
                  <w:r>
                    <w:rPr>
                      <w:b/>
                      <w:color w:val="000000"/>
                      <w:spacing w:val="-2"/>
                      <w:sz w:val="20"/>
                    </w:rPr>
                    <w:t> </w:t>
                  </w:r>
                  <w:r>
                    <w:rPr>
                      <w:b/>
                      <w:color w:val="000000"/>
                      <w:sz w:val="20"/>
                    </w:rPr>
                    <w:t>a</w:t>
                  </w:r>
                  <w:r>
                    <w:rPr>
                      <w:b/>
                      <w:color w:val="000000"/>
                      <w:spacing w:val="-2"/>
                      <w:sz w:val="20"/>
                    </w:rPr>
                    <w:t> glance</w:t>
                  </w:r>
                </w:p>
                <w:p>
                  <w:pPr>
                    <w:pStyle w:val="BodyText"/>
                    <w:spacing w:before="1"/>
                    <w:rPr>
                      <w:b/>
                      <w:color w:val="000000"/>
                    </w:rPr>
                  </w:pPr>
                </w:p>
                <w:p>
                  <w:pPr>
                    <w:pStyle w:val="BodyText"/>
                    <w:numPr>
                      <w:ilvl w:val="0"/>
                      <w:numId w:val="38"/>
                    </w:numPr>
                    <w:tabs>
                      <w:tab w:pos="814" w:val="left" w:leader="none"/>
                    </w:tabs>
                    <w:spacing w:line="240" w:lineRule="auto" w:before="0" w:after="0"/>
                    <w:ind w:left="813" w:right="89" w:hanging="360"/>
                    <w:jc w:val="both"/>
                    <w:rPr>
                      <w:color w:val="000000"/>
                    </w:rPr>
                  </w:pPr>
                  <w:r>
                    <w:rPr>
                      <w:color w:val="000000"/>
                    </w:rPr>
                    <w:t>Telephone remained participants’ primary method of communication with the conciliator,</w:t>
                  </w:r>
                  <w:r>
                    <w:rPr>
                      <w:color w:val="000000"/>
                      <w:spacing w:val="-6"/>
                    </w:rPr>
                    <w:t> </w:t>
                  </w:r>
                  <w:r>
                    <w:rPr>
                      <w:color w:val="000000"/>
                    </w:rPr>
                    <w:t>although</w:t>
                  </w:r>
                  <w:r>
                    <w:rPr>
                      <w:color w:val="000000"/>
                      <w:spacing w:val="-6"/>
                    </w:rPr>
                    <w:t> </w:t>
                  </w:r>
                  <w:r>
                    <w:rPr>
                      <w:color w:val="000000"/>
                    </w:rPr>
                    <w:t>email</w:t>
                  </w:r>
                  <w:r>
                    <w:rPr>
                      <w:color w:val="000000"/>
                      <w:spacing w:val="-8"/>
                    </w:rPr>
                    <w:t> </w:t>
                  </w:r>
                  <w:r>
                    <w:rPr>
                      <w:color w:val="000000"/>
                    </w:rPr>
                    <w:t>use</w:t>
                  </w:r>
                  <w:r>
                    <w:rPr>
                      <w:color w:val="000000"/>
                      <w:spacing w:val="-7"/>
                    </w:rPr>
                    <w:t> </w:t>
                  </w:r>
                  <w:r>
                    <w:rPr>
                      <w:color w:val="000000"/>
                    </w:rPr>
                    <w:t>has</w:t>
                  </w:r>
                  <w:r>
                    <w:rPr>
                      <w:color w:val="000000"/>
                      <w:spacing w:val="-7"/>
                    </w:rPr>
                    <w:t> </w:t>
                  </w:r>
                  <w:r>
                    <w:rPr>
                      <w:color w:val="000000"/>
                    </w:rPr>
                    <w:t>risen</w:t>
                  </w:r>
                  <w:r>
                    <w:rPr>
                      <w:color w:val="000000"/>
                      <w:spacing w:val="-6"/>
                    </w:rPr>
                    <w:t> </w:t>
                  </w:r>
                  <w:r>
                    <w:rPr>
                      <w:color w:val="000000"/>
                    </w:rPr>
                    <w:t>significantly</w:t>
                  </w:r>
                  <w:r>
                    <w:rPr>
                      <w:color w:val="000000"/>
                      <w:spacing w:val="-6"/>
                    </w:rPr>
                    <w:t> </w:t>
                  </w:r>
                  <w:r>
                    <w:rPr>
                      <w:color w:val="000000"/>
                    </w:rPr>
                    <w:t>since</w:t>
                  </w:r>
                  <w:r>
                    <w:rPr>
                      <w:color w:val="000000"/>
                      <w:spacing w:val="-7"/>
                    </w:rPr>
                    <w:t> </w:t>
                  </w:r>
                  <w:r>
                    <w:rPr>
                      <w:color w:val="000000"/>
                    </w:rPr>
                    <w:t>2016</w:t>
                  </w:r>
                  <w:r>
                    <w:rPr>
                      <w:color w:val="000000"/>
                      <w:spacing w:val="-7"/>
                    </w:rPr>
                    <w:t> </w:t>
                  </w:r>
                  <w:r>
                    <w:rPr>
                      <w:color w:val="000000"/>
                    </w:rPr>
                    <w:t>and</w:t>
                  </w:r>
                  <w:r>
                    <w:rPr>
                      <w:color w:val="000000"/>
                      <w:spacing w:val="-8"/>
                    </w:rPr>
                    <w:t> </w:t>
                  </w:r>
                  <w:r>
                    <w:rPr>
                      <w:color w:val="000000"/>
                    </w:rPr>
                    <w:t>is</w:t>
                  </w:r>
                  <w:r>
                    <w:rPr>
                      <w:color w:val="000000"/>
                      <w:spacing w:val="-7"/>
                    </w:rPr>
                    <w:t> </w:t>
                  </w:r>
                  <w:r>
                    <w:rPr>
                      <w:color w:val="000000"/>
                    </w:rPr>
                    <w:t>higher</w:t>
                  </w:r>
                  <w:r>
                    <w:rPr>
                      <w:color w:val="000000"/>
                      <w:spacing w:val="-7"/>
                    </w:rPr>
                    <w:t> </w:t>
                  </w:r>
                  <w:r>
                    <w:rPr>
                      <w:color w:val="000000"/>
                    </w:rPr>
                    <w:t>still among representatives.</w:t>
                  </w:r>
                </w:p>
                <w:p>
                  <w:pPr>
                    <w:pStyle w:val="BodyText"/>
                    <w:numPr>
                      <w:ilvl w:val="0"/>
                      <w:numId w:val="38"/>
                    </w:numPr>
                    <w:tabs>
                      <w:tab w:pos="814" w:val="left" w:leader="none"/>
                    </w:tabs>
                    <w:spacing w:line="240" w:lineRule="auto" w:before="0" w:after="0"/>
                    <w:ind w:left="813" w:right="90" w:hanging="360"/>
                    <w:jc w:val="both"/>
                    <w:rPr>
                      <w:color w:val="000000"/>
                    </w:rPr>
                  </w:pPr>
                  <w:r>
                    <w:rPr>
                      <w:color w:val="000000"/>
                    </w:rPr>
                    <w:t>A majority of those who took part in post-ET1 conciliation felt that the level of contact they had experienced was about right. Both sides agreed that the conciliator was usually available when needed.</w:t>
                  </w:r>
                </w:p>
                <w:p>
                  <w:pPr>
                    <w:pStyle w:val="BodyText"/>
                    <w:numPr>
                      <w:ilvl w:val="0"/>
                      <w:numId w:val="38"/>
                    </w:numPr>
                    <w:tabs>
                      <w:tab w:pos="814" w:val="left" w:leader="none"/>
                    </w:tabs>
                    <w:spacing w:line="240" w:lineRule="auto" w:before="0" w:after="0"/>
                    <w:ind w:left="813" w:right="89" w:hanging="360"/>
                    <w:jc w:val="both"/>
                    <w:rPr>
                      <w:color w:val="000000"/>
                    </w:rPr>
                  </w:pPr>
                  <w:r>
                    <w:rPr>
                      <w:color w:val="000000"/>
                    </w:rPr>
                    <w:t>Ratings of the Acas conciliator remained largely positive across claimant and employer-side</w:t>
                  </w:r>
                  <w:r>
                    <w:rPr>
                      <w:color w:val="000000"/>
                      <w:spacing w:val="-12"/>
                    </w:rPr>
                    <w:t> </w:t>
                  </w:r>
                  <w:r>
                    <w:rPr>
                      <w:color w:val="000000"/>
                    </w:rPr>
                    <w:t>participants</w:t>
                  </w:r>
                  <w:r>
                    <w:rPr>
                      <w:color w:val="000000"/>
                      <w:spacing w:val="-12"/>
                    </w:rPr>
                    <w:t> </w:t>
                  </w:r>
                  <w:r>
                    <w:rPr>
                      <w:color w:val="000000"/>
                    </w:rPr>
                    <w:t>who</w:t>
                  </w:r>
                  <w:r>
                    <w:rPr>
                      <w:color w:val="000000"/>
                      <w:spacing w:val="-13"/>
                    </w:rPr>
                    <w:t> </w:t>
                  </w:r>
                  <w:r>
                    <w:rPr>
                      <w:color w:val="000000"/>
                    </w:rPr>
                    <w:t>had</w:t>
                  </w:r>
                  <w:r>
                    <w:rPr>
                      <w:color w:val="000000"/>
                      <w:spacing w:val="-12"/>
                    </w:rPr>
                    <w:t> </w:t>
                  </w:r>
                  <w:r>
                    <w:rPr>
                      <w:color w:val="000000"/>
                    </w:rPr>
                    <w:t>taken</w:t>
                  </w:r>
                  <w:r>
                    <w:rPr>
                      <w:color w:val="000000"/>
                      <w:spacing w:val="-12"/>
                    </w:rPr>
                    <w:t> </w:t>
                  </w:r>
                  <w:r>
                    <w:rPr>
                      <w:color w:val="000000"/>
                    </w:rPr>
                    <w:t>part</w:t>
                  </w:r>
                  <w:r>
                    <w:rPr>
                      <w:color w:val="000000"/>
                      <w:spacing w:val="-12"/>
                    </w:rPr>
                    <w:t> </w:t>
                  </w:r>
                  <w:r>
                    <w:rPr>
                      <w:color w:val="000000"/>
                    </w:rPr>
                    <w:t>in</w:t>
                  </w:r>
                  <w:r>
                    <w:rPr>
                      <w:color w:val="000000"/>
                      <w:spacing w:val="-11"/>
                    </w:rPr>
                    <w:t> </w:t>
                  </w:r>
                  <w:r>
                    <w:rPr>
                      <w:color w:val="000000"/>
                    </w:rPr>
                    <w:t>conciliation.</w:t>
                  </w:r>
                  <w:r>
                    <w:rPr>
                      <w:color w:val="000000"/>
                      <w:spacing w:val="-12"/>
                    </w:rPr>
                    <w:t> </w:t>
                  </w:r>
                  <w:r>
                    <w:rPr>
                      <w:color w:val="000000"/>
                    </w:rPr>
                    <w:t>Claimants</w:t>
                  </w:r>
                  <w:r>
                    <w:rPr>
                      <w:color w:val="000000"/>
                      <w:spacing w:val="-11"/>
                    </w:rPr>
                    <w:t> </w:t>
                  </w:r>
                  <w:r>
                    <w:rPr>
                      <w:color w:val="000000"/>
                    </w:rPr>
                    <w:t>remained the audience most likely to rate the conciliator positively across attributes while representatives were more likely to report that the conciliator ‘did not do this’ – perhaps reflecting this group’s greater experience and lesser requirements for </w:t>
                  </w:r>
                  <w:r>
                    <w:rPr>
                      <w:color w:val="000000"/>
                      <w:spacing w:val="-2"/>
                    </w:rPr>
                    <w:t>support.</w:t>
                  </w:r>
                </w:p>
                <w:p>
                  <w:pPr>
                    <w:pStyle w:val="BodyText"/>
                    <w:numPr>
                      <w:ilvl w:val="0"/>
                      <w:numId w:val="38"/>
                    </w:numPr>
                    <w:tabs>
                      <w:tab w:pos="814" w:val="left" w:leader="none"/>
                    </w:tabs>
                    <w:spacing w:line="240" w:lineRule="auto" w:before="0" w:after="0"/>
                    <w:ind w:left="813" w:right="90" w:hanging="360"/>
                    <w:jc w:val="both"/>
                    <w:rPr>
                      <w:color w:val="000000"/>
                    </w:rPr>
                  </w:pPr>
                  <w:r>
                    <w:rPr>
                      <w:color w:val="000000"/>
                    </w:rPr>
                    <w:t>There</w:t>
                  </w:r>
                  <w:r>
                    <w:rPr>
                      <w:color w:val="000000"/>
                      <w:spacing w:val="-14"/>
                    </w:rPr>
                    <w:t> </w:t>
                  </w:r>
                  <w:r>
                    <w:rPr>
                      <w:color w:val="000000"/>
                    </w:rPr>
                    <w:t>have</w:t>
                  </w:r>
                  <w:r>
                    <w:rPr>
                      <w:color w:val="000000"/>
                      <w:spacing w:val="-16"/>
                    </w:rPr>
                    <w:t> </w:t>
                  </w:r>
                  <w:r>
                    <w:rPr>
                      <w:color w:val="000000"/>
                    </w:rPr>
                    <w:t>been</w:t>
                  </w:r>
                  <w:r>
                    <w:rPr>
                      <w:color w:val="000000"/>
                      <w:spacing w:val="-13"/>
                    </w:rPr>
                    <w:t> </w:t>
                  </w:r>
                  <w:r>
                    <w:rPr>
                      <w:color w:val="000000"/>
                    </w:rPr>
                    <w:t>a</w:t>
                  </w:r>
                  <w:r>
                    <w:rPr>
                      <w:color w:val="000000"/>
                      <w:spacing w:val="-14"/>
                    </w:rPr>
                    <w:t> </w:t>
                  </w:r>
                  <w:r>
                    <w:rPr>
                      <w:color w:val="000000"/>
                    </w:rPr>
                    <w:t>number</w:t>
                  </w:r>
                  <w:r>
                    <w:rPr>
                      <w:color w:val="000000"/>
                      <w:spacing w:val="-14"/>
                    </w:rPr>
                    <w:t> </w:t>
                  </w:r>
                  <w:r>
                    <w:rPr>
                      <w:color w:val="000000"/>
                    </w:rPr>
                    <w:t>of</w:t>
                  </w:r>
                  <w:r>
                    <w:rPr>
                      <w:color w:val="000000"/>
                      <w:spacing w:val="-13"/>
                    </w:rPr>
                    <w:t> </w:t>
                  </w:r>
                  <w:r>
                    <w:rPr>
                      <w:color w:val="000000"/>
                    </w:rPr>
                    <w:t>significant,</w:t>
                  </w:r>
                  <w:r>
                    <w:rPr>
                      <w:color w:val="000000"/>
                      <w:spacing w:val="-13"/>
                    </w:rPr>
                    <w:t> </w:t>
                  </w:r>
                  <w:r>
                    <w:rPr>
                      <w:color w:val="000000"/>
                    </w:rPr>
                    <w:t>positive,</w:t>
                  </w:r>
                  <w:r>
                    <w:rPr>
                      <w:color w:val="000000"/>
                      <w:spacing w:val="-13"/>
                    </w:rPr>
                    <w:t> </w:t>
                  </w:r>
                  <w:r>
                    <w:rPr>
                      <w:color w:val="000000"/>
                    </w:rPr>
                    <w:t>shifts</w:t>
                  </w:r>
                  <w:r>
                    <w:rPr>
                      <w:color w:val="000000"/>
                      <w:spacing w:val="-14"/>
                    </w:rPr>
                    <w:t> </w:t>
                  </w:r>
                  <w:r>
                    <w:rPr>
                      <w:color w:val="000000"/>
                    </w:rPr>
                    <w:t>in</w:t>
                  </w:r>
                  <w:r>
                    <w:rPr>
                      <w:color w:val="000000"/>
                      <w:spacing w:val="-15"/>
                    </w:rPr>
                    <w:t> </w:t>
                  </w:r>
                  <w:r>
                    <w:rPr>
                      <w:color w:val="000000"/>
                    </w:rPr>
                    <w:t>conciliator</w:t>
                  </w:r>
                  <w:r>
                    <w:rPr>
                      <w:color w:val="000000"/>
                      <w:spacing w:val="-14"/>
                    </w:rPr>
                    <w:t> </w:t>
                  </w:r>
                  <w:r>
                    <w:rPr>
                      <w:color w:val="000000"/>
                    </w:rPr>
                    <w:t>ratings</w:t>
                  </w:r>
                  <w:r>
                    <w:rPr>
                      <w:color w:val="000000"/>
                      <w:spacing w:val="-14"/>
                    </w:rPr>
                    <w:t> </w:t>
                  </w:r>
                  <w:r>
                    <w:rPr>
                      <w:color w:val="000000"/>
                    </w:rPr>
                    <w:t>since 2016 – particularly among claimants. This may reflect a reversion from lower results recorded in the past wave or the impact of changes to the service user profile such as a lower proportion of representatives and higher volumes of fast track cases.</w:t>
                  </w:r>
                </w:p>
                <w:p>
                  <w:pPr>
                    <w:pStyle w:val="BodyText"/>
                    <w:numPr>
                      <w:ilvl w:val="0"/>
                      <w:numId w:val="38"/>
                    </w:numPr>
                    <w:tabs>
                      <w:tab w:pos="814" w:val="left" w:leader="none"/>
                    </w:tabs>
                    <w:spacing w:line="240" w:lineRule="auto" w:before="0" w:after="0"/>
                    <w:ind w:left="813" w:right="89" w:hanging="360"/>
                    <w:jc w:val="both"/>
                    <w:rPr>
                      <w:color w:val="000000"/>
                    </w:rPr>
                  </w:pPr>
                  <w:r>
                    <w:rPr>
                      <w:color w:val="000000"/>
                    </w:rPr>
                    <w:t>Large</w:t>
                  </w:r>
                  <w:r>
                    <w:rPr>
                      <w:color w:val="000000"/>
                      <w:spacing w:val="-2"/>
                    </w:rPr>
                    <w:t> </w:t>
                  </w:r>
                  <w:r>
                    <w:rPr>
                      <w:color w:val="000000"/>
                    </w:rPr>
                    <w:t>majorities</w:t>
                  </w:r>
                  <w:r>
                    <w:rPr>
                      <w:color w:val="000000"/>
                      <w:spacing w:val="-2"/>
                    </w:rPr>
                    <w:t> </w:t>
                  </w:r>
                  <w:r>
                    <w:rPr>
                      <w:color w:val="000000"/>
                    </w:rPr>
                    <w:t>of</w:t>
                  </w:r>
                  <w:r>
                    <w:rPr>
                      <w:color w:val="000000"/>
                      <w:spacing w:val="-1"/>
                    </w:rPr>
                    <w:t> </w:t>
                  </w:r>
                  <w:r>
                    <w:rPr>
                      <w:color w:val="000000"/>
                    </w:rPr>
                    <w:t>both</w:t>
                  </w:r>
                  <w:r>
                    <w:rPr>
                      <w:color w:val="000000"/>
                      <w:spacing w:val="-1"/>
                    </w:rPr>
                    <w:t> </w:t>
                  </w:r>
                  <w:r>
                    <w:rPr>
                      <w:color w:val="000000"/>
                    </w:rPr>
                    <w:t>claimants</w:t>
                  </w:r>
                  <w:r>
                    <w:rPr>
                      <w:color w:val="000000"/>
                      <w:spacing w:val="-2"/>
                    </w:rPr>
                    <w:t> </w:t>
                  </w:r>
                  <w:r>
                    <w:rPr>
                      <w:color w:val="000000"/>
                    </w:rPr>
                    <w:t>and</w:t>
                  </w:r>
                  <w:r>
                    <w:rPr>
                      <w:color w:val="000000"/>
                      <w:spacing w:val="-2"/>
                    </w:rPr>
                    <w:t> </w:t>
                  </w:r>
                  <w:r>
                    <w:rPr>
                      <w:color w:val="000000"/>
                    </w:rPr>
                    <w:t>respondents</w:t>
                  </w:r>
                  <w:r>
                    <w:rPr>
                      <w:color w:val="000000"/>
                      <w:spacing w:val="-2"/>
                    </w:rPr>
                    <w:t> </w:t>
                  </w:r>
                  <w:r>
                    <w:rPr>
                      <w:color w:val="000000"/>
                    </w:rPr>
                    <w:t>reported</w:t>
                  </w:r>
                  <w:r>
                    <w:rPr>
                      <w:color w:val="000000"/>
                      <w:spacing w:val="-2"/>
                    </w:rPr>
                    <w:t> </w:t>
                  </w:r>
                  <w:r>
                    <w:rPr>
                      <w:color w:val="000000"/>
                    </w:rPr>
                    <w:t>satisfaction</w:t>
                  </w:r>
                  <w:r>
                    <w:rPr>
                      <w:color w:val="000000"/>
                      <w:spacing w:val="-1"/>
                    </w:rPr>
                    <w:t> </w:t>
                  </w:r>
                  <w:r>
                    <w:rPr>
                      <w:color w:val="000000"/>
                    </w:rPr>
                    <w:t>with</w:t>
                  </w:r>
                  <w:r>
                    <w:rPr>
                      <w:color w:val="000000"/>
                      <w:spacing w:val="-2"/>
                    </w:rPr>
                    <w:t> </w:t>
                  </w:r>
                  <w:r>
                    <w:rPr>
                      <w:color w:val="000000"/>
                    </w:rPr>
                    <w:t>the service</w:t>
                  </w:r>
                  <w:r>
                    <w:rPr>
                      <w:color w:val="000000"/>
                      <w:spacing w:val="-18"/>
                    </w:rPr>
                    <w:t> </w:t>
                  </w:r>
                  <w:r>
                    <w:rPr>
                      <w:color w:val="000000"/>
                    </w:rPr>
                    <w:t>provided</w:t>
                  </w:r>
                  <w:r>
                    <w:rPr>
                      <w:color w:val="000000"/>
                      <w:spacing w:val="-16"/>
                    </w:rPr>
                    <w:t> </w:t>
                  </w:r>
                  <w:r>
                    <w:rPr>
                      <w:color w:val="000000"/>
                    </w:rPr>
                    <w:t>by</w:t>
                  </w:r>
                  <w:r>
                    <w:rPr>
                      <w:color w:val="000000"/>
                      <w:spacing w:val="-17"/>
                    </w:rPr>
                    <w:t> </w:t>
                  </w:r>
                  <w:r>
                    <w:rPr>
                      <w:color w:val="000000"/>
                    </w:rPr>
                    <w:t>Acas,</w:t>
                  </w:r>
                  <w:r>
                    <w:rPr>
                      <w:color w:val="000000"/>
                      <w:spacing w:val="-17"/>
                    </w:rPr>
                    <w:t> </w:t>
                  </w:r>
                  <w:r>
                    <w:rPr>
                      <w:color w:val="000000"/>
                    </w:rPr>
                    <w:t>including</w:t>
                  </w:r>
                  <w:r>
                    <w:rPr>
                      <w:color w:val="000000"/>
                      <w:spacing w:val="-17"/>
                    </w:rPr>
                    <w:t> </w:t>
                  </w:r>
                  <w:r>
                    <w:rPr>
                      <w:color w:val="000000"/>
                    </w:rPr>
                    <w:t>majorities</w:t>
                  </w:r>
                  <w:r>
                    <w:rPr>
                      <w:color w:val="000000"/>
                      <w:spacing w:val="-17"/>
                    </w:rPr>
                    <w:t> </w:t>
                  </w:r>
                  <w:r>
                    <w:rPr>
                      <w:color w:val="000000"/>
                    </w:rPr>
                    <w:t>of</w:t>
                  </w:r>
                  <w:r>
                    <w:rPr>
                      <w:color w:val="000000"/>
                      <w:spacing w:val="-17"/>
                    </w:rPr>
                    <w:t> </w:t>
                  </w:r>
                  <w:r>
                    <w:rPr>
                      <w:color w:val="000000"/>
                    </w:rPr>
                    <w:t>those</w:t>
                  </w:r>
                  <w:r>
                    <w:rPr>
                      <w:color w:val="000000"/>
                      <w:spacing w:val="-18"/>
                    </w:rPr>
                    <w:t> </w:t>
                  </w:r>
                  <w:r>
                    <w:rPr>
                      <w:color w:val="000000"/>
                    </w:rPr>
                    <w:t>who</w:t>
                  </w:r>
                  <w:r>
                    <w:rPr>
                      <w:color w:val="000000"/>
                      <w:spacing w:val="-18"/>
                    </w:rPr>
                    <w:t> </w:t>
                  </w:r>
                  <w:r>
                    <w:rPr>
                      <w:color w:val="000000"/>
                    </w:rPr>
                    <w:t>did</w:t>
                  </w:r>
                  <w:r>
                    <w:rPr>
                      <w:color w:val="000000"/>
                      <w:spacing w:val="-16"/>
                    </w:rPr>
                    <w:t> </w:t>
                  </w:r>
                  <w:r>
                    <w:rPr>
                      <w:color w:val="000000"/>
                    </w:rPr>
                    <w:t>not</w:t>
                  </w:r>
                  <w:r>
                    <w:rPr>
                      <w:color w:val="000000"/>
                      <w:spacing w:val="-17"/>
                    </w:rPr>
                    <w:t> </w:t>
                  </w:r>
                  <w:r>
                    <w:rPr>
                      <w:color w:val="000000"/>
                    </w:rPr>
                    <w:t>settle</w:t>
                  </w:r>
                  <w:r>
                    <w:rPr>
                      <w:color w:val="000000"/>
                      <w:spacing w:val="-18"/>
                    </w:rPr>
                    <w:t> </w:t>
                  </w:r>
                  <w:r>
                    <w:rPr>
                      <w:color w:val="000000"/>
                    </w:rPr>
                    <w:t>their</w:t>
                  </w:r>
                  <w:r>
                    <w:rPr>
                      <w:color w:val="000000"/>
                      <w:spacing w:val="-17"/>
                    </w:rPr>
                    <w:t> </w:t>
                  </w:r>
                  <w:r>
                    <w:rPr>
                      <w:color w:val="000000"/>
                    </w:rPr>
                    <w:t>case in conciliation.</w:t>
                  </w:r>
                </w:p>
              </w:txbxContent>
            </v:textbox>
            <v:fill type="solid"/>
            <v:stroke linestyle="thinThin" dashstyle="solid"/>
            <w10:wrap type="topAndBottom"/>
          </v:shape>
        </w:pict>
      </w:r>
    </w:p>
    <w:p>
      <w:pPr>
        <w:pStyle w:val="BodyText"/>
      </w:pPr>
    </w:p>
    <w:p>
      <w:pPr>
        <w:pStyle w:val="BodyText"/>
        <w:spacing w:before="3"/>
        <w:rPr>
          <w:sz w:val="21"/>
        </w:rPr>
      </w:pPr>
    </w:p>
    <w:p>
      <w:pPr>
        <w:pStyle w:val="Heading3"/>
        <w:numPr>
          <w:ilvl w:val="1"/>
          <w:numId w:val="2"/>
        </w:numPr>
        <w:tabs>
          <w:tab w:pos="1974" w:val="left" w:leader="none"/>
        </w:tabs>
        <w:spacing w:line="240" w:lineRule="auto" w:before="0" w:after="0"/>
        <w:ind w:left="1973" w:right="0" w:hanging="637"/>
        <w:jc w:val="both"/>
      </w:pPr>
      <w:bookmarkStart w:name="15.1  Contact with the conciliator" w:id="179"/>
      <w:bookmarkEnd w:id="179"/>
      <w:r>
        <w:rPr>
          <w:b w:val="0"/>
        </w:rPr>
      </w:r>
      <w:bookmarkStart w:name="_bookmark44" w:id="180"/>
      <w:bookmarkEnd w:id="180"/>
      <w:r>
        <w:rPr/>
        <w:t>Con</w:t>
      </w:r>
      <w:r>
        <w:rPr/>
        <w:t>tact</w:t>
      </w:r>
      <w:r>
        <w:rPr>
          <w:spacing w:val="-5"/>
        </w:rPr>
        <w:t> </w:t>
      </w:r>
      <w:r>
        <w:rPr/>
        <w:t>with</w:t>
      </w:r>
      <w:r>
        <w:rPr>
          <w:spacing w:val="-2"/>
        </w:rPr>
        <w:t> </w:t>
      </w:r>
      <w:r>
        <w:rPr/>
        <w:t>the</w:t>
      </w:r>
      <w:r>
        <w:rPr>
          <w:spacing w:val="-2"/>
        </w:rPr>
        <w:t> conciliator</w:t>
      </w:r>
    </w:p>
    <w:p>
      <w:pPr>
        <w:pStyle w:val="BodyText"/>
        <w:spacing w:before="119"/>
        <w:ind w:left="1337" w:right="1472"/>
        <w:jc w:val="both"/>
        <w:rPr>
          <w:sz w:val="13"/>
        </w:rPr>
      </w:pPr>
      <w:r>
        <w:rPr/>
        <w:t>Both claimant and employer-side participants who had contact with a conciliator after</w:t>
      </w:r>
      <w:r>
        <w:rPr>
          <w:spacing w:val="-11"/>
        </w:rPr>
        <w:t> </w:t>
      </w:r>
      <w:r>
        <w:rPr/>
        <w:t>an</w:t>
      </w:r>
      <w:r>
        <w:rPr>
          <w:spacing w:val="-11"/>
        </w:rPr>
        <w:t> </w:t>
      </w:r>
      <w:r>
        <w:rPr/>
        <w:t>ET</w:t>
      </w:r>
      <w:r>
        <w:rPr>
          <w:spacing w:val="-13"/>
        </w:rPr>
        <w:t> </w:t>
      </w:r>
      <w:r>
        <w:rPr/>
        <w:t>claim</w:t>
      </w:r>
      <w:r>
        <w:rPr>
          <w:spacing w:val="-11"/>
        </w:rPr>
        <w:t> </w:t>
      </w:r>
      <w:r>
        <w:rPr/>
        <w:t>was</w:t>
      </w:r>
      <w:r>
        <w:rPr>
          <w:spacing w:val="-10"/>
        </w:rPr>
        <w:t> </w:t>
      </w:r>
      <w:r>
        <w:rPr/>
        <w:t>submitted</w:t>
      </w:r>
      <w:r>
        <w:rPr>
          <w:spacing w:val="-11"/>
        </w:rPr>
        <w:t> </w:t>
      </w:r>
      <w:r>
        <w:rPr/>
        <w:t>were</w:t>
      </w:r>
      <w:r>
        <w:rPr>
          <w:spacing w:val="-11"/>
        </w:rPr>
        <w:t> </w:t>
      </w:r>
      <w:r>
        <w:rPr/>
        <w:t>asked</w:t>
      </w:r>
      <w:r>
        <w:rPr>
          <w:spacing w:val="-10"/>
        </w:rPr>
        <w:t> </w:t>
      </w:r>
      <w:r>
        <w:rPr/>
        <w:t>about</w:t>
      </w:r>
      <w:r>
        <w:rPr>
          <w:spacing w:val="-11"/>
        </w:rPr>
        <w:t> </w:t>
      </w:r>
      <w:r>
        <w:rPr/>
        <w:t>this</w:t>
      </w:r>
      <w:r>
        <w:rPr>
          <w:spacing w:val="-10"/>
        </w:rPr>
        <w:t> </w:t>
      </w:r>
      <w:r>
        <w:rPr/>
        <w:t>contact</w:t>
      </w:r>
      <w:r>
        <w:rPr>
          <w:spacing w:val="-11"/>
        </w:rPr>
        <w:t> </w:t>
      </w:r>
      <w:r>
        <w:rPr/>
        <w:t>and</w:t>
      </w:r>
      <w:r>
        <w:rPr>
          <w:spacing w:val="-11"/>
        </w:rPr>
        <w:t> </w:t>
      </w:r>
      <w:r>
        <w:rPr/>
        <w:t>their</w:t>
      </w:r>
      <w:r>
        <w:rPr>
          <w:spacing w:val="-12"/>
        </w:rPr>
        <w:t> </w:t>
      </w:r>
      <w:r>
        <w:rPr/>
        <w:t>conciliator experience in general. As participants can struggle to differentiate between the different</w:t>
      </w:r>
      <w:r>
        <w:rPr>
          <w:spacing w:val="-2"/>
        </w:rPr>
        <w:t> </w:t>
      </w:r>
      <w:r>
        <w:rPr/>
        <w:t>stages</w:t>
      </w:r>
      <w:r>
        <w:rPr>
          <w:spacing w:val="-2"/>
        </w:rPr>
        <w:t> </w:t>
      </w:r>
      <w:r>
        <w:rPr/>
        <w:t>of</w:t>
      </w:r>
      <w:r>
        <w:rPr>
          <w:spacing w:val="-3"/>
        </w:rPr>
        <w:t> </w:t>
      </w:r>
      <w:r>
        <w:rPr/>
        <w:t>conciliation,</w:t>
      </w:r>
      <w:r>
        <w:rPr>
          <w:spacing w:val="-2"/>
        </w:rPr>
        <w:t> </w:t>
      </w:r>
      <w:r>
        <w:rPr/>
        <w:t>this</w:t>
      </w:r>
      <w:r>
        <w:rPr>
          <w:spacing w:val="-3"/>
        </w:rPr>
        <w:t> </w:t>
      </w:r>
      <w:r>
        <w:rPr/>
        <w:t>was</w:t>
      </w:r>
      <w:r>
        <w:rPr>
          <w:spacing w:val="-3"/>
        </w:rPr>
        <w:t> </w:t>
      </w:r>
      <w:r>
        <w:rPr/>
        <w:t>defined</w:t>
      </w:r>
      <w:r>
        <w:rPr>
          <w:spacing w:val="-3"/>
        </w:rPr>
        <w:t> </w:t>
      </w:r>
      <w:r>
        <w:rPr/>
        <w:t>as</w:t>
      </w:r>
      <w:r>
        <w:rPr>
          <w:spacing w:val="-3"/>
        </w:rPr>
        <w:t> </w:t>
      </w:r>
      <w:r>
        <w:rPr/>
        <w:t>any</w:t>
      </w:r>
      <w:r>
        <w:rPr>
          <w:spacing w:val="-3"/>
        </w:rPr>
        <w:t> </w:t>
      </w:r>
      <w:r>
        <w:rPr/>
        <w:t>contact</w:t>
      </w:r>
      <w:r>
        <w:rPr>
          <w:spacing w:val="-3"/>
        </w:rPr>
        <w:t> </w:t>
      </w:r>
      <w:r>
        <w:rPr/>
        <w:t>with</w:t>
      </w:r>
      <w:r>
        <w:rPr>
          <w:spacing w:val="-3"/>
        </w:rPr>
        <w:t> </w:t>
      </w:r>
      <w:r>
        <w:rPr/>
        <w:t>Acas</w:t>
      </w:r>
      <w:r>
        <w:rPr>
          <w:spacing w:val="-2"/>
        </w:rPr>
        <w:t> </w:t>
      </w:r>
      <w:r>
        <w:rPr>
          <w:i/>
        </w:rPr>
        <w:t>after</w:t>
      </w:r>
      <w:r>
        <w:rPr>
          <w:i/>
          <w:spacing w:val="-2"/>
        </w:rPr>
        <w:t> </w:t>
      </w:r>
      <w:r>
        <w:rPr/>
        <w:t>the submission of an ET claim. However, when interpreting these findings, it is important to bear in mind that participants may have answered regarding their conciliator experience in general.</w:t>
      </w:r>
      <w:hyperlink w:history="true" w:anchor="_bookmark95">
        <w:r>
          <w:rPr>
            <w:position w:val="7"/>
            <w:sz w:val="13"/>
          </w:rPr>
          <w:t>34</w:t>
        </w:r>
      </w:hyperlink>
    </w:p>
    <w:p>
      <w:pPr>
        <w:pStyle w:val="BodyText"/>
      </w:pPr>
    </w:p>
    <w:p>
      <w:pPr>
        <w:pStyle w:val="BodyText"/>
        <w:ind w:left="1337" w:right="1472"/>
        <w:jc w:val="both"/>
      </w:pPr>
      <w:r>
        <w:rPr/>
        <w:t>As</w:t>
      </w:r>
      <w:r>
        <w:rPr>
          <w:spacing w:val="-1"/>
        </w:rPr>
        <w:t> </w:t>
      </w:r>
      <w:r>
        <w:rPr/>
        <w:t>in 2016</w:t>
      </w:r>
      <w:r>
        <w:rPr>
          <w:spacing w:val="-2"/>
        </w:rPr>
        <w:t> </w:t>
      </w:r>
      <w:r>
        <w:rPr/>
        <w:t>a</w:t>
      </w:r>
      <w:r>
        <w:rPr>
          <w:spacing w:val="-1"/>
        </w:rPr>
        <w:t> </w:t>
      </w:r>
      <w:r>
        <w:rPr/>
        <w:t>majority of claimant and</w:t>
      </w:r>
      <w:r>
        <w:rPr>
          <w:spacing w:val="-1"/>
        </w:rPr>
        <w:t> </w:t>
      </w:r>
      <w:r>
        <w:rPr/>
        <w:t>employer-side</w:t>
      </w:r>
      <w:r>
        <w:rPr>
          <w:spacing w:val="-1"/>
        </w:rPr>
        <w:t> </w:t>
      </w:r>
      <w:r>
        <w:rPr/>
        <w:t>participants</w:t>
      </w:r>
      <w:r>
        <w:rPr>
          <w:spacing w:val="-1"/>
        </w:rPr>
        <w:t> </w:t>
      </w:r>
      <w:r>
        <w:rPr/>
        <w:t>reported</w:t>
      </w:r>
      <w:r>
        <w:rPr>
          <w:spacing w:val="-1"/>
        </w:rPr>
        <w:t> </w:t>
      </w:r>
      <w:r>
        <w:rPr/>
        <w:t>contact with just</w:t>
      </w:r>
      <w:r>
        <w:rPr>
          <w:spacing w:val="-2"/>
        </w:rPr>
        <w:t> </w:t>
      </w:r>
      <w:r>
        <w:rPr/>
        <w:t>one</w:t>
      </w:r>
      <w:r>
        <w:rPr>
          <w:spacing w:val="-1"/>
        </w:rPr>
        <w:t> </w:t>
      </w:r>
      <w:r>
        <w:rPr/>
        <w:t>Acas</w:t>
      </w:r>
      <w:r>
        <w:rPr>
          <w:spacing w:val="-1"/>
        </w:rPr>
        <w:t> </w:t>
      </w:r>
      <w:r>
        <w:rPr/>
        <w:t>conciliator</w:t>
      </w:r>
      <w:r>
        <w:rPr>
          <w:spacing w:val="-1"/>
        </w:rPr>
        <w:t> </w:t>
      </w:r>
      <w:r>
        <w:rPr/>
        <w:t>throughout</w:t>
      </w:r>
      <w:r>
        <w:rPr>
          <w:spacing w:val="-2"/>
        </w:rPr>
        <w:t> </w:t>
      </w:r>
      <w:r>
        <w:rPr/>
        <w:t>post-ET1</w:t>
      </w:r>
      <w:r>
        <w:rPr>
          <w:spacing w:val="-2"/>
        </w:rPr>
        <w:t> </w:t>
      </w:r>
      <w:r>
        <w:rPr/>
        <w:t>conciliation (both</w:t>
      </w:r>
      <w:r>
        <w:rPr>
          <w:spacing w:val="-1"/>
        </w:rPr>
        <w:t> </w:t>
      </w:r>
      <w:r>
        <w:rPr/>
        <w:t>71</w:t>
      </w:r>
      <w:r>
        <w:rPr>
          <w:spacing w:val="-1"/>
        </w:rPr>
        <w:t> </w:t>
      </w:r>
      <w:r>
        <w:rPr/>
        <w:t>per</w:t>
      </w:r>
      <w:r>
        <w:rPr>
          <w:spacing w:val="-1"/>
        </w:rPr>
        <w:t> </w:t>
      </w:r>
      <w:r>
        <w:rPr/>
        <w:t>cent). A sixth reported speaking with two conciliators (16 per cent and 15 per cent respectively),</w:t>
      </w:r>
      <w:r>
        <w:rPr>
          <w:spacing w:val="-14"/>
        </w:rPr>
        <w:t> </w:t>
      </w:r>
      <w:r>
        <w:rPr/>
        <w:t>while</w:t>
      </w:r>
      <w:r>
        <w:rPr>
          <w:spacing w:val="-15"/>
        </w:rPr>
        <w:t> </w:t>
      </w:r>
      <w:r>
        <w:rPr/>
        <w:t>a</w:t>
      </w:r>
      <w:r>
        <w:rPr>
          <w:spacing w:val="-14"/>
        </w:rPr>
        <w:t> </w:t>
      </w:r>
      <w:r>
        <w:rPr/>
        <w:t>small</w:t>
      </w:r>
      <w:r>
        <w:rPr>
          <w:spacing w:val="-14"/>
        </w:rPr>
        <w:t> </w:t>
      </w:r>
      <w:r>
        <w:rPr/>
        <w:t>proportion</w:t>
      </w:r>
      <w:r>
        <w:rPr>
          <w:spacing w:val="-14"/>
        </w:rPr>
        <w:t> </w:t>
      </w:r>
      <w:r>
        <w:rPr/>
        <w:t>(five</w:t>
      </w:r>
      <w:r>
        <w:rPr>
          <w:spacing w:val="-15"/>
        </w:rPr>
        <w:t> </w:t>
      </w:r>
      <w:r>
        <w:rPr/>
        <w:t>per</w:t>
      </w:r>
      <w:r>
        <w:rPr>
          <w:spacing w:val="-14"/>
        </w:rPr>
        <w:t> </w:t>
      </w:r>
      <w:r>
        <w:rPr/>
        <w:t>cent</w:t>
      </w:r>
      <w:r>
        <w:rPr>
          <w:spacing w:val="-14"/>
        </w:rPr>
        <w:t> </w:t>
      </w:r>
      <w:r>
        <w:rPr/>
        <w:t>and</w:t>
      </w:r>
      <w:r>
        <w:rPr>
          <w:spacing w:val="-14"/>
        </w:rPr>
        <w:t> </w:t>
      </w:r>
      <w:r>
        <w:rPr/>
        <w:t>three</w:t>
      </w:r>
      <w:r>
        <w:rPr>
          <w:spacing w:val="-15"/>
        </w:rPr>
        <w:t> </w:t>
      </w:r>
      <w:r>
        <w:rPr/>
        <w:t>per</w:t>
      </w:r>
      <w:r>
        <w:rPr>
          <w:spacing w:val="-14"/>
        </w:rPr>
        <w:t> </w:t>
      </w:r>
      <w:r>
        <w:rPr/>
        <w:t>cent)</w:t>
      </w:r>
      <w:r>
        <w:rPr>
          <w:spacing w:val="-14"/>
        </w:rPr>
        <w:t> </w:t>
      </w:r>
      <w:r>
        <w:rPr/>
        <w:t>spoke</w:t>
      </w:r>
      <w:r>
        <w:rPr>
          <w:spacing w:val="-15"/>
        </w:rPr>
        <w:t> </w:t>
      </w:r>
      <w:r>
        <w:rPr/>
        <w:t>with three or more. (Where users dealt with multiple conciliators, their case will have been handled by teams providing cover for conciliator absence; this survey pre- dates subsequent pilots of team-based service delivery</w:t>
      </w:r>
      <w:r>
        <w:rPr>
          <w:spacing w:val="-16"/>
        </w:rPr>
        <w:t> </w:t>
      </w:r>
      <w:r>
        <w:rPr/>
        <w:t>).</w:t>
      </w:r>
      <w:hyperlink w:history="true" w:anchor="_bookmark94">
        <w:r>
          <w:rPr>
            <w:position w:val="7"/>
            <w:sz w:val="13"/>
          </w:rPr>
          <w:t>35</w:t>
        </w:r>
      </w:hyperlink>
      <w:r>
        <w:rPr>
          <w:spacing w:val="39"/>
          <w:position w:val="7"/>
          <w:sz w:val="13"/>
        </w:rPr>
        <w:t> </w:t>
      </w:r>
      <w:r>
        <w:rPr/>
        <w:t>Unlike in 2015, there were no significant differences between claimants, employers or their respective representatives, nor by track.</w:t>
      </w:r>
    </w:p>
    <w:p>
      <w:pPr>
        <w:pStyle w:val="BodyText"/>
      </w:pPr>
    </w:p>
    <w:p>
      <w:pPr>
        <w:pStyle w:val="BodyText"/>
        <w:spacing w:before="1"/>
        <w:ind w:left="1337" w:right="1472"/>
        <w:jc w:val="both"/>
      </w:pPr>
      <w:r>
        <w:rPr/>
        <w:t>Three</w:t>
      </w:r>
      <w:r>
        <w:rPr>
          <w:spacing w:val="-6"/>
        </w:rPr>
        <w:t> </w:t>
      </w:r>
      <w:r>
        <w:rPr/>
        <w:t>quarters</w:t>
      </w:r>
      <w:r>
        <w:rPr>
          <w:spacing w:val="-6"/>
        </w:rPr>
        <w:t> </w:t>
      </w:r>
      <w:r>
        <w:rPr/>
        <w:t>of</w:t>
      </w:r>
      <w:r>
        <w:rPr>
          <w:spacing w:val="-5"/>
        </w:rPr>
        <w:t> </w:t>
      </w:r>
      <w:r>
        <w:rPr/>
        <w:t>those</w:t>
      </w:r>
      <w:r>
        <w:rPr>
          <w:spacing w:val="-7"/>
        </w:rPr>
        <w:t> </w:t>
      </w:r>
      <w:r>
        <w:rPr/>
        <w:t>who</w:t>
      </w:r>
      <w:r>
        <w:rPr>
          <w:spacing w:val="-6"/>
        </w:rPr>
        <w:t> </w:t>
      </w:r>
      <w:r>
        <w:rPr/>
        <w:t>took</w:t>
      </w:r>
      <w:r>
        <w:rPr>
          <w:spacing w:val="-7"/>
        </w:rPr>
        <w:t> </w:t>
      </w:r>
      <w:r>
        <w:rPr/>
        <w:t>part</w:t>
      </w:r>
      <w:r>
        <w:rPr>
          <w:spacing w:val="-5"/>
        </w:rPr>
        <w:t> </w:t>
      </w:r>
      <w:r>
        <w:rPr/>
        <w:t>in</w:t>
      </w:r>
      <w:r>
        <w:rPr>
          <w:spacing w:val="-5"/>
        </w:rPr>
        <w:t> </w:t>
      </w:r>
      <w:r>
        <w:rPr/>
        <w:t>EC</w:t>
      </w:r>
      <w:r>
        <w:rPr>
          <w:spacing w:val="-6"/>
        </w:rPr>
        <w:t> </w:t>
      </w:r>
      <w:r>
        <w:rPr/>
        <w:t>kept</w:t>
      </w:r>
      <w:r>
        <w:rPr>
          <w:spacing w:val="-5"/>
        </w:rPr>
        <w:t> </w:t>
      </w:r>
      <w:r>
        <w:rPr/>
        <w:t>the</w:t>
      </w:r>
      <w:r>
        <w:rPr>
          <w:spacing w:val="-6"/>
        </w:rPr>
        <w:t> </w:t>
      </w:r>
      <w:r>
        <w:rPr/>
        <w:t>same</w:t>
      </w:r>
      <w:r>
        <w:rPr>
          <w:spacing w:val="-7"/>
        </w:rPr>
        <w:t> </w:t>
      </w:r>
      <w:r>
        <w:rPr/>
        <w:t>conciliator</w:t>
      </w:r>
      <w:r>
        <w:rPr>
          <w:spacing w:val="-5"/>
        </w:rPr>
        <w:t> </w:t>
      </w:r>
      <w:r>
        <w:rPr/>
        <w:t>for</w:t>
      </w:r>
      <w:r>
        <w:rPr>
          <w:spacing w:val="-6"/>
        </w:rPr>
        <w:t> </w:t>
      </w:r>
      <w:r>
        <w:rPr/>
        <w:t>post-ET1 conciliation</w:t>
      </w:r>
      <w:r>
        <w:rPr>
          <w:spacing w:val="-2"/>
        </w:rPr>
        <w:t> </w:t>
      </w:r>
      <w:r>
        <w:rPr/>
        <w:t>(73</w:t>
      </w:r>
      <w:r>
        <w:rPr>
          <w:spacing w:val="-3"/>
        </w:rPr>
        <w:t> </w:t>
      </w:r>
      <w:r>
        <w:rPr/>
        <w:t>per</w:t>
      </w:r>
      <w:r>
        <w:rPr>
          <w:spacing w:val="-4"/>
        </w:rPr>
        <w:t> </w:t>
      </w:r>
      <w:r>
        <w:rPr/>
        <w:t>cent</w:t>
      </w:r>
      <w:r>
        <w:rPr>
          <w:spacing w:val="-2"/>
        </w:rPr>
        <w:t> </w:t>
      </w:r>
      <w:r>
        <w:rPr/>
        <w:t>claimant-side</w:t>
      </w:r>
      <w:r>
        <w:rPr>
          <w:spacing w:val="-3"/>
        </w:rPr>
        <w:t> </w:t>
      </w:r>
      <w:r>
        <w:rPr/>
        <w:t>and</w:t>
      </w:r>
      <w:r>
        <w:rPr>
          <w:spacing w:val="-4"/>
        </w:rPr>
        <w:t> </w:t>
      </w:r>
      <w:r>
        <w:rPr/>
        <w:t>65</w:t>
      </w:r>
      <w:r>
        <w:rPr>
          <w:spacing w:val="-3"/>
        </w:rPr>
        <w:t> </w:t>
      </w:r>
      <w:r>
        <w:rPr/>
        <w:t>per</w:t>
      </w:r>
      <w:r>
        <w:rPr>
          <w:spacing w:val="-3"/>
        </w:rPr>
        <w:t> </w:t>
      </w:r>
      <w:r>
        <w:rPr/>
        <w:t>cent</w:t>
      </w:r>
      <w:r>
        <w:rPr>
          <w:spacing w:val="-3"/>
        </w:rPr>
        <w:t> </w:t>
      </w:r>
      <w:r>
        <w:rPr/>
        <w:t>employer-side).</w:t>
      </w:r>
      <w:r>
        <w:rPr>
          <w:spacing w:val="-2"/>
        </w:rPr>
        <w:t> </w:t>
      </w:r>
      <w:r>
        <w:rPr/>
        <w:t>One</w:t>
      </w:r>
      <w:r>
        <w:rPr>
          <w:spacing w:val="-3"/>
        </w:rPr>
        <w:t> </w:t>
      </w:r>
      <w:r>
        <w:rPr/>
        <w:t>in</w:t>
      </w:r>
      <w:r>
        <w:rPr>
          <w:spacing w:val="-3"/>
        </w:rPr>
        <w:t> </w:t>
      </w:r>
      <w:r>
        <w:rPr>
          <w:spacing w:val="-5"/>
        </w:rPr>
        <w:t>ten</w:t>
      </w:r>
    </w:p>
    <w:p>
      <w:pPr>
        <w:spacing w:after="0"/>
        <w:jc w:val="both"/>
        <w:sectPr>
          <w:pgSz w:w="11910" w:h="16840"/>
          <w:pgMar w:header="0" w:footer="996" w:top="1340" w:bottom="1180" w:left="460" w:right="320"/>
        </w:sectPr>
      </w:pPr>
    </w:p>
    <w:p>
      <w:pPr>
        <w:pStyle w:val="BodyText"/>
        <w:spacing w:before="82"/>
        <w:ind w:left="1337" w:right="1473"/>
        <w:jc w:val="both"/>
      </w:pPr>
      <w:r>
        <w:rPr/>
        <w:t>(11 per cent and nine per cent respectively) reported a different conciliator, while a fifth could not recall whether the conciliator was the same or different (17 per cent and 22 per cent).</w:t>
      </w:r>
    </w:p>
    <w:p>
      <w:pPr>
        <w:pStyle w:val="BodyText"/>
      </w:pPr>
    </w:p>
    <w:p>
      <w:pPr>
        <w:pStyle w:val="BodyText"/>
        <w:ind w:left="1337" w:right="1472"/>
        <w:jc w:val="both"/>
      </w:pPr>
      <w:r>
        <w:rPr/>
        <w:t>Telephone</w:t>
      </w:r>
      <w:r>
        <w:rPr>
          <w:spacing w:val="-1"/>
        </w:rPr>
        <w:t> </w:t>
      </w:r>
      <w:r>
        <w:rPr/>
        <w:t>and email remained the most popular methods for</w:t>
      </w:r>
      <w:r>
        <w:rPr>
          <w:spacing w:val="-1"/>
        </w:rPr>
        <w:t> </w:t>
      </w:r>
      <w:r>
        <w:rPr/>
        <w:t>communicating</w:t>
      </w:r>
      <w:r>
        <w:rPr>
          <w:spacing w:val="-1"/>
        </w:rPr>
        <w:t> </w:t>
      </w:r>
      <w:r>
        <w:rPr/>
        <w:t>with the</w:t>
      </w:r>
      <w:r>
        <w:rPr>
          <w:spacing w:val="-18"/>
        </w:rPr>
        <w:t> </w:t>
      </w:r>
      <w:r>
        <w:rPr/>
        <w:t>Acas</w:t>
      </w:r>
      <w:r>
        <w:rPr>
          <w:spacing w:val="-18"/>
        </w:rPr>
        <w:t> </w:t>
      </w:r>
      <w:r>
        <w:rPr/>
        <w:t>conciliator</w:t>
      </w:r>
      <w:r>
        <w:rPr>
          <w:spacing w:val="-17"/>
        </w:rPr>
        <w:t> </w:t>
      </w:r>
      <w:r>
        <w:rPr/>
        <w:t>at</w:t>
      </w:r>
      <w:r>
        <w:rPr>
          <w:spacing w:val="-18"/>
        </w:rPr>
        <w:t> </w:t>
      </w:r>
      <w:r>
        <w:rPr/>
        <w:t>the</w:t>
      </w:r>
      <w:r>
        <w:rPr>
          <w:spacing w:val="-17"/>
        </w:rPr>
        <w:t> </w:t>
      </w:r>
      <w:r>
        <w:rPr/>
        <w:t>post-ET1</w:t>
      </w:r>
      <w:r>
        <w:rPr>
          <w:spacing w:val="-18"/>
        </w:rPr>
        <w:t> </w:t>
      </w:r>
      <w:r>
        <w:rPr/>
        <w:t>stage</w:t>
      </w:r>
      <w:r>
        <w:rPr>
          <w:spacing w:val="-18"/>
        </w:rPr>
        <w:t> </w:t>
      </w:r>
      <w:r>
        <w:rPr/>
        <w:t>(see</w:t>
      </w:r>
      <w:r>
        <w:rPr>
          <w:spacing w:val="-17"/>
        </w:rPr>
        <w:t> </w:t>
      </w:r>
      <w:r>
        <w:rPr/>
        <w:t>Table</w:t>
      </w:r>
      <w:r>
        <w:rPr>
          <w:spacing w:val="-18"/>
        </w:rPr>
        <w:t> </w:t>
      </w:r>
      <w:r>
        <w:rPr/>
        <w:t>24).</w:t>
      </w:r>
      <w:r>
        <w:rPr>
          <w:spacing w:val="-17"/>
        </w:rPr>
        <w:t> </w:t>
      </w:r>
      <w:r>
        <w:rPr/>
        <w:t>While</w:t>
      </w:r>
      <w:r>
        <w:rPr>
          <w:spacing w:val="-18"/>
        </w:rPr>
        <w:t> </w:t>
      </w:r>
      <w:r>
        <w:rPr/>
        <w:t>telephone</w:t>
      </w:r>
      <w:r>
        <w:rPr>
          <w:spacing w:val="-17"/>
        </w:rPr>
        <w:t> </w:t>
      </w:r>
      <w:r>
        <w:rPr/>
        <w:t>remained the primary method of communication on the claimant side, email use rose significantly. This trend is stronger still on the employer side; these participants are now more likely to report online rather than telephone communication. This mirrors trends observed in the EC survey and a wider social shift to digital </w:t>
      </w:r>
      <w:r>
        <w:rPr>
          <w:spacing w:val="-2"/>
        </w:rPr>
        <w:t>communications.</w:t>
      </w:r>
    </w:p>
    <w:p>
      <w:pPr>
        <w:pStyle w:val="BodyText"/>
        <w:rPr>
          <w:sz w:val="24"/>
        </w:rPr>
      </w:pPr>
    </w:p>
    <w:p>
      <w:pPr>
        <w:pStyle w:val="Heading3"/>
        <w:spacing w:before="195" w:after="39"/>
      </w:pPr>
      <w:r>
        <w:rPr/>
        <w:pict>
          <v:group style="position:absolute;margin-left:179.772751pt;margin-top:24.659754pt;width:158.6pt;height:164.95pt;mso-position-horizontal-relative:page;mso-position-vertical-relative:paragraph;z-index:-18097664" id="docshapegroup56" coordorigin="3595,493" coordsize="3172,3299">
            <v:shape style="position:absolute;left:3595;top:493;width:3172;height:3299" id="docshape57" coordorigin="3595,493" coordsize="3172,3299" path="m6767,1770l6767,1506,6767,942,6767,493,5974,493,5974,1770,5974,2059,5974,2348,5974,2636,5974,2348,5974,2059,5974,1770,5974,493,5974,1506,5181,1506,5974,1506,5974,493,5181,493,5181,1506,5181,1770,5181,2925,5181,1770,5181,1506,5181,493,3595,493,3595,942,3595,1506,3595,1770,3595,2059,3595,2348,4388,2348,4388,2925,4388,3214,4388,2925,4388,2348,3595,2348,3595,2636,3595,2925,3595,3214,3595,3503,3595,3791,4388,3791,5181,3791,5181,3503,5181,3791,5974,3791,6767,3791,6767,3503,6767,3214,6767,2925,6767,2636,6767,2348,6767,2059,6767,1770xe" filled="true" fillcolor="#f1f1f1" stroked="false">
              <v:path arrowok="t"/>
              <v:fill type="solid"/>
            </v:shape>
            <v:shape style="position:absolute;left:4747;top:1850;width:1667;height:1538" id="docshape58" coordorigin="4747,1851" coordsize="1667,1538" path="m4836,2428l4747,2428,4791,2517,4836,2428xm4836,1851l4747,1851,4791,1939,4836,1851xm6325,3388l6276,3300,6227,3388,6325,3388xm6414,2223l6369,2135,6325,2223,6414,2223xm6414,1851l6325,1851,6369,1939,6414,1851xe" filled="true" fillcolor="#666666" stroked="false">
              <v:path arrowok="t"/>
              <v:fill type="solid"/>
            </v:shape>
            <w10:wrap type="none"/>
          </v:group>
        </w:pict>
      </w:r>
      <w:r>
        <w:rPr/>
        <w:pict>
          <v:shape style="position:absolute;margin-left:395.172241pt;margin-top:92.534653pt;width:4.95pt;height:4.45pt;mso-position-horizontal-relative:page;mso-position-vertical-relative:paragraph;z-index:-18096640" id="docshape59" coordorigin="7903,1851" coordsize="99,89" path="m8001,1851l7903,1851,7952,1939,8001,1851xe" filled="true" fillcolor="#666666" stroked="false">
            <v:path arrowok="t"/>
            <v:fill type="solid"/>
            <w10:wrap type="none"/>
          </v:shape>
        </w:pict>
      </w:r>
      <w:r>
        <w:rPr/>
        <w:pict>
          <v:shape style="position:absolute;margin-left:395.172241pt;margin-top:120.930862pt;width:4.95pt;height:4.45pt;mso-position-horizontal-relative:page;mso-position-vertical-relative:paragraph;z-index:-18096128" id="docshape60" coordorigin="7903,2419" coordsize="99,89" path="m8001,2419l7903,2419,7952,2507,8001,2419xe" filled="true" fillcolor="#666666" stroked="false">
            <v:path arrowok="t"/>
            <v:fill type="solid"/>
            <w10:wrap type="none"/>
          </v:shape>
        </w:pict>
      </w:r>
      <w:r>
        <w:rPr/>
        <w:pict>
          <v:shape style="position:absolute;margin-left:475.055878pt;margin-top:92.534653pt;width:4.95pt;height:4.45pt;mso-position-horizontal-relative:page;mso-position-vertical-relative:paragraph;z-index:-18095616" id="docshape61" coordorigin="9501,1851" coordsize="99,89" path="m9599,1851l9501,1851,9550,1939,9599,1851xe" filled="true" fillcolor="#666666" stroked="false">
            <v:path arrowok="t"/>
            <v:fill type="solid"/>
            <w10:wrap type="none"/>
          </v:shape>
        </w:pict>
      </w:r>
      <w:r>
        <w:rPr/>
        <w:pict>
          <v:shape style="position:absolute;margin-left:475.055878pt;margin-top:106.732727pt;width:4.95pt;height:4.45pt;mso-position-horizontal-relative:page;mso-position-vertical-relative:paragraph;z-index:-18095104" id="docshape62" coordorigin="9501,2135" coordsize="99,89" path="m9599,2223l9501,2223,9550,2135,9599,2223xe" filled="true" fillcolor="#666666" stroked="false">
            <v:path arrowok="t"/>
            <v:fill type="solid"/>
            <w10:wrap type="none"/>
          </v:shape>
        </w:pict>
      </w:r>
      <w:r>
        <w:rPr/>
        <w:t>Table</w:t>
      </w:r>
      <w:r>
        <w:rPr>
          <w:spacing w:val="-5"/>
        </w:rPr>
        <w:t> </w:t>
      </w:r>
      <w:r>
        <w:rPr/>
        <w:t>24.</w:t>
      </w:r>
      <w:r>
        <w:rPr>
          <w:spacing w:val="-4"/>
        </w:rPr>
        <w:t> </w:t>
      </w:r>
      <w:r>
        <w:rPr/>
        <w:t>Modes</w:t>
      </w:r>
      <w:r>
        <w:rPr>
          <w:spacing w:val="-4"/>
        </w:rPr>
        <w:t> </w:t>
      </w:r>
      <w:r>
        <w:rPr/>
        <w:t>of</w:t>
      </w:r>
      <w:r>
        <w:rPr>
          <w:spacing w:val="-2"/>
        </w:rPr>
        <w:t> </w:t>
      </w:r>
      <w:r>
        <w:rPr/>
        <w:t>contact</w:t>
      </w:r>
      <w:r>
        <w:rPr>
          <w:spacing w:val="-3"/>
        </w:rPr>
        <w:t> </w:t>
      </w:r>
      <w:r>
        <w:rPr/>
        <w:t>with</w:t>
      </w:r>
      <w:r>
        <w:rPr>
          <w:spacing w:val="-4"/>
        </w:rPr>
        <w:t> </w:t>
      </w:r>
      <w:r>
        <w:rPr/>
        <w:t>the</w:t>
      </w:r>
      <w:r>
        <w:rPr>
          <w:spacing w:val="-4"/>
        </w:rPr>
        <w:t> </w:t>
      </w:r>
      <w:r>
        <w:rPr/>
        <w:t>Acas</w:t>
      </w:r>
      <w:r>
        <w:rPr>
          <w:spacing w:val="-4"/>
        </w:rPr>
        <w:t> </w:t>
      </w:r>
      <w:r>
        <w:rPr>
          <w:spacing w:val="-2"/>
        </w:rPr>
        <w:t>conciliator</w:t>
      </w:r>
    </w:p>
    <w:tbl>
      <w:tblPr>
        <w:tblW w:w="0" w:type="auto"/>
        <w:jc w:val="left"/>
        <w:tblInd w:w="1359"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4949"/>
        <w:gridCol w:w="3171"/>
      </w:tblGrid>
      <w:tr>
        <w:trPr>
          <w:trHeight w:val="1247" w:hRule="atLeast"/>
        </w:trPr>
        <w:tc>
          <w:tcPr>
            <w:tcW w:w="4949" w:type="dxa"/>
            <w:tcBorders>
              <w:top w:val="nil"/>
              <w:bottom w:val="single" w:sz="6" w:space="0" w:color="000000"/>
              <w:right w:val="nil"/>
            </w:tcBorders>
          </w:tcPr>
          <w:p>
            <w:pPr>
              <w:pStyle w:val="TableParagraph"/>
              <w:spacing w:before="31"/>
              <w:ind w:left="1877"/>
              <w:rPr>
                <w:sz w:val="12"/>
              </w:rPr>
            </w:pPr>
            <w:r>
              <w:rPr>
                <w:w w:val="105"/>
                <w:sz w:val="12"/>
              </w:rPr>
              <w:t>Claimant</w:t>
            </w:r>
            <w:r>
              <w:rPr>
                <w:spacing w:val="16"/>
                <w:w w:val="105"/>
                <w:sz w:val="12"/>
              </w:rPr>
              <w:t> </w:t>
            </w:r>
            <w:r>
              <w:rPr>
                <w:spacing w:val="-4"/>
                <w:w w:val="105"/>
                <w:sz w:val="12"/>
              </w:rPr>
              <w:t>side</w:t>
            </w:r>
          </w:p>
          <w:p>
            <w:pPr>
              <w:pStyle w:val="TableParagraph"/>
              <w:rPr>
                <w:b/>
                <w:sz w:val="14"/>
              </w:rPr>
            </w:pPr>
          </w:p>
          <w:p>
            <w:pPr>
              <w:pStyle w:val="TableParagraph"/>
              <w:spacing w:before="11"/>
              <w:rPr>
                <w:b/>
                <w:sz w:val="10"/>
              </w:rPr>
            </w:pPr>
          </w:p>
          <w:p>
            <w:pPr>
              <w:pStyle w:val="TableParagraph"/>
              <w:tabs>
                <w:tab w:pos="3462" w:val="left" w:leader="none"/>
              </w:tabs>
              <w:spacing w:line="256" w:lineRule="auto"/>
              <w:ind w:left="1877" w:right="410"/>
              <w:rPr>
                <w:sz w:val="12"/>
              </w:rPr>
            </w:pPr>
            <w:r>
              <w:rPr>
                <w:w w:val="105"/>
                <w:sz w:val="12"/>
              </w:rPr>
              <w:t>All modes</w:t>
            </w:r>
            <w:r>
              <w:rPr>
                <w:spacing w:val="40"/>
                <w:w w:val="105"/>
                <w:sz w:val="12"/>
              </w:rPr>
              <w:t> </w:t>
            </w:r>
            <w:r>
              <w:rPr>
                <w:w w:val="105"/>
                <w:sz w:val="12"/>
              </w:rPr>
              <w:t>of contact</w:t>
            </w:r>
            <w:r>
              <w:rPr>
                <w:sz w:val="12"/>
              </w:rPr>
              <w:tab/>
            </w:r>
            <w:r>
              <w:rPr>
                <w:w w:val="105"/>
                <w:sz w:val="12"/>
              </w:rPr>
              <w:t>Main method</w:t>
            </w:r>
            <w:r>
              <w:rPr>
                <w:w w:val="105"/>
                <w:sz w:val="12"/>
              </w:rPr>
              <w:t> of with the conciliator</w:t>
            </w:r>
            <w:r>
              <w:rPr>
                <w:sz w:val="12"/>
              </w:rPr>
              <w:tab/>
            </w:r>
            <w:r>
              <w:rPr>
                <w:w w:val="105"/>
                <w:sz w:val="12"/>
              </w:rPr>
              <w:t>contact with the </w:t>
            </w:r>
            <w:r>
              <w:rPr>
                <w:spacing w:val="-4"/>
                <w:w w:val="105"/>
                <w:sz w:val="12"/>
              </w:rPr>
              <w:t>(%)</w:t>
            </w:r>
            <w:r>
              <w:rPr>
                <w:sz w:val="12"/>
              </w:rPr>
              <w:tab/>
            </w:r>
            <w:r>
              <w:rPr>
                <w:w w:val="105"/>
                <w:sz w:val="12"/>
              </w:rPr>
              <w:t>conciliator (%)</w:t>
            </w:r>
          </w:p>
          <w:p>
            <w:pPr>
              <w:pStyle w:val="TableParagraph"/>
              <w:tabs>
                <w:tab w:pos="2670" w:val="left" w:leader="none"/>
                <w:tab w:pos="3462" w:val="left" w:leader="none"/>
                <w:tab w:pos="4255" w:val="left" w:leader="none"/>
              </w:tabs>
              <w:spacing w:before="96"/>
              <w:ind w:left="1877"/>
              <w:rPr>
                <w:b/>
                <w:sz w:val="12"/>
              </w:rPr>
            </w:pPr>
            <w:r>
              <w:rPr>
                <w:spacing w:val="-4"/>
                <w:w w:val="105"/>
                <w:sz w:val="12"/>
              </w:rPr>
              <w:t>2016</w:t>
            </w:r>
            <w:r>
              <w:rPr>
                <w:sz w:val="12"/>
              </w:rPr>
              <w:tab/>
            </w:r>
            <w:r>
              <w:rPr>
                <w:b/>
                <w:spacing w:val="-4"/>
                <w:w w:val="105"/>
                <w:sz w:val="12"/>
              </w:rPr>
              <w:t>2019</w:t>
            </w:r>
            <w:r>
              <w:rPr>
                <w:b/>
                <w:sz w:val="12"/>
              </w:rPr>
              <w:tab/>
            </w:r>
            <w:r>
              <w:rPr>
                <w:spacing w:val="-4"/>
                <w:w w:val="105"/>
                <w:sz w:val="12"/>
              </w:rPr>
              <w:t>2016</w:t>
            </w:r>
            <w:r>
              <w:rPr>
                <w:sz w:val="12"/>
              </w:rPr>
              <w:tab/>
            </w:r>
            <w:r>
              <w:rPr>
                <w:b/>
                <w:spacing w:val="-4"/>
                <w:w w:val="105"/>
                <w:sz w:val="12"/>
              </w:rPr>
              <w:t>2019</w:t>
            </w:r>
          </w:p>
        </w:tc>
        <w:tc>
          <w:tcPr>
            <w:tcW w:w="3171" w:type="dxa"/>
            <w:tcBorders>
              <w:top w:val="single" w:sz="18" w:space="0" w:color="FFFFFF"/>
              <w:left w:val="nil"/>
              <w:bottom w:val="single" w:sz="6" w:space="0" w:color="000000"/>
            </w:tcBorders>
          </w:tcPr>
          <w:p>
            <w:pPr>
              <w:pStyle w:val="TableParagraph"/>
              <w:spacing w:before="31"/>
              <w:ind w:left="106"/>
              <w:rPr>
                <w:sz w:val="12"/>
              </w:rPr>
            </w:pPr>
            <w:r>
              <w:rPr>
                <w:w w:val="105"/>
                <w:sz w:val="12"/>
              </w:rPr>
              <w:t>Employer</w:t>
            </w:r>
            <w:r>
              <w:rPr>
                <w:spacing w:val="22"/>
                <w:w w:val="105"/>
                <w:sz w:val="12"/>
              </w:rPr>
              <w:t> </w:t>
            </w:r>
            <w:r>
              <w:rPr>
                <w:spacing w:val="-4"/>
                <w:w w:val="105"/>
                <w:sz w:val="12"/>
              </w:rPr>
              <w:t>side</w:t>
            </w:r>
          </w:p>
          <w:p>
            <w:pPr>
              <w:pStyle w:val="TableParagraph"/>
              <w:rPr>
                <w:b/>
                <w:sz w:val="14"/>
              </w:rPr>
            </w:pPr>
          </w:p>
          <w:p>
            <w:pPr>
              <w:pStyle w:val="TableParagraph"/>
              <w:spacing w:before="11"/>
              <w:rPr>
                <w:b/>
                <w:sz w:val="10"/>
              </w:rPr>
            </w:pPr>
          </w:p>
          <w:p>
            <w:pPr>
              <w:pStyle w:val="TableParagraph"/>
              <w:tabs>
                <w:tab w:pos="1692" w:val="left" w:leader="none"/>
              </w:tabs>
              <w:spacing w:line="256" w:lineRule="auto"/>
              <w:ind w:left="106" w:right="402"/>
              <w:rPr>
                <w:sz w:val="12"/>
              </w:rPr>
            </w:pPr>
            <w:r>
              <w:rPr>
                <w:w w:val="105"/>
                <w:sz w:val="12"/>
              </w:rPr>
              <w:t>All modes</w:t>
            </w:r>
            <w:r>
              <w:rPr>
                <w:spacing w:val="40"/>
                <w:w w:val="105"/>
                <w:sz w:val="12"/>
              </w:rPr>
              <w:t> </w:t>
            </w:r>
            <w:r>
              <w:rPr>
                <w:w w:val="105"/>
                <w:sz w:val="12"/>
              </w:rPr>
              <w:t>of contact</w:t>
            </w:r>
            <w:r>
              <w:rPr>
                <w:sz w:val="12"/>
              </w:rPr>
              <w:tab/>
            </w:r>
            <w:r>
              <w:rPr>
                <w:w w:val="105"/>
                <w:sz w:val="12"/>
              </w:rPr>
              <w:t>Main method</w:t>
            </w:r>
            <w:r>
              <w:rPr>
                <w:w w:val="105"/>
                <w:sz w:val="12"/>
              </w:rPr>
              <w:t> of with the conciliator</w:t>
            </w:r>
            <w:r>
              <w:rPr>
                <w:sz w:val="12"/>
              </w:rPr>
              <w:tab/>
            </w:r>
            <w:r>
              <w:rPr>
                <w:w w:val="105"/>
                <w:sz w:val="12"/>
              </w:rPr>
              <w:t>contact with the </w:t>
            </w:r>
            <w:r>
              <w:rPr>
                <w:spacing w:val="-4"/>
                <w:w w:val="105"/>
                <w:sz w:val="12"/>
              </w:rPr>
              <w:t>(%)</w:t>
            </w:r>
            <w:r>
              <w:rPr>
                <w:sz w:val="12"/>
              </w:rPr>
              <w:tab/>
            </w:r>
            <w:r>
              <w:rPr>
                <w:w w:val="105"/>
                <w:sz w:val="12"/>
              </w:rPr>
              <w:t>conciliator (%)</w:t>
            </w:r>
          </w:p>
          <w:p>
            <w:pPr>
              <w:pStyle w:val="TableParagraph"/>
              <w:tabs>
                <w:tab w:pos="899" w:val="left" w:leader="none"/>
                <w:tab w:pos="1692" w:val="left" w:leader="none"/>
                <w:tab w:pos="2485" w:val="left" w:leader="none"/>
              </w:tabs>
              <w:spacing w:before="96"/>
              <w:ind w:left="106"/>
              <w:rPr>
                <w:b/>
                <w:sz w:val="12"/>
              </w:rPr>
            </w:pPr>
            <w:r>
              <w:rPr>
                <w:spacing w:val="-4"/>
                <w:w w:val="105"/>
                <w:sz w:val="12"/>
              </w:rPr>
              <w:t>2016</w:t>
            </w:r>
            <w:r>
              <w:rPr>
                <w:sz w:val="12"/>
              </w:rPr>
              <w:tab/>
            </w:r>
            <w:r>
              <w:rPr>
                <w:b/>
                <w:spacing w:val="-4"/>
                <w:w w:val="105"/>
                <w:sz w:val="12"/>
              </w:rPr>
              <w:t>2019</w:t>
            </w:r>
            <w:r>
              <w:rPr>
                <w:b/>
                <w:sz w:val="12"/>
              </w:rPr>
              <w:tab/>
            </w:r>
            <w:r>
              <w:rPr>
                <w:spacing w:val="-4"/>
                <w:w w:val="105"/>
                <w:sz w:val="12"/>
              </w:rPr>
              <w:t>2016</w:t>
            </w:r>
            <w:r>
              <w:rPr>
                <w:sz w:val="12"/>
              </w:rPr>
              <w:tab/>
            </w:r>
            <w:r>
              <w:rPr>
                <w:b/>
                <w:spacing w:val="-4"/>
                <w:w w:val="105"/>
                <w:sz w:val="12"/>
              </w:rPr>
              <w:t>2019</w:t>
            </w:r>
          </w:p>
        </w:tc>
      </w:tr>
      <w:tr>
        <w:trPr>
          <w:trHeight w:val="2005" w:hRule="atLeast"/>
        </w:trPr>
        <w:tc>
          <w:tcPr>
            <w:tcW w:w="8120" w:type="dxa"/>
            <w:gridSpan w:val="2"/>
            <w:tcBorders>
              <w:top w:val="single" w:sz="6" w:space="0" w:color="000000"/>
              <w:bottom w:val="single" w:sz="6" w:space="0" w:color="000000"/>
            </w:tcBorders>
          </w:tcPr>
          <w:p>
            <w:pPr>
              <w:pStyle w:val="TableParagraph"/>
              <w:tabs>
                <w:tab w:pos="1877" w:val="left" w:leader="none"/>
                <w:tab w:pos="2670" w:val="left" w:leader="none"/>
                <w:tab w:pos="3462" w:val="left" w:leader="none"/>
                <w:tab w:pos="4255" w:val="left" w:leader="none"/>
                <w:tab w:pos="5048" w:val="left" w:leader="none"/>
                <w:tab w:pos="5841" w:val="left" w:leader="none"/>
                <w:tab w:pos="6633" w:val="left" w:leader="none"/>
                <w:tab w:pos="7603" w:val="right" w:leader="none"/>
              </w:tabs>
              <w:spacing w:before="46"/>
              <w:ind w:left="93"/>
              <w:rPr>
                <w:b/>
                <w:sz w:val="12"/>
              </w:rPr>
            </w:pPr>
            <w:r>
              <w:rPr>
                <w:spacing w:val="-2"/>
                <w:sz w:val="12"/>
              </w:rPr>
              <w:t>Telephone</w:t>
            </w:r>
            <w:r>
              <w:rPr>
                <w:sz w:val="12"/>
              </w:rPr>
              <w:tab/>
            </w:r>
            <w:r>
              <w:rPr>
                <w:spacing w:val="-5"/>
                <w:sz w:val="12"/>
              </w:rPr>
              <w:t>93</w:t>
            </w:r>
            <w:r>
              <w:rPr>
                <w:sz w:val="12"/>
              </w:rPr>
              <w:tab/>
            </w:r>
            <w:r>
              <w:rPr>
                <w:b/>
                <w:spacing w:val="-5"/>
                <w:sz w:val="12"/>
              </w:rPr>
              <w:t>87</w:t>
            </w:r>
            <w:r>
              <w:rPr>
                <w:b/>
                <w:sz w:val="12"/>
              </w:rPr>
              <w:tab/>
            </w:r>
            <w:r>
              <w:rPr>
                <w:spacing w:val="-5"/>
                <w:sz w:val="12"/>
              </w:rPr>
              <w:t>65</w:t>
            </w:r>
            <w:r>
              <w:rPr>
                <w:sz w:val="12"/>
              </w:rPr>
              <w:tab/>
            </w:r>
            <w:r>
              <w:rPr>
                <w:b/>
                <w:spacing w:val="-5"/>
                <w:sz w:val="12"/>
              </w:rPr>
              <w:t>48</w:t>
            </w:r>
            <w:r>
              <w:rPr>
                <w:b/>
                <w:sz w:val="12"/>
              </w:rPr>
              <w:tab/>
            </w:r>
            <w:r>
              <w:rPr>
                <w:spacing w:val="-5"/>
                <w:sz w:val="12"/>
              </w:rPr>
              <w:t>86</w:t>
            </w:r>
            <w:r>
              <w:rPr>
                <w:sz w:val="12"/>
              </w:rPr>
              <w:tab/>
            </w:r>
            <w:r>
              <w:rPr>
                <w:b/>
                <w:spacing w:val="-5"/>
                <w:sz w:val="12"/>
              </w:rPr>
              <w:t>78</w:t>
            </w:r>
            <w:r>
              <w:rPr>
                <w:b/>
                <w:sz w:val="12"/>
              </w:rPr>
              <w:tab/>
            </w:r>
            <w:r>
              <w:rPr>
                <w:spacing w:val="-5"/>
                <w:sz w:val="12"/>
              </w:rPr>
              <w:t>54</w:t>
            </w:r>
            <w:r>
              <w:rPr>
                <w:sz w:val="12"/>
              </w:rPr>
              <w:tab/>
            </w:r>
            <w:r>
              <w:rPr>
                <w:b/>
                <w:spacing w:val="-5"/>
                <w:sz w:val="12"/>
              </w:rPr>
              <w:t>38</w:t>
            </w:r>
          </w:p>
          <w:p>
            <w:pPr>
              <w:pStyle w:val="TableParagraph"/>
              <w:tabs>
                <w:tab w:pos="1877" w:val="left" w:leader="none"/>
                <w:tab w:pos="2670" w:val="left" w:leader="none"/>
                <w:tab w:pos="3462" w:val="left" w:leader="none"/>
                <w:tab w:pos="4255" w:val="left" w:leader="none"/>
                <w:tab w:pos="5048" w:val="left" w:leader="none"/>
                <w:tab w:pos="5841" w:val="left" w:leader="none"/>
                <w:tab w:pos="6633" w:val="left" w:leader="none"/>
                <w:tab w:pos="7603" w:val="right" w:leader="none"/>
              </w:tabs>
              <w:spacing w:before="143"/>
              <w:ind w:left="93"/>
              <w:rPr>
                <w:b/>
                <w:sz w:val="12"/>
              </w:rPr>
            </w:pPr>
            <w:r>
              <w:rPr>
                <w:spacing w:val="-2"/>
                <w:sz w:val="12"/>
              </w:rPr>
              <w:t>Email</w:t>
            </w:r>
            <w:r>
              <w:rPr>
                <w:sz w:val="12"/>
              </w:rPr>
              <w:tab/>
            </w:r>
            <w:r>
              <w:rPr>
                <w:spacing w:val="-5"/>
                <w:sz w:val="12"/>
              </w:rPr>
              <w:t>81</w:t>
            </w:r>
            <w:r>
              <w:rPr>
                <w:sz w:val="12"/>
              </w:rPr>
              <w:tab/>
            </w:r>
            <w:r>
              <w:rPr>
                <w:b/>
                <w:spacing w:val="-5"/>
                <w:sz w:val="12"/>
              </w:rPr>
              <w:t>77</w:t>
            </w:r>
            <w:r>
              <w:rPr>
                <w:b/>
                <w:sz w:val="12"/>
              </w:rPr>
              <w:tab/>
            </w:r>
            <w:r>
              <w:rPr>
                <w:spacing w:val="-5"/>
                <w:sz w:val="12"/>
              </w:rPr>
              <w:t>31</w:t>
            </w:r>
            <w:r>
              <w:rPr>
                <w:sz w:val="12"/>
              </w:rPr>
              <w:tab/>
            </w:r>
            <w:r>
              <w:rPr>
                <w:b/>
                <w:spacing w:val="-5"/>
                <w:sz w:val="12"/>
              </w:rPr>
              <w:t>40</w:t>
            </w:r>
            <w:r>
              <w:rPr>
                <w:b/>
                <w:sz w:val="12"/>
              </w:rPr>
              <w:tab/>
            </w:r>
            <w:r>
              <w:rPr>
                <w:spacing w:val="-5"/>
                <w:sz w:val="12"/>
              </w:rPr>
              <w:t>78</w:t>
            </w:r>
            <w:r>
              <w:rPr>
                <w:sz w:val="12"/>
              </w:rPr>
              <w:tab/>
            </w:r>
            <w:r>
              <w:rPr>
                <w:b/>
                <w:spacing w:val="-5"/>
                <w:sz w:val="12"/>
              </w:rPr>
              <w:t>78</w:t>
            </w:r>
            <w:r>
              <w:rPr>
                <w:b/>
                <w:sz w:val="12"/>
              </w:rPr>
              <w:tab/>
            </w:r>
            <w:r>
              <w:rPr>
                <w:spacing w:val="-5"/>
                <w:sz w:val="12"/>
              </w:rPr>
              <w:t>38</w:t>
            </w:r>
            <w:r>
              <w:rPr>
                <w:sz w:val="12"/>
              </w:rPr>
              <w:tab/>
            </w:r>
            <w:r>
              <w:rPr>
                <w:b/>
                <w:spacing w:val="-5"/>
                <w:sz w:val="12"/>
              </w:rPr>
              <w:t>47</w:t>
            </w:r>
          </w:p>
          <w:p>
            <w:pPr>
              <w:pStyle w:val="TableParagraph"/>
              <w:tabs>
                <w:tab w:pos="1877" w:val="left" w:leader="none"/>
                <w:tab w:pos="2670" w:val="left" w:leader="none"/>
                <w:tab w:pos="3462" w:val="left" w:leader="none"/>
                <w:tab w:pos="4255" w:val="left" w:leader="none"/>
                <w:tab w:pos="5048" w:val="left" w:leader="none"/>
                <w:tab w:pos="5841" w:val="left" w:leader="none"/>
                <w:tab w:pos="6633" w:val="left" w:leader="none"/>
                <w:tab w:pos="7517" w:val="right" w:leader="none"/>
              </w:tabs>
              <w:spacing w:before="143"/>
              <w:ind w:left="93"/>
              <w:rPr>
                <w:b/>
                <w:sz w:val="12"/>
              </w:rPr>
            </w:pPr>
            <w:r>
              <w:rPr>
                <w:spacing w:val="-2"/>
                <w:sz w:val="12"/>
              </w:rPr>
              <w:t>Letter</w:t>
            </w:r>
            <w:r>
              <w:rPr>
                <w:sz w:val="12"/>
              </w:rPr>
              <w:tab/>
            </w:r>
            <w:r>
              <w:rPr>
                <w:spacing w:val="-5"/>
                <w:sz w:val="12"/>
              </w:rPr>
              <w:t>35</w:t>
            </w:r>
            <w:r>
              <w:rPr>
                <w:sz w:val="12"/>
              </w:rPr>
              <w:tab/>
            </w:r>
            <w:r>
              <w:rPr>
                <w:b/>
                <w:spacing w:val="-5"/>
                <w:sz w:val="12"/>
              </w:rPr>
              <w:t>24</w:t>
            </w:r>
            <w:r>
              <w:rPr>
                <w:b/>
                <w:sz w:val="12"/>
              </w:rPr>
              <w:tab/>
            </w:r>
            <w:r>
              <w:rPr>
                <w:spacing w:val="-10"/>
                <w:sz w:val="12"/>
              </w:rPr>
              <w:t>1</w:t>
            </w:r>
            <w:r>
              <w:rPr>
                <w:sz w:val="12"/>
              </w:rPr>
              <w:tab/>
            </w:r>
            <w:r>
              <w:rPr>
                <w:b/>
                <w:spacing w:val="-10"/>
                <w:sz w:val="12"/>
              </w:rPr>
              <w:t>3</w:t>
            </w:r>
            <w:r>
              <w:rPr>
                <w:b/>
                <w:sz w:val="12"/>
              </w:rPr>
              <w:tab/>
            </w:r>
            <w:r>
              <w:rPr>
                <w:spacing w:val="-5"/>
                <w:sz w:val="12"/>
              </w:rPr>
              <w:t>22</w:t>
            </w:r>
            <w:r>
              <w:rPr>
                <w:sz w:val="12"/>
              </w:rPr>
              <w:tab/>
            </w:r>
            <w:r>
              <w:rPr>
                <w:b/>
                <w:spacing w:val="-5"/>
                <w:sz w:val="12"/>
              </w:rPr>
              <w:t>14</w:t>
            </w:r>
            <w:r>
              <w:rPr>
                <w:b/>
                <w:sz w:val="12"/>
              </w:rPr>
              <w:tab/>
            </w:r>
            <w:r>
              <w:rPr>
                <w:spacing w:val="-10"/>
                <w:sz w:val="12"/>
              </w:rPr>
              <w:t>2</w:t>
            </w:r>
            <w:r>
              <w:rPr>
                <w:sz w:val="12"/>
              </w:rPr>
              <w:tab/>
            </w:r>
            <w:r>
              <w:rPr>
                <w:b/>
                <w:spacing w:val="-10"/>
                <w:sz w:val="12"/>
              </w:rPr>
              <w:t>1</w:t>
            </w:r>
          </w:p>
          <w:p>
            <w:pPr>
              <w:pStyle w:val="TableParagraph"/>
              <w:spacing w:before="9"/>
              <w:rPr>
                <w:b/>
                <w:sz w:val="11"/>
              </w:rPr>
            </w:pPr>
          </w:p>
          <w:p>
            <w:pPr>
              <w:pStyle w:val="TableParagraph"/>
              <w:tabs>
                <w:tab w:pos="1877" w:val="left" w:leader="none"/>
                <w:tab w:pos="2670" w:val="left" w:leader="none"/>
                <w:tab w:pos="3462" w:val="left" w:leader="none"/>
                <w:tab w:pos="4255" w:val="left" w:leader="none"/>
                <w:tab w:pos="5048" w:val="left" w:leader="none"/>
                <w:tab w:pos="5841" w:val="left" w:leader="none"/>
                <w:tab w:pos="6633" w:val="left" w:leader="none"/>
                <w:tab w:pos="7426" w:val="left" w:leader="none"/>
              </w:tabs>
              <w:ind w:left="93"/>
              <w:rPr>
                <w:b/>
                <w:sz w:val="12"/>
              </w:rPr>
            </w:pPr>
            <w:r>
              <w:rPr>
                <w:w w:val="105"/>
                <w:sz w:val="12"/>
              </w:rPr>
              <w:t>Face</w:t>
            </w:r>
            <w:r>
              <w:rPr>
                <w:spacing w:val="-1"/>
                <w:w w:val="105"/>
                <w:sz w:val="12"/>
              </w:rPr>
              <w:t> </w:t>
            </w:r>
            <w:r>
              <w:rPr>
                <w:w w:val="105"/>
                <w:sz w:val="12"/>
              </w:rPr>
              <w:t>to</w:t>
            </w:r>
            <w:r>
              <w:rPr>
                <w:spacing w:val="13"/>
                <w:w w:val="105"/>
                <w:sz w:val="12"/>
              </w:rPr>
              <w:t> </w:t>
            </w:r>
            <w:r>
              <w:rPr>
                <w:spacing w:val="-4"/>
                <w:w w:val="105"/>
                <w:sz w:val="12"/>
              </w:rPr>
              <w:t>face</w:t>
            </w:r>
            <w:r>
              <w:rPr>
                <w:sz w:val="12"/>
              </w:rPr>
              <w:tab/>
            </w:r>
            <w:r>
              <w:rPr>
                <w:spacing w:val="-10"/>
                <w:w w:val="105"/>
                <w:sz w:val="12"/>
              </w:rPr>
              <w:t>-</w:t>
            </w:r>
            <w:r>
              <w:rPr>
                <w:sz w:val="12"/>
              </w:rPr>
              <w:tab/>
            </w:r>
            <w:r>
              <w:rPr>
                <w:b/>
                <w:spacing w:val="-10"/>
                <w:w w:val="105"/>
                <w:sz w:val="12"/>
              </w:rPr>
              <w:t>*</w:t>
            </w:r>
            <w:r>
              <w:rPr>
                <w:b/>
                <w:sz w:val="12"/>
              </w:rPr>
              <w:tab/>
            </w:r>
            <w:r>
              <w:rPr>
                <w:spacing w:val="-10"/>
                <w:w w:val="105"/>
                <w:sz w:val="12"/>
              </w:rPr>
              <w:t>-</w:t>
            </w:r>
            <w:r>
              <w:rPr>
                <w:sz w:val="12"/>
              </w:rPr>
              <w:tab/>
            </w:r>
            <w:r>
              <w:rPr>
                <w:b/>
                <w:spacing w:val="-10"/>
                <w:w w:val="105"/>
                <w:sz w:val="12"/>
              </w:rPr>
              <w:t>-</w:t>
            </w:r>
            <w:r>
              <w:rPr>
                <w:b/>
                <w:sz w:val="12"/>
              </w:rPr>
              <w:tab/>
            </w:r>
            <w:r>
              <w:rPr>
                <w:spacing w:val="-10"/>
                <w:w w:val="105"/>
                <w:sz w:val="12"/>
              </w:rPr>
              <w:t>-</w:t>
            </w:r>
            <w:r>
              <w:rPr>
                <w:sz w:val="12"/>
              </w:rPr>
              <w:tab/>
            </w:r>
            <w:r>
              <w:rPr>
                <w:b/>
                <w:spacing w:val="-10"/>
                <w:w w:val="105"/>
                <w:sz w:val="12"/>
              </w:rPr>
              <w:t>-</w:t>
            </w:r>
            <w:r>
              <w:rPr>
                <w:b/>
                <w:sz w:val="12"/>
              </w:rPr>
              <w:tab/>
            </w:r>
            <w:r>
              <w:rPr>
                <w:spacing w:val="-10"/>
                <w:w w:val="105"/>
                <w:sz w:val="12"/>
              </w:rPr>
              <w:t>-</w:t>
            </w:r>
            <w:r>
              <w:rPr>
                <w:sz w:val="12"/>
              </w:rPr>
              <w:tab/>
            </w:r>
            <w:r>
              <w:rPr>
                <w:b/>
                <w:spacing w:val="-10"/>
                <w:w w:val="105"/>
                <w:sz w:val="12"/>
              </w:rPr>
              <w:t>-</w:t>
            </w:r>
          </w:p>
          <w:p>
            <w:pPr>
              <w:pStyle w:val="TableParagraph"/>
              <w:tabs>
                <w:tab w:pos="1877" w:val="left" w:leader="none"/>
                <w:tab w:pos="2670" w:val="left" w:leader="none"/>
                <w:tab w:pos="3462" w:val="left" w:leader="none"/>
                <w:tab w:pos="4255" w:val="left" w:leader="none"/>
                <w:tab w:pos="5048" w:val="left" w:leader="none"/>
                <w:tab w:pos="5841" w:val="left" w:leader="none"/>
                <w:tab w:pos="6633" w:val="left" w:leader="none"/>
                <w:tab w:pos="7517" w:val="right" w:leader="none"/>
              </w:tabs>
              <w:spacing w:before="143"/>
              <w:ind w:left="93"/>
              <w:rPr>
                <w:b/>
                <w:sz w:val="12"/>
              </w:rPr>
            </w:pPr>
            <w:r>
              <w:rPr>
                <w:sz w:val="12"/>
              </w:rPr>
              <w:t>No</w:t>
            </w:r>
            <w:r>
              <w:rPr>
                <w:spacing w:val="18"/>
                <w:sz w:val="12"/>
              </w:rPr>
              <w:t> </w:t>
            </w:r>
            <w:r>
              <w:rPr>
                <w:spacing w:val="-2"/>
                <w:sz w:val="12"/>
              </w:rPr>
              <w:t>contact</w:t>
            </w:r>
            <w:r>
              <w:rPr>
                <w:sz w:val="12"/>
              </w:rPr>
              <w:tab/>
            </w:r>
            <w:r>
              <w:rPr>
                <w:spacing w:val="-10"/>
                <w:sz w:val="12"/>
              </w:rPr>
              <w:t>2</w:t>
            </w:r>
            <w:r>
              <w:rPr>
                <w:sz w:val="12"/>
              </w:rPr>
              <w:tab/>
            </w:r>
            <w:r>
              <w:rPr>
                <w:b/>
                <w:spacing w:val="-10"/>
                <w:sz w:val="12"/>
              </w:rPr>
              <w:t>2</w:t>
            </w:r>
            <w:r>
              <w:rPr>
                <w:b/>
                <w:sz w:val="12"/>
              </w:rPr>
              <w:tab/>
            </w:r>
            <w:r>
              <w:rPr>
                <w:spacing w:val="-10"/>
                <w:sz w:val="12"/>
              </w:rPr>
              <w:t>2</w:t>
            </w:r>
            <w:r>
              <w:rPr>
                <w:sz w:val="12"/>
              </w:rPr>
              <w:tab/>
            </w:r>
            <w:r>
              <w:rPr>
                <w:b/>
                <w:spacing w:val="-10"/>
                <w:sz w:val="12"/>
              </w:rPr>
              <w:t>2</w:t>
            </w:r>
            <w:r>
              <w:rPr>
                <w:b/>
                <w:sz w:val="12"/>
              </w:rPr>
              <w:tab/>
            </w:r>
            <w:r>
              <w:rPr>
                <w:spacing w:val="-10"/>
                <w:sz w:val="12"/>
              </w:rPr>
              <w:t>3</w:t>
            </w:r>
            <w:r>
              <w:rPr>
                <w:sz w:val="12"/>
              </w:rPr>
              <w:tab/>
            </w:r>
            <w:r>
              <w:rPr>
                <w:b/>
                <w:spacing w:val="-10"/>
                <w:sz w:val="12"/>
              </w:rPr>
              <w:t>4</w:t>
            </w:r>
            <w:r>
              <w:rPr>
                <w:b/>
                <w:sz w:val="12"/>
              </w:rPr>
              <w:tab/>
            </w:r>
            <w:r>
              <w:rPr>
                <w:spacing w:val="-10"/>
                <w:sz w:val="12"/>
              </w:rPr>
              <w:t>3</w:t>
            </w:r>
            <w:r>
              <w:rPr>
                <w:sz w:val="12"/>
              </w:rPr>
              <w:tab/>
            </w:r>
            <w:r>
              <w:rPr>
                <w:b/>
                <w:spacing w:val="-10"/>
                <w:sz w:val="12"/>
              </w:rPr>
              <w:t>4</w:t>
            </w:r>
          </w:p>
          <w:p>
            <w:pPr>
              <w:pStyle w:val="TableParagraph"/>
              <w:tabs>
                <w:tab w:pos="1877" w:val="left" w:leader="none"/>
                <w:tab w:pos="2670" w:val="left" w:leader="none"/>
                <w:tab w:pos="3462" w:val="left" w:leader="none"/>
                <w:tab w:pos="4255" w:val="left" w:leader="none"/>
                <w:tab w:pos="5048" w:val="left" w:leader="none"/>
                <w:tab w:pos="5841" w:val="left" w:leader="none"/>
                <w:tab w:pos="6633" w:val="left" w:leader="none"/>
                <w:tab w:pos="7603" w:val="right" w:leader="none"/>
              </w:tabs>
              <w:spacing w:before="143"/>
              <w:ind w:left="93"/>
              <w:rPr>
                <w:b/>
                <w:sz w:val="12"/>
              </w:rPr>
            </w:pPr>
            <w:r>
              <w:rPr>
                <w:sz w:val="12"/>
              </w:rPr>
              <w:t>Don’t</w:t>
            </w:r>
            <w:r>
              <w:rPr>
                <w:spacing w:val="27"/>
                <w:sz w:val="12"/>
              </w:rPr>
              <w:t> </w:t>
            </w:r>
            <w:r>
              <w:rPr>
                <w:spacing w:val="-4"/>
                <w:sz w:val="12"/>
              </w:rPr>
              <w:t>know</w:t>
            </w:r>
            <w:r>
              <w:rPr>
                <w:sz w:val="12"/>
              </w:rPr>
              <w:tab/>
            </w:r>
            <w:r>
              <w:rPr>
                <w:spacing w:val="-10"/>
                <w:sz w:val="12"/>
              </w:rPr>
              <w:t>1</w:t>
            </w:r>
            <w:r>
              <w:rPr>
                <w:sz w:val="12"/>
              </w:rPr>
              <w:tab/>
            </w:r>
            <w:r>
              <w:rPr>
                <w:b/>
                <w:spacing w:val="-10"/>
                <w:sz w:val="12"/>
              </w:rPr>
              <w:t>1</w:t>
            </w:r>
            <w:r>
              <w:rPr>
                <w:b/>
                <w:sz w:val="12"/>
              </w:rPr>
              <w:tab/>
            </w:r>
            <w:r>
              <w:rPr>
                <w:spacing w:val="-10"/>
                <w:sz w:val="12"/>
              </w:rPr>
              <w:t>1</w:t>
            </w:r>
            <w:r>
              <w:rPr>
                <w:sz w:val="12"/>
              </w:rPr>
              <w:tab/>
            </w:r>
            <w:r>
              <w:rPr>
                <w:b/>
                <w:spacing w:val="-10"/>
                <w:sz w:val="12"/>
              </w:rPr>
              <w:t>7</w:t>
            </w:r>
            <w:r>
              <w:rPr>
                <w:b/>
                <w:sz w:val="12"/>
              </w:rPr>
              <w:tab/>
            </w:r>
            <w:r>
              <w:rPr>
                <w:spacing w:val="-10"/>
                <w:sz w:val="12"/>
              </w:rPr>
              <w:t>3</w:t>
            </w:r>
            <w:r>
              <w:rPr>
                <w:sz w:val="12"/>
              </w:rPr>
              <w:tab/>
            </w:r>
            <w:r>
              <w:rPr>
                <w:b/>
                <w:spacing w:val="-10"/>
                <w:sz w:val="12"/>
              </w:rPr>
              <w:t>2</w:t>
            </w:r>
            <w:r>
              <w:rPr>
                <w:b/>
                <w:sz w:val="12"/>
              </w:rPr>
              <w:tab/>
            </w:r>
            <w:r>
              <w:rPr>
                <w:spacing w:val="-10"/>
                <w:sz w:val="12"/>
              </w:rPr>
              <w:t>3</w:t>
            </w:r>
            <w:r>
              <w:rPr>
                <w:sz w:val="12"/>
              </w:rPr>
              <w:tab/>
            </w:r>
            <w:r>
              <w:rPr>
                <w:b/>
                <w:spacing w:val="-5"/>
                <w:sz w:val="12"/>
              </w:rPr>
              <w:t>10</w:t>
            </w:r>
          </w:p>
          <w:p>
            <w:pPr>
              <w:pStyle w:val="TableParagraph"/>
              <w:tabs>
                <w:tab w:pos="1877" w:val="left" w:leader="none"/>
                <w:tab w:pos="2670" w:val="left" w:leader="none"/>
                <w:tab w:pos="3462" w:val="left" w:leader="none"/>
                <w:tab w:pos="4255" w:val="left" w:leader="none"/>
                <w:tab w:pos="5048" w:val="left" w:leader="none"/>
                <w:tab w:pos="5841" w:val="left" w:leader="none"/>
                <w:tab w:pos="6633" w:val="left" w:leader="none"/>
                <w:tab w:pos="7691" w:val="right" w:leader="none"/>
              </w:tabs>
              <w:spacing w:before="142"/>
              <w:ind w:left="93"/>
              <w:rPr>
                <w:b/>
                <w:i/>
                <w:sz w:val="12"/>
              </w:rPr>
            </w:pPr>
            <w:r>
              <w:rPr>
                <w:i/>
                <w:sz w:val="12"/>
              </w:rPr>
              <w:t>Unweighted</w:t>
            </w:r>
            <w:r>
              <w:rPr>
                <w:i/>
                <w:spacing w:val="63"/>
                <w:sz w:val="12"/>
              </w:rPr>
              <w:t> </w:t>
            </w:r>
            <w:r>
              <w:rPr>
                <w:i/>
                <w:spacing w:val="-4"/>
                <w:sz w:val="12"/>
              </w:rPr>
              <w:t>base</w:t>
            </w:r>
            <w:r>
              <w:rPr>
                <w:i/>
                <w:sz w:val="12"/>
              </w:rPr>
              <w:tab/>
            </w:r>
            <w:r>
              <w:rPr>
                <w:i/>
                <w:spacing w:val="-5"/>
                <w:sz w:val="12"/>
              </w:rPr>
              <w:t>485</w:t>
            </w:r>
            <w:r>
              <w:rPr>
                <w:i/>
                <w:sz w:val="12"/>
              </w:rPr>
              <w:tab/>
            </w:r>
            <w:r>
              <w:rPr>
                <w:b/>
                <w:i/>
                <w:spacing w:val="-5"/>
                <w:sz w:val="12"/>
              </w:rPr>
              <w:t>472</w:t>
            </w:r>
            <w:r>
              <w:rPr>
                <w:b/>
                <w:i/>
                <w:sz w:val="12"/>
              </w:rPr>
              <w:tab/>
            </w:r>
            <w:r>
              <w:rPr>
                <w:i/>
                <w:spacing w:val="-5"/>
                <w:sz w:val="12"/>
              </w:rPr>
              <w:t>485</w:t>
            </w:r>
            <w:r>
              <w:rPr>
                <w:i/>
                <w:sz w:val="12"/>
              </w:rPr>
              <w:tab/>
            </w:r>
            <w:r>
              <w:rPr>
                <w:b/>
                <w:i/>
                <w:spacing w:val="-5"/>
                <w:sz w:val="12"/>
              </w:rPr>
              <w:t>472</w:t>
            </w:r>
            <w:r>
              <w:rPr>
                <w:b/>
                <w:i/>
                <w:sz w:val="12"/>
              </w:rPr>
              <w:tab/>
            </w:r>
            <w:r>
              <w:rPr>
                <w:i/>
                <w:spacing w:val="-5"/>
                <w:sz w:val="12"/>
              </w:rPr>
              <w:t>461</w:t>
            </w:r>
            <w:r>
              <w:rPr>
                <w:i/>
                <w:sz w:val="12"/>
              </w:rPr>
              <w:tab/>
            </w:r>
            <w:r>
              <w:rPr>
                <w:b/>
                <w:i/>
                <w:spacing w:val="-5"/>
                <w:sz w:val="12"/>
              </w:rPr>
              <w:t>443</w:t>
            </w:r>
            <w:r>
              <w:rPr>
                <w:b/>
                <w:i/>
                <w:sz w:val="12"/>
              </w:rPr>
              <w:tab/>
            </w:r>
            <w:r>
              <w:rPr>
                <w:i/>
                <w:spacing w:val="-5"/>
                <w:sz w:val="12"/>
              </w:rPr>
              <w:t>461</w:t>
            </w:r>
            <w:r>
              <w:rPr>
                <w:i/>
                <w:sz w:val="12"/>
              </w:rPr>
              <w:tab/>
            </w:r>
            <w:r>
              <w:rPr>
                <w:b/>
                <w:i/>
                <w:spacing w:val="-5"/>
                <w:sz w:val="12"/>
              </w:rPr>
              <w:t>443</w:t>
            </w:r>
          </w:p>
        </w:tc>
      </w:tr>
      <w:tr>
        <w:trPr>
          <w:trHeight w:val="549" w:hRule="atLeast"/>
        </w:trPr>
        <w:tc>
          <w:tcPr>
            <w:tcW w:w="4949" w:type="dxa"/>
            <w:tcBorders>
              <w:top w:val="single" w:sz="6" w:space="0" w:color="000000"/>
            </w:tcBorders>
          </w:tcPr>
          <w:p>
            <w:pPr>
              <w:pStyle w:val="TableParagraph"/>
              <w:spacing w:line="256" w:lineRule="auto" w:before="46"/>
              <w:ind w:left="93" w:right="144"/>
              <w:rPr>
                <w:sz w:val="12"/>
              </w:rPr>
            </w:pPr>
            <w:r>
              <w:rPr>
                <w:w w:val="105"/>
                <w:sz w:val="12"/>
              </w:rPr>
              <w:t>Base: All claimants</w:t>
            </w:r>
            <w:r>
              <w:rPr>
                <w:spacing w:val="40"/>
                <w:w w:val="105"/>
                <w:sz w:val="12"/>
              </w:rPr>
              <w:t> </w:t>
            </w:r>
            <w:r>
              <w:rPr>
                <w:w w:val="105"/>
                <w:sz w:val="12"/>
              </w:rPr>
              <w:t>(and representatives) and employers</w:t>
            </w:r>
            <w:r>
              <w:rPr>
                <w:spacing w:val="40"/>
                <w:w w:val="105"/>
                <w:sz w:val="12"/>
              </w:rPr>
              <w:t> </w:t>
            </w:r>
            <w:r>
              <w:rPr>
                <w:w w:val="105"/>
                <w:sz w:val="12"/>
              </w:rPr>
              <w:t>(and representatives)</w:t>
            </w:r>
            <w:r>
              <w:rPr>
                <w:spacing w:val="29"/>
                <w:w w:val="105"/>
                <w:sz w:val="12"/>
              </w:rPr>
              <w:t> </w:t>
            </w:r>
            <w:r>
              <w:rPr>
                <w:w w:val="105"/>
                <w:sz w:val="12"/>
              </w:rPr>
              <w:t>who had</w:t>
            </w:r>
            <w:r>
              <w:rPr>
                <w:spacing w:val="26"/>
                <w:w w:val="105"/>
                <w:sz w:val="12"/>
              </w:rPr>
              <w:t> </w:t>
            </w:r>
            <w:r>
              <w:rPr>
                <w:w w:val="105"/>
                <w:sz w:val="12"/>
              </w:rPr>
              <w:t>contact with a conciliator after</w:t>
            </w:r>
            <w:r>
              <w:rPr>
                <w:spacing w:val="-3"/>
                <w:w w:val="105"/>
                <w:sz w:val="12"/>
              </w:rPr>
              <w:t> </w:t>
            </w:r>
            <w:r>
              <w:rPr>
                <w:w w:val="105"/>
                <w:sz w:val="12"/>
              </w:rPr>
              <w:t>the ET claim was</w:t>
            </w:r>
            <w:r>
              <w:rPr>
                <w:spacing w:val="-3"/>
                <w:w w:val="105"/>
                <w:sz w:val="12"/>
              </w:rPr>
              <w:t> </w:t>
            </w:r>
            <w:r>
              <w:rPr>
                <w:w w:val="105"/>
                <w:sz w:val="12"/>
              </w:rPr>
              <w:t>submitted</w:t>
            </w:r>
          </w:p>
        </w:tc>
        <w:tc>
          <w:tcPr>
            <w:tcW w:w="3171" w:type="dxa"/>
            <w:tcBorders>
              <w:top w:val="single" w:sz="6" w:space="0" w:color="000000"/>
            </w:tcBorders>
          </w:tcPr>
          <w:p>
            <w:pPr>
              <w:pStyle w:val="TableParagraph"/>
              <w:spacing w:before="49"/>
              <w:ind w:left="271" w:right="-44"/>
              <w:rPr>
                <w:sz w:val="12"/>
              </w:rPr>
            </w:pPr>
            <w:r>
              <w:rPr>
                <w:w w:val="105"/>
                <w:sz w:val="12"/>
              </w:rPr>
              <w:t>Statistically</w:t>
            </w:r>
            <w:r>
              <w:rPr>
                <w:spacing w:val="7"/>
                <w:w w:val="105"/>
                <w:sz w:val="12"/>
              </w:rPr>
              <w:t> </w:t>
            </w:r>
            <w:r>
              <w:rPr>
                <w:w w:val="105"/>
                <w:sz w:val="12"/>
              </w:rPr>
              <w:t>significant</w:t>
            </w:r>
            <w:r>
              <w:rPr>
                <w:spacing w:val="37"/>
                <w:w w:val="105"/>
                <w:sz w:val="12"/>
              </w:rPr>
              <w:t> </w:t>
            </w:r>
            <w:r>
              <w:rPr>
                <w:w w:val="105"/>
                <w:sz w:val="12"/>
              </w:rPr>
              <w:t>difference</w:t>
            </w:r>
            <w:r>
              <w:rPr>
                <w:spacing w:val="18"/>
                <w:w w:val="105"/>
                <w:sz w:val="12"/>
              </w:rPr>
              <w:t> </w:t>
            </w:r>
            <w:r>
              <w:rPr>
                <w:w w:val="105"/>
                <w:sz w:val="12"/>
              </w:rPr>
              <w:t>since</w:t>
            </w:r>
            <w:r>
              <w:rPr>
                <w:spacing w:val="18"/>
                <w:w w:val="105"/>
                <w:sz w:val="12"/>
              </w:rPr>
              <w:t> </w:t>
            </w:r>
            <w:r>
              <w:rPr>
                <w:spacing w:val="-4"/>
                <w:w w:val="105"/>
                <w:sz w:val="12"/>
              </w:rPr>
              <w:t>2016</w:t>
            </w:r>
          </w:p>
        </w:tc>
      </w:tr>
    </w:tbl>
    <w:p>
      <w:pPr>
        <w:pStyle w:val="BodyText"/>
        <w:spacing w:before="6"/>
        <w:rPr>
          <w:b/>
          <w:sz w:val="22"/>
        </w:rPr>
      </w:pPr>
    </w:p>
    <w:p>
      <w:pPr>
        <w:pStyle w:val="BodyText"/>
        <w:spacing w:line="243" w:lineRule="exact"/>
        <w:ind w:left="1338"/>
        <w:jc w:val="both"/>
      </w:pPr>
      <w:r>
        <w:rPr/>
        <w:pict>
          <v:shape style="position:absolute;margin-left:340.772003pt;margin-top:-38.173424pt;width:8.85pt;height:4.45pt;mso-position-horizontal-relative:page;mso-position-vertical-relative:paragraph;z-index:-18097152" id="docshape63" coordorigin="6815,-763" coordsize="177,89" path="m6904,-675l6860,-763,6815,-675,6904,-675xm6992,-763l6904,-763,6948,-675,6992,-763xe" filled="true" fillcolor="#666666" stroked="false">
            <v:path arrowok="t"/>
            <v:fill type="solid"/>
            <w10:wrap type="none"/>
          </v:shape>
        </w:pict>
      </w:r>
      <w:r>
        <w:rPr/>
        <w:pict>
          <v:shape style="position:absolute;margin-left:475.055878pt;margin-top:-67.549377pt;width:4.95pt;height:4.45pt;mso-position-horizontal-relative:page;mso-position-vertical-relative:paragraph;z-index:-18094592" id="docshape64" coordorigin="9501,-1351" coordsize="99,89" path="m9599,-1263l9501,-1263,9550,-1351,9599,-1263xe" filled="true" fillcolor="#666666" stroked="false">
            <v:path arrowok="t"/>
            <v:fill type="solid"/>
            <w10:wrap type="none"/>
          </v:shape>
        </w:pict>
      </w:r>
      <w:r>
        <w:rPr/>
        <w:t>There</w:t>
      </w:r>
      <w:r>
        <w:rPr>
          <w:spacing w:val="-6"/>
        </w:rPr>
        <w:t> </w:t>
      </w:r>
      <w:r>
        <w:rPr/>
        <w:t>were</w:t>
      </w:r>
      <w:r>
        <w:rPr>
          <w:spacing w:val="-4"/>
        </w:rPr>
        <w:t> </w:t>
      </w:r>
      <w:r>
        <w:rPr/>
        <w:t>a</w:t>
      </w:r>
      <w:r>
        <w:rPr>
          <w:spacing w:val="-3"/>
        </w:rPr>
        <w:t> </w:t>
      </w:r>
      <w:r>
        <w:rPr/>
        <w:t>handful</w:t>
      </w:r>
      <w:r>
        <w:rPr>
          <w:spacing w:val="-3"/>
        </w:rPr>
        <w:t> </w:t>
      </w:r>
      <w:r>
        <w:rPr/>
        <w:t>of</w:t>
      </w:r>
      <w:r>
        <w:rPr>
          <w:spacing w:val="-4"/>
        </w:rPr>
        <w:t> </w:t>
      </w:r>
      <w:r>
        <w:rPr/>
        <w:t>significant</w:t>
      </w:r>
      <w:r>
        <w:rPr>
          <w:spacing w:val="-3"/>
        </w:rPr>
        <w:t> </w:t>
      </w:r>
      <w:r>
        <w:rPr/>
        <w:t>differences</w:t>
      </w:r>
      <w:r>
        <w:rPr>
          <w:spacing w:val="-4"/>
        </w:rPr>
        <w:t> </w:t>
      </w:r>
      <w:r>
        <w:rPr/>
        <w:t>of</w:t>
      </w:r>
      <w:r>
        <w:rPr>
          <w:spacing w:val="-2"/>
        </w:rPr>
        <w:t> note:</w:t>
      </w:r>
    </w:p>
    <w:p>
      <w:pPr>
        <w:pStyle w:val="ListParagraph"/>
        <w:numPr>
          <w:ilvl w:val="0"/>
          <w:numId w:val="39"/>
        </w:numPr>
        <w:tabs>
          <w:tab w:pos="2059" w:val="left" w:leader="none"/>
        </w:tabs>
        <w:spacing w:line="240" w:lineRule="auto" w:before="0" w:after="0"/>
        <w:ind w:left="2057" w:right="1473" w:hanging="360"/>
        <w:jc w:val="both"/>
        <w:rPr>
          <w:sz w:val="20"/>
        </w:rPr>
      </w:pPr>
      <w:r>
        <w:rPr>
          <w:sz w:val="20"/>
        </w:rPr>
        <w:t>As in 2016, claimants and employers were more likely to report telephone as their main method of communication (51 per cent and 52 per cent respectively).</w:t>
      </w:r>
      <w:r>
        <w:rPr>
          <w:spacing w:val="-8"/>
          <w:sz w:val="20"/>
        </w:rPr>
        <w:t> </w:t>
      </w:r>
      <w:r>
        <w:rPr>
          <w:sz w:val="20"/>
        </w:rPr>
        <w:t>Representatives</w:t>
      </w:r>
      <w:r>
        <w:rPr>
          <w:spacing w:val="-8"/>
          <w:sz w:val="20"/>
        </w:rPr>
        <w:t> </w:t>
      </w:r>
      <w:r>
        <w:rPr>
          <w:sz w:val="20"/>
        </w:rPr>
        <w:t>were</w:t>
      </w:r>
      <w:r>
        <w:rPr>
          <w:spacing w:val="-10"/>
          <w:sz w:val="20"/>
        </w:rPr>
        <w:t> </w:t>
      </w:r>
      <w:r>
        <w:rPr>
          <w:sz w:val="20"/>
        </w:rPr>
        <w:t>more</w:t>
      </w:r>
      <w:r>
        <w:rPr>
          <w:spacing w:val="-8"/>
          <w:sz w:val="20"/>
        </w:rPr>
        <w:t> </w:t>
      </w:r>
      <w:r>
        <w:rPr>
          <w:sz w:val="20"/>
        </w:rPr>
        <w:t>likely</w:t>
      </w:r>
      <w:r>
        <w:rPr>
          <w:spacing w:val="-6"/>
          <w:sz w:val="20"/>
        </w:rPr>
        <w:t> </w:t>
      </w:r>
      <w:r>
        <w:rPr>
          <w:sz w:val="20"/>
        </w:rPr>
        <w:t>to</w:t>
      </w:r>
      <w:r>
        <w:rPr>
          <w:spacing w:val="-9"/>
          <w:sz w:val="20"/>
        </w:rPr>
        <w:t> </w:t>
      </w:r>
      <w:r>
        <w:rPr>
          <w:sz w:val="20"/>
        </w:rPr>
        <w:t>say</w:t>
      </w:r>
      <w:r>
        <w:rPr>
          <w:spacing w:val="-10"/>
          <w:sz w:val="20"/>
        </w:rPr>
        <w:t> </w:t>
      </w:r>
      <w:r>
        <w:rPr>
          <w:sz w:val="20"/>
        </w:rPr>
        <w:t>email</w:t>
      </w:r>
      <w:r>
        <w:rPr>
          <w:spacing w:val="-9"/>
          <w:sz w:val="20"/>
        </w:rPr>
        <w:t> </w:t>
      </w:r>
      <w:r>
        <w:rPr>
          <w:sz w:val="20"/>
        </w:rPr>
        <w:t>was</w:t>
      </w:r>
      <w:r>
        <w:rPr>
          <w:spacing w:val="-9"/>
          <w:sz w:val="20"/>
        </w:rPr>
        <w:t> </w:t>
      </w:r>
      <w:r>
        <w:rPr>
          <w:sz w:val="20"/>
        </w:rPr>
        <w:t>their</w:t>
      </w:r>
      <w:r>
        <w:rPr>
          <w:spacing w:val="-9"/>
          <w:sz w:val="20"/>
        </w:rPr>
        <w:t> </w:t>
      </w:r>
      <w:r>
        <w:rPr>
          <w:sz w:val="20"/>
        </w:rPr>
        <w:t>main method (44 per cent and 56 per cent).</w:t>
      </w:r>
    </w:p>
    <w:p>
      <w:pPr>
        <w:pStyle w:val="ListParagraph"/>
        <w:numPr>
          <w:ilvl w:val="0"/>
          <w:numId w:val="39"/>
        </w:numPr>
        <w:tabs>
          <w:tab w:pos="2058" w:val="left" w:leader="none"/>
        </w:tabs>
        <w:spacing w:line="240" w:lineRule="auto" w:before="0" w:after="0"/>
        <w:ind w:left="2057" w:right="1474" w:hanging="360"/>
        <w:jc w:val="both"/>
        <w:rPr>
          <w:sz w:val="20"/>
        </w:rPr>
      </w:pPr>
      <w:r>
        <w:rPr>
          <w:sz w:val="20"/>
        </w:rPr>
        <w:t>Nearly all claimant and employer-side participants who took part in post- ET1</w:t>
      </w:r>
      <w:r>
        <w:rPr>
          <w:spacing w:val="-2"/>
          <w:sz w:val="20"/>
        </w:rPr>
        <w:t> </w:t>
      </w:r>
      <w:r>
        <w:rPr>
          <w:sz w:val="20"/>
        </w:rPr>
        <w:t>conciliation used</w:t>
      </w:r>
      <w:r>
        <w:rPr>
          <w:spacing w:val="-2"/>
          <w:sz w:val="20"/>
        </w:rPr>
        <w:t> </w:t>
      </w:r>
      <w:r>
        <w:rPr>
          <w:sz w:val="20"/>
        </w:rPr>
        <w:t>telephone</w:t>
      </w:r>
      <w:r>
        <w:rPr>
          <w:spacing w:val="-1"/>
          <w:sz w:val="20"/>
        </w:rPr>
        <w:t> </w:t>
      </w:r>
      <w:r>
        <w:rPr>
          <w:sz w:val="20"/>
        </w:rPr>
        <w:t>as</w:t>
      </w:r>
      <w:r>
        <w:rPr>
          <w:spacing w:val="-2"/>
          <w:sz w:val="20"/>
        </w:rPr>
        <w:t> </w:t>
      </w:r>
      <w:r>
        <w:rPr>
          <w:sz w:val="20"/>
        </w:rPr>
        <w:t>a</w:t>
      </w:r>
      <w:r>
        <w:rPr>
          <w:spacing w:val="-1"/>
          <w:sz w:val="20"/>
        </w:rPr>
        <w:t> </w:t>
      </w:r>
      <w:r>
        <w:rPr>
          <w:sz w:val="20"/>
        </w:rPr>
        <w:t>means</w:t>
      </w:r>
      <w:r>
        <w:rPr>
          <w:spacing w:val="-2"/>
          <w:sz w:val="20"/>
        </w:rPr>
        <w:t> </w:t>
      </w:r>
      <w:r>
        <w:rPr>
          <w:sz w:val="20"/>
        </w:rPr>
        <w:t>of</w:t>
      </w:r>
      <w:r>
        <w:rPr>
          <w:spacing w:val="-3"/>
          <w:sz w:val="20"/>
        </w:rPr>
        <w:t> </w:t>
      </w:r>
      <w:r>
        <w:rPr>
          <w:sz w:val="20"/>
        </w:rPr>
        <w:t>communication</w:t>
      </w:r>
      <w:r>
        <w:rPr>
          <w:spacing w:val="-1"/>
          <w:sz w:val="20"/>
        </w:rPr>
        <w:t> </w:t>
      </w:r>
      <w:r>
        <w:rPr>
          <w:sz w:val="20"/>
        </w:rPr>
        <w:t>(91</w:t>
      </w:r>
      <w:r>
        <w:rPr>
          <w:spacing w:val="-2"/>
          <w:sz w:val="20"/>
        </w:rPr>
        <w:t> </w:t>
      </w:r>
      <w:r>
        <w:rPr>
          <w:sz w:val="20"/>
        </w:rPr>
        <w:t>per</w:t>
      </w:r>
      <w:r>
        <w:rPr>
          <w:spacing w:val="-2"/>
          <w:sz w:val="20"/>
        </w:rPr>
        <w:t> </w:t>
      </w:r>
      <w:r>
        <w:rPr>
          <w:sz w:val="20"/>
        </w:rPr>
        <w:t>cent and 87 per cent respectively).</w:t>
      </w:r>
    </w:p>
    <w:p>
      <w:pPr>
        <w:pStyle w:val="ListParagraph"/>
        <w:numPr>
          <w:ilvl w:val="0"/>
          <w:numId w:val="39"/>
        </w:numPr>
        <w:tabs>
          <w:tab w:pos="2058" w:val="left" w:leader="none"/>
        </w:tabs>
        <w:spacing w:line="240" w:lineRule="auto" w:before="0" w:after="0"/>
        <w:ind w:left="2057" w:right="1472" w:hanging="360"/>
        <w:jc w:val="both"/>
        <w:rPr>
          <w:sz w:val="20"/>
        </w:rPr>
      </w:pPr>
      <w:r>
        <w:rPr>
          <w:sz w:val="20"/>
        </w:rPr>
        <w:t>Those who reported that their case had been settled were more likely to report</w:t>
      </w:r>
      <w:r>
        <w:rPr>
          <w:spacing w:val="-11"/>
          <w:sz w:val="20"/>
        </w:rPr>
        <w:t> </w:t>
      </w:r>
      <w:r>
        <w:rPr>
          <w:sz w:val="20"/>
        </w:rPr>
        <w:t>email</w:t>
      </w:r>
      <w:r>
        <w:rPr>
          <w:spacing w:val="-11"/>
          <w:sz w:val="20"/>
        </w:rPr>
        <w:t> </w:t>
      </w:r>
      <w:r>
        <w:rPr>
          <w:sz w:val="20"/>
        </w:rPr>
        <w:t>as</w:t>
      </w:r>
      <w:r>
        <w:rPr>
          <w:spacing w:val="-13"/>
          <w:sz w:val="20"/>
        </w:rPr>
        <w:t> </w:t>
      </w:r>
      <w:r>
        <w:rPr>
          <w:sz w:val="20"/>
        </w:rPr>
        <w:t>their</w:t>
      </w:r>
      <w:r>
        <w:rPr>
          <w:spacing w:val="-12"/>
          <w:sz w:val="20"/>
        </w:rPr>
        <w:t> </w:t>
      </w:r>
      <w:r>
        <w:rPr>
          <w:sz w:val="20"/>
        </w:rPr>
        <w:t>main</w:t>
      </w:r>
      <w:r>
        <w:rPr>
          <w:spacing w:val="-11"/>
          <w:sz w:val="20"/>
        </w:rPr>
        <w:t> </w:t>
      </w:r>
      <w:r>
        <w:rPr>
          <w:sz w:val="20"/>
        </w:rPr>
        <w:t>method</w:t>
      </w:r>
      <w:r>
        <w:rPr>
          <w:spacing w:val="-11"/>
          <w:sz w:val="20"/>
        </w:rPr>
        <w:t> </w:t>
      </w:r>
      <w:r>
        <w:rPr>
          <w:sz w:val="20"/>
        </w:rPr>
        <w:t>of</w:t>
      </w:r>
      <w:r>
        <w:rPr>
          <w:spacing w:val="-11"/>
          <w:sz w:val="20"/>
        </w:rPr>
        <w:t> </w:t>
      </w:r>
      <w:r>
        <w:rPr>
          <w:sz w:val="20"/>
        </w:rPr>
        <w:t>communication</w:t>
      </w:r>
      <w:r>
        <w:rPr>
          <w:spacing w:val="-11"/>
          <w:sz w:val="20"/>
        </w:rPr>
        <w:t> </w:t>
      </w:r>
      <w:r>
        <w:rPr>
          <w:sz w:val="20"/>
        </w:rPr>
        <w:t>than</w:t>
      </w:r>
      <w:r>
        <w:rPr>
          <w:spacing w:val="-12"/>
          <w:sz w:val="20"/>
        </w:rPr>
        <w:t> </w:t>
      </w:r>
      <w:r>
        <w:rPr>
          <w:sz w:val="20"/>
        </w:rPr>
        <w:t>those</w:t>
      </w:r>
      <w:r>
        <w:rPr>
          <w:spacing w:val="-12"/>
          <w:sz w:val="20"/>
        </w:rPr>
        <w:t> </w:t>
      </w:r>
      <w:r>
        <w:rPr>
          <w:sz w:val="20"/>
        </w:rPr>
        <w:t>whose</w:t>
      </w:r>
      <w:r>
        <w:rPr>
          <w:spacing w:val="-13"/>
          <w:sz w:val="20"/>
        </w:rPr>
        <w:t> </w:t>
      </w:r>
      <w:r>
        <w:rPr>
          <w:sz w:val="20"/>
        </w:rPr>
        <w:t>case had</w:t>
      </w:r>
      <w:r>
        <w:rPr>
          <w:spacing w:val="-6"/>
          <w:sz w:val="20"/>
        </w:rPr>
        <w:t> </w:t>
      </w:r>
      <w:r>
        <w:rPr>
          <w:sz w:val="20"/>
        </w:rPr>
        <w:t>not</w:t>
      </w:r>
      <w:r>
        <w:rPr>
          <w:spacing w:val="-5"/>
          <w:sz w:val="20"/>
        </w:rPr>
        <w:t> </w:t>
      </w:r>
      <w:r>
        <w:rPr>
          <w:sz w:val="20"/>
        </w:rPr>
        <w:t>been</w:t>
      </w:r>
      <w:r>
        <w:rPr>
          <w:spacing w:val="-4"/>
          <w:sz w:val="20"/>
        </w:rPr>
        <w:t> </w:t>
      </w:r>
      <w:r>
        <w:rPr>
          <w:sz w:val="20"/>
        </w:rPr>
        <w:t>settled</w:t>
      </w:r>
      <w:r>
        <w:rPr>
          <w:spacing w:val="-4"/>
          <w:sz w:val="20"/>
        </w:rPr>
        <w:t> </w:t>
      </w:r>
      <w:r>
        <w:rPr>
          <w:sz w:val="20"/>
        </w:rPr>
        <w:t>at</w:t>
      </w:r>
      <w:r>
        <w:rPr>
          <w:spacing w:val="-7"/>
          <w:sz w:val="20"/>
        </w:rPr>
        <w:t> </w:t>
      </w:r>
      <w:r>
        <w:rPr>
          <w:sz w:val="20"/>
        </w:rPr>
        <w:t>the</w:t>
      </w:r>
      <w:r>
        <w:rPr>
          <w:spacing w:val="-6"/>
          <w:sz w:val="20"/>
        </w:rPr>
        <w:t> </w:t>
      </w:r>
      <w:r>
        <w:rPr>
          <w:sz w:val="20"/>
        </w:rPr>
        <w:t>time</w:t>
      </w:r>
      <w:r>
        <w:rPr>
          <w:spacing w:val="-5"/>
          <w:sz w:val="20"/>
        </w:rPr>
        <w:t> </w:t>
      </w:r>
      <w:r>
        <w:rPr>
          <w:sz w:val="20"/>
        </w:rPr>
        <w:t>of</w:t>
      </w:r>
      <w:r>
        <w:rPr>
          <w:spacing w:val="-5"/>
          <w:sz w:val="20"/>
        </w:rPr>
        <w:t> </w:t>
      </w:r>
      <w:r>
        <w:rPr>
          <w:sz w:val="20"/>
        </w:rPr>
        <w:t>the</w:t>
      </w:r>
      <w:r>
        <w:rPr>
          <w:spacing w:val="-6"/>
          <w:sz w:val="20"/>
        </w:rPr>
        <w:t> </w:t>
      </w:r>
      <w:r>
        <w:rPr>
          <w:sz w:val="20"/>
        </w:rPr>
        <w:t>survey</w:t>
      </w:r>
      <w:r>
        <w:rPr>
          <w:spacing w:val="-5"/>
          <w:sz w:val="20"/>
        </w:rPr>
        <w:t> </w:t>
      </w:r>
      <w:r>
        <w:rPr>
          <w:sz w:val="20"/>
        </w:rPr>
        <w:t>(47</w:t>
      </w:r>
      <w:r>
        <w:rPr>
          <w:spacing w:val="-5"/>
          <w:sz w:val="20"/>
        </w:rPr>
        <w:t> </w:t>
      </w:r>
      <w:r>
        <w:rPr>
          <w:sz w:val="20"/>
        </w:rPr>
        <w:t>per</w:t>
      </w:r>
      <w:r>
        <w:rPr>
          <w:spacing w:val="-6"/>
          <w:sz w:val="20"/>
        </w:rPr>
        <w:t> </w:t>
      </w:r>
      <w:r>
        <w:rPr>
          <w:sz w:val="20"/>
        </w:rPr>
        <w:t>cent</w:t>
      </w:r>
      <w:r>
        <w:rPr>
          <w:spacing w:val="-7"/>
          <w:sz w:val="20"/>
        </w:rPr>
        <w:t> </w:t>
      </w:r>
      <w:r>
        <w:rPr>
          <w:sz w:val="20"/>
        </w:rPr>
        <w:t>and</w:t>
      </w:r>
      <w:r>
        <w:rPr>
          <w:spacing w:val="-4"/>
          <w:sz w:val="20"/>
        </w:rPr>
        <w:t> </w:t>
      </w:r>
      <w:r>
        <w:rPr>
          <w:sz w:val="20"/>
        </w:rPr>
        <w:t>51</w:t>
      </w:r>
      <w:r>
        <w:rPr>
          <w:spacing w:val="-6"/>
          <w:sz w:val="20"/>
        </w:rPr>
        <w:t> </w:t>
      </w:r>
      <w:r>
        <w:rPr>
          <w:sz w:val="20"/>
        </w:rPr>
        <w:t>per</w:t>
      </w:r>
      <w:r>
        <w:rPr>
          <w:spacing w:val="-7"/>
          <w:sz w:val="20"/>
        </w:rPr>
        <w:t> </w:t>
      </w:r>
      <w:r>
        <w:rPr>
          <w:sz w:val="20"/>
        </w:rPr>
        <w:t>cent versus</w:t>
      </w:r>
      <w:r>
        <w:rPr>
          <w:spacing w:val="-6"/>
          <w:sz w:val="20"/>
        </w:rPr>
        <w:t> </w:t>
      </w:r>
      <w:r>
        <w:rPr>
          <w:sz w:val="20"/>
        </w:rPr>
        <w:t>32</w:t>
      </w:r>
      <w:r>
        <w:rPr>
          <w:spacing w:val="-7"/>
          <w:sz w:val="20"/>
        </w:rPr>
        <w:t> </w:t>
      </w:r>
      <w:r>
        <w:rPr>
          <w:sz w:val="20"/>
        </w:rPr>
        <w:t>per</w:t>
      </w:r>
      <w:r>
        <w:rPr>
          <w:spacing w:val="-6"/>
          <w:sz w:val="20"/>
        </w:rPr>
        <w:t> </w:t>
      </w:r>
      <w:r>
        <w:rPr>
          <w:sz w:val="20"/>
        </w:rPr>
        <w:t>cent</w:t>
      </w:r>
      <w:r>
        <w:rPr>
          <w:spacing w:val="-5"/>
          <w:sz w:val="20"/>
        </w:rPr>
        <w:t> </w:t>
      </w:r>
      <w:r>
        <w:rPr>
          <w:sz w:val="20"/>
        </w:rPr>
        <w:t>and</w:t>
      </w:r>
      <w:r>
        <w:rPr>
          <w:spacing w:val="-7"/>
          <w:sz w:val="20"/>
        </w:rPr>
        <w:t> </w:t>
      </w:r>
      <w:r>
        <w:rPr>
          <w:sz w:val="20"/>
        </w:rPr>
        <w:t>38</w:t>
      </w:r>
      <w:r>
        <w:rPr>
          <w:spacing w:val="-6"/>
          <w:sz w:val="20"/>
        </w:rPr>
        <w:t> </w:t>
      </w:r>
      <w:r>
        <w:rPr>
          <w:sz w:val="20"/>
        </w:rPr>
        <w:t>per</w:t>
      </w:r>
      <w:r>
        <w:rPr>
          <w:spacing w:val="-6"/>
          <w:sz w:val="20"/>
        </w:rPr>
        <w:t> </w:t>
      </w:r>
      <w:r>
        <w:rPr>
          <w:sz w:val="20"/>
        </w:rPr>
        <w:t>cent</w:t>
      </w:r>
      <w:r>
        <w:rPr>
          <w:spacing w:val="-8"/>
          <w:sz w:val="20"/>
        </w:rPr>
        <w:t> </w:t>
      </w:r>
      <w:r>
        <w:rPr>
          <w:sz w:val="20"/>
        </w:rPr>
        <w:t>respectively).</w:t>
      </w:r>
      <w:r>
        <w:rPr>
          <w:spacing w:val="-7"/>
          <w:sz w:val="20"/>
        </w:rPr>
        <w:t> </w:t>
      </w:r>
      <w:r>
        <w:rPr>
          <w:sz w:val="20"/>
        </w:rPr>
        <w:t>Part</w:t>
      </w:r>
      <w:r>
        <w:rPr>
          <w:spacing w:val="-5"/>
          <w:sz w:val="20"/>
        </w:rPr>
        <w:t> </w:t>
      </w:r>
      <w:r>
        <w:rPr>
          <w:sz w:val="20"/>
        </w:rPr>
        <w:t>of</w:t>
      </w:r>
      <w:r>
        <w:rPr>
          <w:spacing w:val="-7"/>
          <w:sz w:val="20"/>
        </w:rPr>
        <w:t> </w:t>
      </w:r>
      <w:r>
        <w:rPr>
          <w:sz w:val="20"/>
        </w:rPr>
        <w:t>the</w:t>
      </w:r>
      <w:r>
        <w:rPr>
          <w:spacing w:val="-6"/>
          <w:sz w:val="20"/>
        </w:rPr>
        <w:t> </w:t>
      </w:r>
      <w:r>
        <w:rPr>
          <w:sz w:val="20"/>
        </w:rPr>
        <w:t>reason</w:t>
      </w:r>
      <w:r>
        <w:rPr>
          <w:spacing w:val="-5"/>
          <w:sz w:val="20"/>
        </w:rPr>
        <w:t> </w:t>
      </w:r>
      <w:r>
        <w:rPr>
          <w:sz w:val="20"/>
        </w:rPr>
        <w:t>for</w:t>
      </w:r>
      <w:r>
        <w:rPr>
          <w:spacing w:val="-7"/>
          <w:sz w:val="20"/>
        </w:rPr>
        <w:t> </w:t>
      </w:r>
      <w:r>
        <w:rPr>
          <w:sz w:val="20"/>
        </w:rPr>
        <w:t>this may</w:t>
      </w:r>
      <w:r>
        <w:rPr>
          <w:spacing w:val="-9"/>
          <w:sz w:val="20"/>
        </w:rPr>
        <w:t> </w:t>
      </w:r>
      <w:r>
        <w:rPr>
          <w:sz w:val="20"/>
        </w:rPr>
        <w:t>be</w:t>
      </w:r>
      <w:r>
        <w:rPr>
          <w:spacing w:val="-10"/>
          <w:sz w:val="20"/>
        </w:rPr>
        <w:t> </w:t>
      </w:r>
      <w:r>
        <w:rPr>
          <w:sz w:val="20"/>
        </w:rPr>
        <w:t>because</w:t>
      </w:r>
      <w:r>
        <w:rPr>
          <w:spacing w:val="-10"/>
          <w:sz w:val="20"/>
        </w:rPr>
        <w:t> </w:t>
      </w:r>
      <w:r>
        <w:rPr>
          <w:sz w:val="20"/>
        </w:rPr>
        <w:t>the</w:t>
      </w:r>
      <w:r>
        <w:rPr>
          <w:spacing w:val="-10"/>
          <w:sz w:val="20"/>
        </w:rPr>
        <w:t> </w:t>
      </w:r>
      <w:r>
        <w:rPr>
          <w:sz w:val="20"/>
        </w:rPr>
        <w:t>later</w:t>
      </w:r>
      <w:r>
        <w:rPr>
          <w:spacing w:val="-9"/>
          <w:sz w:val="20"/>
        </w:rPr>
        <w:t> </w:t>
      </w:r>
      <w:r>
        <w:rPr>
          <w:sz w:val="20"/>
        </w:rPr>
        <w:t>stages</w:t>
      </w:r>
      <w:r>
        <w:rPr>
          <w:spacing w:val="-9"/>
          <w:sz w:val="20"/>
        </w:rPr>
        <w:t> </w:t>
      </w:r>
      <w:r>
        <w:rPr>
          <w:sz w:val="20"/>
        </w:rPr>
        <w:t>of</w:t>
      </w:r>
      <w:r>
        <w:rPr>
          <w:spacing w:val="-10"/>
          <w:sz w:val="20"/>
        </w:rPr>
        <w:t> </w:t>
      </w:r>
      <w:r>
        <w:rPr>
          <w:sz w:val="20"/>
        </w:rPr>
        <w:t>conciliation</w:t>
      </w:r>
      <w:r>
        <w:rPr>
          <w:spacing w:val="-9"/>
          <w:sz w:val="20"/>
        </w:rPr>
        <w:t> </w:t>
      </w:r>
      <w:r>
        <w:rPr>
          <w:sz w:val="20"/>
        </w:rPr>
        <w:t>are</w:t>
      </w:r>
      <w:r>
        <w:rPr>
          <w:spacing w:val="-10"/>
          <w:sz w:val="20"/>
        </w:rPr>
        <w:t> </w:t>
      </w:r>
      <w:r>
        <w:rPr>
          <w:sz w:val="20"/>
        </w:rPr>
        <w:t>more</w:t>
      </w:r>
      <w:r>
        <w:rPr>
          <w:spacing w:val="-10"/>
          <w:sz w:val="20"/>
        </w:rPr>
        <w:t> </w:t>
      </w:r>
      <w:r>
        <w:rPr>
          <w:sz w:val="20"/>
        </w:rPr>
        <w:t>likely</w:t>
      </w:r>
      <w:r>
        <w:rPr>
          <w:spacing w:val="-9"/>
          <w:sz w:val="20"/>
        </w:rPr>
        <w:t> </w:t>
      </w:r>
      <w:r>
        <w:rPr>
          <w:sz w:val="20"/>
        </w:rPr>
        <w:t>to</w:t>
      </w:r>
      <w:r>
        <w:rPr>
          <w:spacing w:val="-10"/>
          <w:sz w:val="20"/>
        </w:rPr>
        <w:t> </w:t>
      </w:r>
      <w:r>
        <w:rPr>
          <w:sz w:val="20"/>
        </w:rPr>
        <w:t>take</w:t>
      </w:r>
      <w:r>
        <w:rPr>
          <w:spacing w:val="-12"/>
          <w:sz w:val="20"/>
        </w:rPr>
        <w:t> </w:t>
      </w:r>
      <w:r>
        <w:rPr>
          <w:sz w:val="20"/>
        </w:rPr>
        <w:t>place in writing, such as offering and agreeing settlement terms via email.</w:t>
      </w:r>
    </w:p>
    <w:p>
      <w:pPr>
        <w:pStyle w:val="BodyText"/>
        <w:spacing w:before="7"/>
        <w:rPr>
          <w:sz w:val="19"/>
        </w:rPr>
      </w:pPr>
    </w:p>
    <w:p>
      <w:pPr>
        <w:pStyle w:val="BodyText"/>
        <w:spacing w:before="1"/>
        <w:ind w:left="1337" w:right="1474"/>
        <w:jc w:val="both"/>
      </w:pPr>
      <w:r>
        <w:rPr/>
        <w:t>Unlike 2016, those who previously took part in EC were no more or less likely to communicate with the conciliator via email than those who did not.</w:t>
      </w:r>
    </w:p>
    <w:p>
      <w:pPr>
        <w:pStyle w:val="BodyText"/>
      </w:pPr>
    </w:p>
    <w:p>
      <w:pPr>
        <w:pStyle w:val="BodyText"/>
        <w:ind w:left="1337" w:right="1473"/>
        <w:jc w:val="both"/>
      </w:pPr>
      <w:r>
        <w:rPr/>
        <w:t>In disputes where post-ET1 conciliation had taken place, participants were most likely to report that initiation of contact throughout the case had been equal between themselves and Acas (45 per cent of claimant-side participants reported this to have been the case and 54 per cent of employer-side participants said the </w:t>
      </w:r>
      <w:r>
        <w:rPr>
          <w:spacing w:val="-2"/>
        </w:rPr>
        <w:t>same).</w:t>
      </w:r>
    </w:p>
    <w:p>
      <w:pPr>
        <w:spacing w:after="0"/>
        <w:jc w:val="both"/>
        <w:sectPr>
          <w:pgSz w:w="11910" w:h="16840"/>
          <w:pgMar w:header="0" w:footer="996" w:top="1340" w:bottom="1180" w:left="460" w:right="320"/>
        </w:sectPr>
      </w:pPr>
    </w:p>
    <w:p>
      <w:pPr>
        <w:pStyle w:val="ListParagraph"/>
        <w:numPr>
          <w:ilvl w:val="0"/>
          <w:numId w:val="39"/>
        </w:numPr>
        <w:tabs>
          <w:tab w:pos="2058" w:val="left" w:leader="none"/>
        </w:tabs>
        <w:spacing w:line="240" w:lineRule="auto" w:before="82" w:after="0"/>
        <w:ind w:left="2057" w:right="1473" w:hanging="360"/>
        <w:jc w:val="both"/>
        <w:rPr>
          <w:sz w:val="20"/>
        </w:rPr>
      </w:pPr>
      <w:r>
        <w:rPr>
          <w:sz w:val="20"/>
        </w:rPr>
        <w:t>Among claimant-participants, three in ten (30 per cent) reported that they had contacted Acas most of the time, while a fifth (22 per cent) said that Acas had most often initiated contact with them.</w:t>
      </w:r>
    </w:p>
    <w:p>
      <w:pPr>
        <w:pStyle w:val="ListParagraph"/>
        <w:numPr>
          <w:ilvl w:val="0"/>
          <w:numId w:val="39"/>
        </w:numPr>
        <w:tabs>
          <w:tab w:pos="2058" w:val="left" w:leader="none"/>
        </w:tabs>
        <w:spacing w:line="240" w:lineRule="auto" w:before="0" w:after="0"/>
        <w:ind w:left="2057" w:right="1473" w:hanging="360"/>
        <w:jc w:val="both"/>
        <w:rPr>
          <w:sz w:val="20"/>
        </w:rPr>
      </w:pPr>
      <w:r>
        <w:rPr>
          <w:sz w:val="20"/>
        </w:rPr>
        <w:t>Among employer-side participants, a quarter (25 per cent) reported contacting Acas most of the time, and a sixth (17 per cent) that Acas had mostly contacted them.</w:t>
      </w:r>
    </w:p>
    <w:p>
      <w:pPr>
        <w:pStyle w:val="BodyText"/>
        <w:spacing w:before="7"/>
        <w:rPr>
          <w:sz w:val="19"/>
        </w:rPr>
      </w:pPr>
    </w:p>
    <w:p>
      <w:pPr>
        <w:pStyle w:val="BodyText"/>
        <w:spacing w:before="1"/>
        <w:ind w:left="1337" w:right="1475"/>
        <w:jc w:val="both"/>
      </w:pPr>
      <w:r>
        <w:rPr/>
        <w:t>These</w:t>
      </w:r>
      <w:r>
        <w:rPr>
          <w:spacing w:val="-7"/>
        </w:rPr>
        <w:t> </w:t>
      </w:r>
      <w:r>
        <w:rPr/>
        <w:t>patterns</w:t>
      </w:r>
      <w:r>
        <w:rPr>
          <w:spacing w:val="-6"/>
        </w:rPr>
        <w:t> </w:t>
      </w:r>
      <w:r>
        <w:rPr/>
        <w:t>align</w:t>
      </w:r>
      <w:r>
        <w:rPr>
          <w:spacing w:val="-7"/>
        </w:rPr>
        <w:t> </w:t>
      </w:r>
      <w:r>
        <w:rPr/>
        <w:t>closely</w:t>
      </w:r>
      <w:r>
        <w:rPr>
          <w:spacing w:val="-6"/>
        </w:rPr>
        <w:t> </w:t>
      </w:r>
      <w:r>
        <w:rPr/>
        <w:t>with</w:t>
      </w:r>
      <w:r>
        <w:rPr>
          <w:spacing w:val="-7"/>
        </w:rPr>
        <w:t> </w:t>
      </w:r>
      <w:r>
        <w:rPr/>
        <w:t>perceptions</w:t>
      </w:r>
      <w:r>
        <w:rPr>
          <w:spacing w:val="-6"/>
        </w:rPr>
        <w:t> </w:t>
      </w:r>
      <w:r>
        <w:rPr/>
        <w:t>of</w:t>
      </w:r>
      <w:r>
        <w:rPr>
          <w:spacing w:val="-7"/>
        </w:rPr>
        <w:t> </w:t>
      </w:r>
      <w:r>
        <w:rPr/>
        <w:t>contact</w:t>
      </w:r>
      <w:r>
        <w:rPr>
          <w:spacing w:val="-7"/>
        </w:rPr>
        <w:t> </w:t>
      </w:r>
      <w:r>
        <w:rPr/>
        <w:t>reported</w:t>
      </w:r>
      <w:r>
        <w:rPr>
          <w:spacing w:val="-6"/>
        </w:rPr>
        <w:t> </w:t>
      </w:r>
      <w:r>
        <w:rPr/>
        <w:t>in</w:t>
      </w:r>
      <w:r>
        <w:rPr>
          <w:spacing w:val="-7"/>
        </w:rPr>
        <w:t> </w:t>
      </w:r>
      <w:r>
        <w:rPr/>
        <w:t>2016</w:t>
      </w:r>
      <w:r>
        <w:rPr>
          <w:spacing w:val="-7"/>
        </w:rPr>
        <w:t> </w:t>
      </w:r>
      <w:r>
        <w:rPr/>
        <w:t>but</w:t>
      </w:r>
      <w:r>
        <w:rPr>
          <w:spacing w:val="-7"/>
        </w:rPr>
        <w:t> </w:t>
      </w:r>
      <w:r>
        <w:rPr/>
        <w:t>differ to those reported in the EC survey. Both claimant and employer-side participants were</w:t>
      </w:r>
      <w:r>
        <w:rPr>
          <w:spacing w:val="-12"/>
        </w:rPr>
        <w:t> </w:t>
      </w:r>
      <w:r>
        <w:rPr/>
        <w:t>less</w:t>
      </w:r>
      <w:r>
        <w:rPr>
          <w:spacing w:val="-12"/>
        </w:rPr>
        <w:t> </w:t>
      </w:r>
      <w:r>
        <w:rPr/>
        <w:t>likely</w:t>
      </w:r>
      <w:r>
        <w:rPr>
          <w:spacing w:val="-11"/>
        </w:rPr>
        <w:t> </w:t>
      </w:r>
      <w:r>
        <w:rPr/>
        <w:t>to</w:t>
      </w:r>
      <w:r>
        <w:rPr>
          <w:spacing w:val="-12"/>
        </w:rPr>
        <w:t> </w:t>
      </w:r>
      <w:r>
        <w:rPr/>
        <w:t>report</w:t>
      </w:r>
      <w:r>
        <w:rPr>
          <w:spacing w:val="-11"/>
        </w:rPr>
        <w:t> </w:t>
      </w:r>
      <w:r>
        <w:rPr/>
        <w:t>that</w:t>
      </w:r>
      <w:r>
        <w:rPr>
          <w:spacing w:val="-11"/>
        </w:rPr>
        <w:t> </w:t>
      </w:r>
      <w:r>
        <w:rPr/>
        <w:t>Acas</w:t>
      </w:r>
      <w:r>
        <w:rPr>
          <w:spacing w:val="-13"/>
        </w:rPr>
        <w:t> </w:t>
      </w:r>
      <w:r>
        <w:rPr/>
        <w:t>had</w:t>
      </w:r>
      <w:r>
        <w:rPr>
          <w:spacing w:val="-12"/>
        </w:rPr>
        <w:t> </w:t>
      </w:r>
      <w:r>
        <w:rPr/>
        <w:t>initiated</w:t>
      </w:r>
      <w:r>
        <w:rPr>
          <w:spacing w:val="-12"/>
        </w:rPr>
        <w:t> </w:t>
      </w:r>
      <w:r>
        <w:rPr/>
        <w:t>contact</w:t>
      </w:r>
      <w:r>
        <w:rPr>
          <w:spacing w:val="-13"/>
        </w:rPr>
        <w:t> </w:t>
      </w:r>
      <w:r>
        <w:rPr/>
        <w:t>with</w:t>
      </w:r>
      <w:r>
        <w:rPr>
          <w:spacing w:val="-11"/>
        </w:rPr>
        <w:t> </w:t>
      </w:r>
      <w:r>
        <w:rPr/>
        <w:t>them</w:t>
      </w:r>
      <w:r>
        <w:rPr>
          <w:spacing w:val="-12"/>
        </w:rPr>
        <w:t> </w:t>
      </w:r>
      <w:r>
        <w:rPr/>
        <w:t>most</w:t>
      </w:r>
      <w:r>
        <w:rPr>
          <w:spacing w:val="-11"/>
        </w:rPr>
        <w:t> </w:t>
      </w:r>
      <w:r>
        <w:rPr/>
        <w:t>of</w:t>
      </w:r>
      <w:r>
        <w:rPr>
          <w:spacing w:val="-12"/>
        </w:rPr>
        <w:t> </w:t>
      </w:r>
      <w:r>
        <w:rPr/>
        <w:t>the</w:t>
      </w:r>
      <w:r>
        <w:rPr>
          <w:spacing w:val="-12"/>
        </w:rPr>
        <w:t> </w:t>
      </w:r>
      <w:r>
        <w:rPr/>
        <w:t>time in post-ET1 conciliation, compared with EC.</w:t>
      </w:r>
    </w:p>
    <w:p>
      <w:pPr>
        <w:pStyle w:val="BodyText"/>
      </w:pPr>
    </w:p>
    <w:p>
      <w:pPr>
        <w:pStyle w:val="BodyText"/>
        <w:ind w:left="1336" w:right="1472"/>
        <w:jc w:val="both"/>
      </w:pPr>
      <w:r>
        <w:rPr/>
        <w:t>Unlike 2016, there were no significant differences by case track, but there were across other subgroups of interest:</w:t>
      </w:r>
    </w:p>
    <w:p>
      <w:pPr>
        <w:pStyle w:val="ListParagraph"/>
        <w:numPr>
          <w:ilvl w:val="0"/>
          <w:numId w:val="39"/>
        </w:numPr>
        <w:tabs>
          <w:tab w:pos="2057" w:val="left" w:leader="none"/>
        </w:tabs>
        <w:spacing w:line="240" w:lineRule="auto" w:before="0" w:after="0"/>
        <w:ind w:left="2056" w:right="1473" w:hanging="360"/>
        <w:jc w:val="both"/>
        <w:rPr>
          <w:sz w:val="20"/>
        </w:rPr>
      </w:pPr>
      <w:r>
        <w:rPr>
          <w:sz w:val="20"/>
        </w:rPr>
        <w:t>Employers</w:t>
      </w:r>
      <w:r>
        <w:rPr>
          <w:spacing w:val="-18"/>
          <w:sz w:val="20"/>
        </w:rPr>
        <w:t> </w:t>
      </w:r>
      <w:r>
        <w:rPr>
          <w:sz w:val="20"/>
        </w:rPr>
        <w:t>(and</w:t>
      </w:r>
      <w:r>
        <w:rPr>
          <w:spacing w:val="-18"/>
          <w:sz w:val="20"/>
        </w:rPr>
        <w:t> </w:t>
      </w:r>
      <w:r>
        <w:rPr>
          <w:sz w:val="20"/>
        </w:rPr>
        <w:t>their</w:t>
      </w:r>
      <w:r>
        <w:rPr>
          <w:spacing w:val="-17"/>
          <w:sz w:val="20"/>
        </w:rPr>
        <w:t> </w:t>
      </w:r>
      <w:r>
        <w:rPr>
          <w:sz w:val="20"/>
        </w:rPr>
        <w:t>representatives)</w:t>
      </w:r>
      <w:r>
        <w:rPr>
          <w:spacing w:val="-18"/>
          <w:sz w:val="20"/>
        </w:rPr>
        <w:t> </w:t>
      </w:r>
      <w:r>
        <w:rPr>
          <w:sz w:val="20"/>
        </w:rPr>
        <w:t>who</w:t>
      </w:r>
      <w:r>
        <w:rPr>
          <w:spacing w:val="-17"/>
          <w:sz w:val="20"/>
        </w:rPr>
        <w:t> </w:t>
      </w:r>
      <w:r>
        <w:rPr>
          <w:sz w:val="20"/>
        </w:rPr>
        <w:t>took</w:t>
      </w:r>
      <w:r>
        <w:rPr>
          <w:spacing w:val="-18"/>
          <w:sz w:val="20"/>
        </w:rPr>
        <w:t> </w:t>
      </w:r>
      <w:r>
        <w:rPr>
          <w:sz w:val="20"/>
        </w:rPr>
        <w:t>part</w:t>
      </w:r>
      <w:r>
        <w:rPr>
          <w:spacing w:val="-18"/>
          <w:sz w:val="20"/>
        </w:rPr>
        <w:t> </w:t>
      </w:r>
      <w:r>
        <w:rPr>
          <w:sz w:val="20"/>
        </w:rPr>
        <w:t>in</w:t>
      </w:r>
      <w:r>
        <w:rPr>
          <w:spacing w:val="-17"/>
          <w:sz w:val="20"/>
        </w:rPr>
        <w:t> </w:t>
      </w:r>
      <w:r>
        <w:rPr>
          <w:sz w:val="20"/>
        </w:rPr>
        <w:t>post-ET1</w:t>
      </w:r>
      <w:r>
        <w:rPr>
          <w:spacing w:val="-17"/>
          <w:sz w:val="20"/>
        </w:rPr>
        <w:t> </w:t>
      </w:r>
      <w:r>
        <w:rPr>
          <w:sz w:val="20"/>
        </w:rPr>
        <w:t>conciliation and whose cases were settled were more likely to report that the initiation of contact was shared equally between themselves and Acas (58 per cent) than those who did not settle (42 per cent). A similar, but not statistically significant</w:t>
      </w:r>
      <w:r>
        <w:rPr>
          <w:spacing w:val="-6"/>
          <w:sz w:val="20"/>
        </w:rPr>
        <w:t> </w:t>
      </w:r>
      <w:r>
        <w:rPr>
          <w:sz w:val="20"/>
        </w:rPr>
        <w:t>pattern,</w:t>
      </w:r>
      <w:r>
        <w:rPr>
          <w:spacing w:val="-7"/>
          <w:sz w:val="20"/>
        </w:rPr>
        <w:t> </w:t>
      </w:r>
      <w:r>
        <w:rPr>
          <w:sz w:val="20"/>
        </w:rPr>
        <w:t>was</w:t>
      </w:r>
      <w:r>
        <w:rPr>
          <w:spacing w:val="-8"/>
          <w:sz w:val="20"/>
        </w:rPr>
        <w:t> </w:t>
      </w:r>
      <w:r>
        <w:rPr>
          <w:sz w:val="20"/>
        </w:rPr>
        <w:t>observed</w:t>
      </w:r>
      <w:r>
        <w:rPr>
          <w:spacing w:val="-6"/>
          <w:sz w:val="20"/>
        </w:rPr>
        <w:t> </w:t>
      </w:r>
      <w:r>
        <w:rPr>
          <w:sz w:val="20"/>
        </w:rPr>
        <w:t>among</w:t>
      </w:r>
      <w:r>
        <w:rPr>
          <w:spacing w:val="-6"/>
          <w:sz w:val="20"/>
        </w:rPr>
        <w:t> </w:t>
      </w:r>
      <w:r>
        <w:rPr>
          <w:sz w:val="20"/>
        </w:rPr>
        <w:t>claimant-side</w:t>
      </w:r>
      <w:r>
        <w:rPr>
          <w:spacing w:val="-7"/>
          <w:sz w:val="20"/>
        </w:rPr>
        <w:t> </w:t>
      </w:r>
      <w:r>
        <w:rPr>
          <w:sz w:val="20"/>
        </w:rPr>
        <w:t>participants</w:t>
      </w:r>
      <w:r>
        <w:rPr>
          <w:spacing w:val="-6"/>
          <w:sz w:val="20"/>
        </w:rPr>
        <w:t> </w:t>
      </w:r>
      <w:r>
        <w:rPr>
          <w:sz w:val="20"/>
        </w:rPr>
        <w:t>in</w:t>
      </w:r>
      <w:r>
        <w:rPr>
          <w:spacing w:val="-6"/>
          <w:sz w:val="20"/>
        </w:rPr>
        <w:t> </w:t>
      </w:r>
      <w:r>
        <w:rPr>
          <w:sz w:val="20"/>
        </w:rPr>
        <w:t>post- ET1 conciliation too (49 per cent vs 40 per cent).</w:t>
      </w:r>
    </w:p>
    <w:p>
      <w:pPr>
        <w:pStyle w:val="ListParagraph"/>
        <w:numPr>
          <w:ilvl w:val="0"/>
          <w:numId w:val="39"/>
        </w:numPr>
        <w:tabs>
          <w:tab w:pos="2057" w:val="left" w:leader="none"/>
        </w:tabs>
        <w:spacing w:line="240" w:lineRule="auto" w:before="0" w:after="0"/>
        <w:ind w:left="2056" w:right="1473" w:hanging="360"/>
        <w:jc w:val="both"/>
        <w:rPr>
          <w:sz w:val="20"/>
        </w:rPr>
      </w:pPr>
      <w:r>
        <w:rPr>
          <w:sz w:val="20"/>
        </w:rPr>
        <w:t>Participants</w:t>
      </w:r>
      <w:r>
        <w:rPr>
          <w:spacing w:val="-8"/>
          <w:sz w:val="20"/>
        </w:rPr>
        <w:t> </w:t>
      </w:r>
      <w:r>
        <w:rPr>
          <w:sz w:val="20"/>
        </w:rPr>
        <w:t>in</w:t>
      </w:r>
      <w:r>
        <w:rPr>
          <w:spacing w:val="-7"/>
          <w:sz w:val="20"/>
        </w:rPr>
        <w:t> </w:t>
      </w:r>
      <w:r>
        <w:rPr>
          <w:sz w:val="20"/>
        </w:rPr>
        <w:t>contact</w:t>
      </w:r>
      <w:r>
        <w:rPr>
          <w:spacing w:val="-10"/>
          <w:sz w:val="20"/>
        </w:rPr>
        <w:t> </w:t>
      </w:r>
      <w:r>
        <w:rPr>
          <w:sz w:val="20"/>
        </w:rPr>
        <w:t>with</w:t>
      </w:r>
      <w:r>
        <w:rPr>
          <w:spacing w:val="-7"/>
          <w:sz w:val="20"/>
        </w:rPr>
        <w:t> </w:t>
      </w:r>
      <w:r>
        <w:rPr>
          <w:sz w:val="20"/>
        </w:rPr>
        <w:t>more</w:t>
      </w:r>
      <w:r>
        <w:rPr>
          <w:spacing w:val="-8"/>
          <w:sz w:val="20"/>
        </w:rPr>
        <w:t> </w:t>
      </w:r>
      <w:r>
        <w:rPr>
          <w:sz w:val="20"/>
        </w:rPr>
        <w:t>than</w:t>
      </w:r>
      <w:r>
        <w:rPr>
          <w:spacing w:val="-7"/>
          <w:sz w:val="20"/>
        </w:rPr>
        <w:t> </w:t>
      </w:r>
      <w:r>
        <w:rPr>
          <w:sz w:val="20"/>
        </w:rPr>
        <w:t>one</w:t>
      </w:r>
      <w:r>
        <w:rPr>
          <w:spacing w:val="-8"/>
          <w:sz w:val="20"/>
        </w:rPr>
        <w:t> </w:t>
      </w:r>
      <w:r>
        <w:rPr>
          <w:sz w:val="20"/>
        </w:rPr>
        <w:t>Acas</w:t>
      </w:r>
      <w:r>
        <w:rPr>
          <w:spacing w:val="-8"/>
          <w:sz w:val="20"/>
        </w:rPr>
        <w:t> </w:t>
      </w:r>
      <w:r>
        <w:rPr>
          <w:sz w:val="20"/>
        </w:rPr>
        <w:t>conciliator</w:t>
      </w:r>
      <w:r>
        <w:rPr>
          <w:spacing w:val="-8"/>
          <w:sz w:val="20"/>
        </w:rPr>
        <w:t> </w:t>
      </w:r>
      <w:r>
        <w:rPr>
          <w:sz w:val="20"/>
        </w:rPr>
        <w:t>were</w:t>
      </w:r>
      <w:r>
        <w:rPr>
          <w:spacing w:val="-8"/>
          <w:sz w:val="20"/>
        </w:rPr>
        <w:t> </w:t>
      </w:r>
      <w:r>
        <w:rPr>
          <w:sz w:val="20"/>
        </w:rPr>
        <w:t>more</w:t>
      </w:r>
      <w:r>
        <w:rPr>
          <w:spacing w:val="-8"/>
          <w:sz w:val="20"/>
        </w:rPr>
        <w:t> </w:t>
      </w:r>
      <w:r>
        <w:rPr>
          <w:sz w:val="20"/>
        </w:rPr>
        <w:t>likely to</w:t>
      </w:r>
      <w:r>
        <w:rPr>
          <w:spacing w:val="-13"/>
          <w:sz w:val="20"/>
        </w:rPr>
        <w:t> </w:t>
      </w:r>
      <w:r>
        <w:rPr>
          <w:sz w:val="20"/>
        </w:rPr>
        <w:t>report</w:t>
      </w:r>
      <w:r>
        <w:rPr>
          <w:spacing w:val="-14"/>
          <w:sz w:val="20"/>
        </w:rPr>
        <w:t> </w:t>
      </w:r>
      <w:r>
        <w:rPr>
          <w:sz w:val="20"/>
        </w:rPr>
        <w:t>that</w:t>
      </w:r>
      <w:r>
        <w:rPr>
          <w:spacing w:val="-12"/>
          <w:sz w:val="20"/>
        </w:rPr>
        <w:t> </w:t>
      </w:r>
      <w:r>
        <w:rPr>
          <w:sz w:val="20"/>
        </w:rPr>
        <w:t>they</w:t>
      </w:r>
      <w:r>
        <w:rPr>
          <w:spacing w:val="-14"/>
          <w:sz w:val="20"/>
        </w:rPr>
        <w:t> </w:t>
      </w:r>
      <w:r>
        <w:rPr>
          <w:sz w:val="20"/>
        </w:rPr>
        <w:t>contacted</w:t>
      </w:r>
      <w:r>
        <w:rPr>
          <w:spacing w:val="-13"/>
          <w:sz w:val="20"/>
        </w:rPr>
        <w:t> </w:t>
      </w:r>
      <w:r>
        <w:rPr>
          <w:sz w:val="20"/>
        </w:rPr>
        <w:t>Acas</w:t>
      </w:r>
      <w:r>
        <w:rPr>
          <w:spacing w:val="-15"/>
          <w:sz w:val="20"/>
        </w:rPr>
        <w:t> </w:t>
      </w:r>
      <w:r>
        <w:rPr>
          <w:sz w:val="20"/>
        </w:rPr>
        <w:t>most</w:t>
      </w:r>
      <w:r>
        <w:rPr>
          <w:spacing w:val="-13"/>
          <w:sz w:val="20"/>
        </w:rPr>
        <w:t> </w:t>
      </w:r>
      <w:r>
        <w:rPr>
          <w:sz w:val="20"/>
        </w:rPr>
        <w:t>of</w:t>
      </w:r>
      <w:r>
        <w:rPr>
          <w:spacing w:val="-14"/>
          <w:sz w:val="20"/>
        </w:rPr>
        <w:t> </w:t>
      </w:r>
      <w:r>
        <w:rPr>
          <w:sz w:val="20"/>
        </w:rPr>
        <w:t>the</w:t>
      </w:r>
      <w:r>
        <w:rPr>
          <w:spacing w:val="-15"/>
          <w:sz w:val="20"/>
        </w:rPr>
        <w:t> </w:t>
      </w:r>
      <w:r>
        <w:rPr>
          <w:sz w:val="20"/>
        </w:rPr>
        <w:t>time</w:t>
      </w:r>
      <w:r>
        <w:rPr>
          <w:spacing w:val="-13"/>
          <w:sz w:val="20"/>
        </w:rPr>
        <w:t> </w:t>
      </w:r>
      <w:r>
        <w:rPr>
          <w:sz w:val="20"/>
        </w:rPr>
        <w:t>(37</w:t>
      </w:r>
      <w:r>
        <w:rPr>
          <w:spacing w:val="-13"/>
          <w:sz w:val="20"/>
        </w:rPr>
        <w:t> </w:t>
      </w:r>
      <w:r>
        <w:rPr>
          <w:sz w:val="20"/>
        </w:rPr>
        <w:t>per</w:t>
      </w:r>
      <w:r>
        <w:rPr>
          <w:spacing w:val="-13"/>
          <w:sz w:val="20"/>
        </w:rPr>
        <w:t> </w:t>
      </w:r>
      <w:r>
        <w:rPr>
          <w:sz w:val="20"/>
        </w:rPr>
        <w:t>cent)</w:t>
      </w:r>
      <w:r>
        <w:rPr>
          <w:spacing w:val="-14"/>
          <w:sz w:val="20"/>
        </w:rPr>
        <w:t> </w:t>
      </w:r>
      <w:r>
        <w:rPr>
          <w:sz w:val="20"/>
        </w:rPr>
        <w:t>than</w:t>
      </w:r>
      <w:r>
        <w:rPr>
          <w:spacing w:val="-14"/>
          <w:sz w:val="20"/>
        </w:rPr>
        <w:t> </w:t>
      </w:r>
      <w:r>
        <w:rPr>
          <w:sz w:val="20"/>
        </w:rPr>
        <w:t>those who</w:t>
      </w:r>
      <w:r>
        <w:rPr>
          <w:spacing w:val="-8"/>
          <w:sz w:val="20"/>
        </w:rPr>
        <w:t> </w:t>
      </w:r>
      <w:r>
        <w:rPr>
          <w:sz w:val="20"/>
        </w:rPr>
        <w:t>had</w:t>
      </w:r>
      <w:r>
        <w:rPr>
          <w:spacing w:val="-8"/>
          <w:sz w:val="20"/>
        </w:rPr>
        <w:t> </w:t>
      </w:r>
      <w:r>
        <w:rPr>
          <w:sz w:val="20"/>
        </w:rPr>
        <w:t>a</w:t>
      </w:r>
      <w:r>
        <w:rPr>
          <w:spacing w:val="-8"/>
          <w:sz w:val="20"/>
        </w:rPr>
        <w:t> </w:t>
      </w:r>
      <w:r>
        <w:rPr>
          <w:sz w:val="20"/>
        </w:rPr>
        <w:t>singular</w:t>
      </w:r>
      <w:r>
        <w:rPr>
          <w:spacing w:val="-7"/>
          <w:sz w:val="20"/>
        </w:rPr>
        <w:t> </w:t>
      </w:r>
      <w:r>
        <w:rPr>
          <w:sz w:val="20"/>
        </w:rPr>
        <w:t>point</w:t>
      </w:r>
      <w:r>
        <w:rPr>
          <w:spacing w:val="-7"/>
          <w:sz w:val="20"/>
        </w:rPr>
        <w:t> </w:t>
      </w:r>
      <w:r>
        <w:rPr>
          <w:sz w:val="20"/>
        </w:rPr>
        <w:t>of</w:t>
      </w:r>
      <w:r>
        <w:rPr>
          <w:spacing w:val="-8"/>
          <w:sz w:val="20"/>
        </w:rPr>
        <w:t> </w:t>
      </w:r>
      <w:r>
        <w:rPr>
          <w:sz w:val="20"/>
        </w:rPr>
        <w:t>contact</w:t>
      </w:r>
      <w:r>
        <w:rPr>
          <w:spacing w:val="-9"/>
          <w:sz w:val="20"/>
        </w:rPr>
        <w:t> </w:t>
      </w:r>
      <w:r>
        <w:rPr>
          <w:sz w:val="20"/>
        </w:rPr>
        <w:t>at</w:t>
      </w:r>
      <w:r>
        <w:rPr>
          <w:spacing w:val="-6"/>
          <w:sz w:val="20"/>
        </w:rPr>
        <w:t> </w:t>
      </w:r>
      <w:r>
        <w:rPr>
          <w:sz w:val="20"/>
        </w:rPr>
        <w:t>Acas</w:t>
      </w:r>
      <w:r>
        <w:rPr>
          <w:spacing w:val="-8"/>
          <w:sz w:val="20"/>
        </w:rPr>
        <w:t> </w:t>
      </w:r>
      <w:r>
        <w:rPr>
          <w:sz w:val="20"/>
        </w:rPr>
        <w:t>(25</w:t>
      </w:r>
      <w:r>
        <w:rPr>
          <w:spacing w:val="-9"/>
          <w:sz w:val="20"/>
        </w:rPr>
        <w:t> </w:t>
      </w:r>
      <w:r>
        <w:rPr>
          <w:sz w:val="20"/>
        </w:rPr>
        <w:t>per</w:t>
      </w:r>
      <w:r>
        <w:rPr>
          <w:spacing w:val="-7"/>
          <w:sz w:val="20"/>
        </w:rPr>
        <w:t> </w:t>
      </w:r>
      <w:r>
        <w:rPr>
          <w:sz w:val="20"/>
        </w:rPr>
        <w:t>cent).</w:t>
      </w:r>
      <w:r>
        <w:rPr>
          <w:spacing w:val="-8"/>
          <w:sz w:val="20"/>
        </w:rPr>
        <w:t> </w:t>
      </w:r>
      <w:r>
        <w:rPr>
          <w:sz w:val="20"/>
        </w:rPr>
        <w:t>A</w:t>
      </w:r>
      <w:r>
        <w:rPr>
          <w:spacing w:val="-8"/>
          <w:sz w:val="20"/>
        </w:rPr>
        <w:t> </w:t>
      </w:r>
      <w:r>
        <w:rPr>
          <w:sz w:val="20"/>
        </w:rPr>
        <w:t>quarter</w:t>
      </w:r>
      <w:r>
        <w:rPr>
          <w:spacing w:val="-8"/>
          <w:sz w:val="20"/>
        </w:rPr>
        <w:t> </w:t>
      </w:r>
      <w:r>
        <w:rPr>
          <w:sz w:val="20"/>
        </w:rPr>
        <w:t>(23</w:t>
      </w:r>
      <w:r>
        <w:rPr>
          <w:spacing w:val="-8"/>
          <w:sz w:val="20"/>
        </w:rPr>
        <w:t> </w:t>
      </w:r>
      <w:r>
        <w:rPr>
          <w:sz w:val="20"/>
        </w:rPr>
        <w:t>per cent) of this group reported that Acas contacted them most of the time, although half of each audience said contact initiation had been shared equally (50 per cent and 51 per cent respectively).</w:t>
      </w:r>
    </w:p>
    <w:p>
      <w:pPr>
        <w:pStyle w:val="BodyText"/>
        <w:spacing w:before="10"/>
        <w:rPr>
          <w:sz w:val="19"/>
        </w:rPr>
      </w:pPr>
    </w:p>
    <w:p>
      <w:pPr>
        <w:pStyle w:val="BodyText"/>
        <w:spacing w:before="1"/>
        <w:ind w:left="1336" w:right="1475"/>
        <w:jc w:val="both"/>
      </w:pPr>
      <w:r>
        <w:rPr/>
        <w:t>As in 2016, employers were more likely than any other group to report that Acas had contacted them most of the time (29 per cent), although a little over half (53 per cent) reported that contact initiation had been shared equally.</w:t>
      </w:r>
    </w:p>
    <w:p>
      <w:pPr>
        <w:pStyle w:val="BodyText"/>
      </w:pPr>
    </w:p>
    <w:p>
      <w:pPr>
        <w:pStyle w:val="BodyText"/>
        <w:ind w:left="1336" w:right="1472"/>
        <w:jc w:val="both"/>
      </w:pPr>
      <w:r>
        <w:rPr/>
        <w:t>Seven</w:t>
      </w:r>
      <w:r>
        <w:rPr>
          <w:spacing w:val="-9"/>
        </w:rPr>
        <w:t> </w:t>
      </w:r>
      <w:r>
        <w:rPr/>
        <w:t>in</w:t>
      </w:r>
      <w:r>
        <w:rPr>
          <w:spacing w:val="-10"/>
        </w:rPr>
        <w:t> </w:t>
      </w:r>
      <w:r>
        <w:rPr/>
        <w:t>ten</w:t>
      </w:r>
      <w:r>
        <w:rPr>
          <w:spacing w:val="-9"/>
        </w:rPr>
        <w:t> </w:t>
      </w:r>
      <w:r>
        <w:rPr/>
        <w:t>claimants</w:t>
      </w:r>
      <w:r>
        <w:rPr>
          <w:spacing w:val="-10"/>
        </w:rPr>
        <w:t> </w:t>
      </w:r>
      <w:r>
        <w:rPr/>
        <w:t>(and</w:t>
      </w:r>
      <w:r>
        <w:rPr>
          <w:spacing w:val="-10"/>
        </w:rPr>
        <w:t> </w:t>
      </w:r>
      <w:r>
        <w:rPr/>
        <w:t>their</w:t>
      </w:r>
      <w:r>
        <w:rPr>
          <w:spacing w:val="-9"/>
        </w:rPr>
        <w:t> </w:t>
      </w:r>
      <w:r>
        <w:rPr/>
        <w:t>representatives)</w:t>
      </w:r>
      <w:r>
        <w:rPr>
          <w:spacing w:val="-9"/>
        </w:rPr>
        <w:t> </w:t>
      </w:r>
      <w:r>
        <w:rPr/>
        <w:t>and</w:t>
      </w:r>
      <w:r>
        <w:rPr>
          <w:spacing w:val="-10"/>
        </w:rPr>
        <w:t> </w:t>
      </w:r>
      <w:r>
        <w:rPr/>
        <w:t>eight</w:t>
      </w:r>
      <w:r>
        <w:rPr>
          <w:spacing w:val="-10"/>
        </w:rPr>
        <w:t> </w:t>
      </w:r>
      <w:r>
        <w:rPr/>
        <w:t>in</w:t>
      </w:r>
      <w:r>
        <w:rPr>
          <w:spacing w:val="-10"/>
        </w:rPr>
        <w:t> </w:t>
      </w:r>
      <w:r>
        <w:rPr/>
        <w:t>ten</w:t>
      </w:r>
      <w:r>
        <w:rPr>
          <w:spacing w:val="-10"/>
        </w:rPr>
        <w:t> </w:t>
      </w:r>
      <w:r>
        <w:rPr/>
        <w:t>employers</w:t>
      </w:r>
      <w:r>
        <w:rPr>
          <w:spacing w:val="-9"/>
        </w:rPr>
        <w:t> </w:t>
      </w:r>
      <w:r>
        <w:rPr/>
        <w:t>(and their representatives) who took part in post-ET1 conciliation reported that they were</w:t>
      </w:r>
      <w:r>
        <w:rPr>
          <w:spacing w:val="-18"/>
        </w:rPr>
        <w:t> </w:t>
      </w:r>
      <w:r>
        <w:rPr/>
        <w:t>happy</w:t>
      </w:r>
      <w:r>
        <w:rPr>
          <w:spacing w:val="-18"/>
        </w:rPr>
        <w:t> </w:t>
      </w:r>
      <w:r>
        <w:rPr/>
        <w:t>with</w:t>
      </w:r>
      <w:r>
        <w:rPr>
          <w:spacing w:val="-17"/>
        </w:rPr>
        <w:t> </w:t>
      </w:r>
      <w:r>
        <w:rPr/>
        <w:t>the</w:t>
      </w:r>
      <w:r>
        <w:rPr>
          <w:spacing w:val="-18"/>
        </w:rPr>
        <w:t> </w:t>
      </w:r>
      <w:r>
        <w:rPr/>
        <w:t>amount</w:t>
      </w:r>
      <w:r>
        <w:rPr>
          <w:spacing w:val="-17"/>
        </w:rPr>
        <w:t> </w:t>
      </w:r>
      <w:r>
        <w:rPr/>
        <w:t>of</w:t>
      </w:r>
      <w:r>
        <w:rPr>
          <w:spacing w:val="-18"/>
        </w:rPr>
        <w:t> </w:t>
      </w:r>
      <w:r>
        <w:rPr/>
        <w:t>contact</w:t>
      </w:r>
      <w:r>
        <w:rPr>
          <w:spacing w:val="-18"/>
        </w:rPr>
        <w:t> </w:t>
      </w:r>
      <w:r>
        <w:rPr/>
        <w:t>they</w:t>
      </w:r>
      <w:r>
        <w:rPr>
          <w:spacing w:val="-17"/>
        </w:rPr>
        <w:t> </w:t>
      </w:r>
      <w:r>
        <w:rPr/>
        <w:t>received</w:t>
      </w:r>
      <w:r>
        <w:rPr>
          <w:spacing w:val="-18"/>
        </w:rPr>
        <w:t> </w:t>
      </w:r>
      <w:r>
        <w:rPr/>
        <w:t>from</w:t>
      </w:r>
      <w:r>
        <w:rPr>
          <w:spacing w:val="-17"/>
        </w:rPr>
        <w:t> </w:t>
      </w:r>
      <w:r>
        <w:rPr/>
        <w:t>Acas</w:t>
      </w:r>
      <w:r>
        <w:rPr>
          <w:spacing w:val="-18"/>
        </w:rPr>
        <w:t> </w:t>
      </w:r>
      <w:r>
        <w:rPr/>
        <w:t>during</w:t>
      </w:r>
      <w:r>
        <w:rPr>
          <w:spacing w:val="-17"/>
        </w:rPr>
        <w:t> </w:t>
      </w:r>
      <w:r>
        <w:rPr/>
        <w:t>their</w:t>
      </w:r>
      <w:r>
        <w:rPr>
          <w:spacing w:val="-18"/>
        </w:rPr>
        <w:t> </w:t>
      </w:r>
      <w:r>
        <w:rPr/>
        <w:t>dispute (70</w:t>
      </w:r>
      <w:r>
        <w:rPr>
          <w:spacing w:val="-16"/>
        </w:rPr>
        <w:t> </w:t>
      </w:r>
      <w:r>
        <w:rPr/>
        <w:t>per</w:t>
      </w:r>
      <w:r>
        <w:rPr>
          <w:spacing w:val="-17"/>
        </w:rPr>
        <w:t> </w:t>
      </w:r>
      <w:r>
        <w:rPr/>
        <w:t>cent</w:t>
      </w:r>
      <w:r>
        <w:rPr>
          <w:spacing w:val="-17"/>
        </w:rPr>
        <w:t> </w:t>
      </w:r>
      <w:r>
        <w:rPr/>
        <w:t>and</w:t>
      </w:r>
      <w:r>
        <w:rPr>
          <w:spacing w:val="-16"/>
        </w:rPr>
        <w:t> </w:t>
      </w:r>
      <w:r>
        <w:rPr/>
        <w:t>81</w:t>
      </w:r>
      <w:r>
        <w:rPr>
          <w:spacing w:val="-18"/>
        </w:rPr>
        <w:t> </w:t>
      </w:r>
      <w:r>
        <w:rPr/>
        <w:t>per</w:t>
      </w:r>
      <w:r>
        <w:rPr>
          <w:spacing w:val="-16"/>
        </w:rPr>
        <w:t> </w:t>
      </w:r>
      <w:r>
        <w:rPr/>
        <w:t>cent</w:t>
      </w:r>
      <w:r>
        <w:rPr>
          <w:spacing w:val="-16"/>
        </w:rPr>
        <w:t> </w:t>
      </w:r>
      <w:r>
        <w:rPr/>
        <w:t>respectively).</w:t>
      </w:r>
      <w:r>
        <w:rPr>
          <w:spacing w:val="-16"/>
        </w:rPr>
        <w:t> </w:t>
      </w:r>
      <w:r>
        <w:rPr/>
        <w:t>Among</w:t>
      </w:r>
      <w:r>
        <w:rPr>
          <w:spacing w:val="-16"/>
        </w:rPr>
        <w:t> </w:t>
      </w:r>
      <w:r>
        <w:rPr/>
        <w:t>claimant-side</w:t>
      </w:r>
      <w:r>
        <w:rPr>
          <w:spacing w:val="-17"/>
        </w:rPr>
        <w:t> </w:t>
      </w:r>
      <w:r>
        <w:rPr/>
        <w:t>participants,</w:t>
      </w:r>
      <w:r>
        <w:rPr>
          <w:spacing w:val="-17"/>
        </w:rPr>
        <w:t> </w:t>
      </w:r>
      <w:r>
        <w:rPr/>
        <w:t>three in</w:t>
      </w:r>
      <w:r>
        <w:rPr>
          <w:spacing w:val="-16"/>
        </w:rPr>
        <w:t> </w:t>
      </w:r>
      <w:r>
        <w:rPr/>
        <w:t>ten</w:t>
      </w:r>
      <w:r>
        <w:rPr>
          <w:spacing w:val="-16"/>
        </w:rPr>
        <w:t> </w:t>
      </w:r>
      <w:r>
        <w:rPr/>
        <w:t>(28</w:t>
      </w:r>
      <w:r>
        <w:rPr>
          <w:spacing w:val="-18"/>
        </w:rPr>
        <w:t> </w:t>
      </w:r>
      <w:r>
        <w:rPr/>
        <w:t>per</w:t>
      </w:r>
      <w:r>
        <w:rPr>
          <w:spacing w:val="-17"/>
        </w:rPr>
        <w:t> </w:t>
      </w:r>
      <w:r>
        <w:rPr/>
        <w:t>cent)</w:t>
      </w:r>
      <w:r>
        <w:rPr>
          <w:spacing w:val="-16"/>
        </w:rPr>
        <w:t> </w:t>
      </w:r>
      <w:r>
        <w:rPr/>
        <w:t>said</w:t>
      </w:r>
      <w:r>
        <w:rPr>
          <w:spacing w:val="-16"/>
        </w:rPr>
        <w:t> </w:t>
      </w:r>
      <w:r>
        <w:rPr/>
        <w:t>they</w:t>
      </w:r>
      <w:r>
        <w:rPr>
          <w:spacing w:val="-17"/>
        </w:rPr>
        <w:t> </w:t>
      </w:r>
      <w:r>
        <w:rPr/>
        <w:t>would</w:t>
      </w:r>
      <w:r>
        <w:rPr>
          <w:spacing w:val="-17"/>
        </w:rPr>
        <w:t> </w:t>
      </w:r>
      <w:r>
        <w:rPr/>
        <w:t>have</w:t>
      </w:r>
      <w:r>
        <w:rPr>
          <w:spacing w:val="-18"/>
        </w:rPr>
        <w:t> </w:t>
      </w:r>
      <w:r>
        <w:rPr/>
        <w:t>wanted</w:t>
      </w:r>
      <w:r>
        <w:rPr>
          <w:spacing w:val="-16"/>
        </w:rPr>
        <w:t> </w:t>
      </w:r>
      <w:r>
        <w:rPr/>
        <w:t>more</w:t>
      </w:r>
      <w:r>
        <w:rPr>
          <w:spacing w:val="-17"/>
        </w:rPr>
        <w:t> </w:t>
      </w:r>
      <w:r>
        <w:rPr/>
        <w:t>(rising</w:t>
      </w:r>
      <w:r>
        <w:rPr>
          <w:spacing w:val="-16"/>
        </w:rPr>
        <w:t> </w:t>
      </w:r>
      <w:r>
        <w:rPr/>
        <w:t>to</w:t>
      </w:r>
      <w:r>
        <w:rPr>
          <w:spacing w:val="-17"/>
        </w:rPr>
        <w:t> </w:t>
      </w:r>
      <w:r>
        <w:rPr/>
        <w:t>38</w:t>
      </w:r>
      <w:r>
        <w:rPr>
          <w:spacing w:val="-17"/>
        </w:rPr>
        <w:t> </w:t>
      </w:r>
      <w:r>
        <w:rPr/>
        <w:t>per</w:t>
      </w:r>
      <w:r>
        <w:rPr>
          <w:spacing w:val="-17"/>
        </w:rPr>
        <w:t> </w:t>
      </w:r>
      <w:r>
        <w:rPr/>
        <w:t>cent</w:t>
      </w:r>
      <w:r>
        <w:rPr>
          <w:spacing w:val="-16"/>
        </w:rPr>
        <w:t> </w:t>
      </w:r>
      <w:r>
        <w:rPr/>
        <w:t>among claimants themselves), while the figure on the employer side was 13 per cent. A small minority (one per cent and two per cent respectively) said they would have wanted less contact.</w:t>
      </w:r>
    </w:p>
    <w:p>
      <w:pPr>
        <w:pStyle w:val="BodyText"/>
      </w:pPr>
    </w:p>
    <w:p>
      <w:pPr>
        <w:pStyle w:val="BodyText"/>
        <w:ind w:left="1336" w:right="1473"/>
        <w:jc w:val="both"/>
      </w:pPr>
      <w:r>
        <w:rPr/>
        <w:t>Across</w:t>
      </w:r>
      <w:r>
        <w:rPr>
          <w:spacing w:val="-7"/>
        </w:rPr>
        <w:t> </w:t>
      </w:r>
      <w:r>
        <w:rPr/>
        <w:t>both</w:t>
      </w:r>
      <w:r>
        <w:rPr>
          <w:spacing w:val="-7"/>
        </w:rPr>
        <w:t> </w:t>
      </w:r>
      <w:r>
        <w:rPr/>
        <w:t>claimant</w:t>
      </w:r>
      <w:r>
        <w:rPr>
          <w:spacing w:val="-6"/>
        </w:rPr>
        <w:t> </w:t>
      </w:r>
      <w:r>
        <w:rPr/>
        <w:t>and</w:t>
      </w:r>
      <w:r>
        <w:rPr>
          <w:spacing w:val="-7"/>
        </w:rPr>
        <w:t> </w:t>
      </w:r>
      <w:r>
        <w:rPr/>
        <w:t>employer-side</w:t>
      </w:r>
      <w:r>
        <w:rPr>
          <w:spacing w:val="-7"/>
        </w:rPr>
        <w:t> </w:t>
      </w:r>
      <w:r>
        <w:rPr/>
        <w:t>participants,</w:t>
      </w:r>
      <w:r>
        <w:rPr>
          <w:spacing w:val="-6"/>
        </w:rPr>
        <w:t> </w:t>
      </w:r>
      <w:r>
        <w:rPr/>
        <w:t>the</w:t>
      </w:r>
      <w:r>
        <w:rPr>
          <w:spacing w:val="-7"/>
        </w:rPr>
        <w:t> </w:t>
      </w:r>
      <w:r>
        <w:rPr/>
        <w:t>proportion</w:t>
      </w:r>
      <w:r>
        <w:rPr>
          <w:spacing w:val="-6"/>
        </w:rPr>
        <w:t> </w:t>
      </w:r>
      <w:r>
        <w:rPr/>
        <w:t>reporting</w:t>
      </w:r>
      <w:r>
        <w:rPr>
          <w:spacing w:val="-7"/>
        </w:rPr>
        <w:t> </w:t>
      </w:r>
      <w:r>
        <w:rPr/>
        <w:t>that they</w:t>
      </w:r>
      <w:r>
        <w:rPr>
          <w:spacing w:val="-7"/>
        </w:rPr>
        <w:t> </w:t>
      </w:r>
      <w:r>
        <w:rPr/>
        <w:t>were</w:t>
      </w:r>
      <w:r>
        <w:rPr>
          <w:spacing w:val="-7"/>
        </w:rPr>
        <w:t> </w:t>
      </w:r>
      <w:r>
        <w:rPr/>
        <w:t>happy</w:t>
      </w:r>
      <w:r>
        <w:rPr>
          <w:spacing w:val="-7"/>
        </w:rPr>
        <w:t> </w:t>
      </w:r>
      <w:r>
        <w:rPr/>
        <w:t>with</w:t>
      </w:r>
      <w:r>
        <w:rPr>
          <w:spacing w:val="-6"/>
        </w:rPr>
        <w:t> </w:t>
      </w:r>
      <w:r>
        <w:rPr/>
        <w:t>the</w:t>
      </w:r>
      <w:r>
        <w:rPr>
          <w:spacing w:val="-6"/>
        </w:rPr>
        <w:t> </w:t>
      </w:r>
      <w:r>
        <w:rPr/>
        <w:t>amount</w:t>
      </w:r>
      <w:r>
        <w:rPr>
          <w:spacing w:val="-8"/>
        </w:rPr>
        <w:t> </w:t>
      </w:r>
      <w:r>
        <w:rPr/>
        <w:t>of</w:t>
      </w:r>
      <w:r>
        <w:rPr>
          <w:spacing w:val="-5"/>
        </w:rPr>
        <w:t> </w:t>
      </w:r>
      <w:r>
        <w:rPr/>
        <w:t>contact</w:t>
      </w:r>
      <w:r>
        <w:rPr>
          <w:spacing w:val="-7"/>
        </w:rPr>
        <w:t> </w:t>
      </w:r>
      <w:r>
        <w:rPr/>
        <w:t>received</w:t>
      </w:r>
      <w:r>
        <w:rPr>
          <w:spacing w:val="-6"/>
        </w:rPr>
        <w:t> </w:t>
      </w:r>
      <w:r>
        <w:rPr/>
        <w:t>from</w:t>
      </w:r>
      <w:r>
        <w:rPr>
          <w:spacing w:val="-6"/>
        </w:rPr>
        <w:t> </w:t>
      </w:r>
      <w:r>
        <w:rPr/>
        <w:t>Acas</w:t>
      </w:r>
      <w:r>
        <w:rPr>
          <w:spacing w:val="-8"/>
        </w:rPr>
        <w:t> </w:t>
      </w:r>
      <w:r>
        <w:rPr/>
        <w:t>has</w:t>
      </w:r>
      <w:r>
        <w:rPr>
          <w:spacing w:val="-8"/>
        </w:rPr>
        <w:t> </w:t>
      </w:r>
      <w:r>
        <w:rPr/>
        <w:t>dropped</w:t>
      </w:r>
      <w:r>
        <w:rPr>
          <w:spacing w:val="-6"/>
        </w:rPr>
        <w:t> </w:t>
      </w:r>
      <w:r>
        <w:rPr/>
        <w:t>since 2016</w:t>
      </w:r>
      <w:r>
        <w:rPr>
          <w:spacing w:val="-1"/>
        </w:rPr>
        <w:t> </w:t>
      </w:r>
      <w:r>
        <w:rPr/>
        <w:t>(down</w:t>
      </w:r>
      <w:r>
        <w:rPr>
          <w:spacing w:val="-1"/>
        </w:rPr>
        <w:t> </w:t>
      </w:r>
      <w:r>
        <w:rPr/>
        <w:t>seven</w:t>
      </w:r>
      <w:r>
        <w:rPr>
          <w:spacing w:val="-1"/>
        </w:rPr>
        <w:t> </w:t>
      </w:r>
      <w:r>
        <w:rPr/>
        <w:t>points among</w:t>
      </w:r>
      <w:r>
        <w:rPr>
          <w:spacing w:val="-2"/>
        </w:rPr>
        <w:t> </w:t>
      </w:r>
      <w:r>
        <w:rPr/>
        <w:t>claimant-side participants and</w:t>
      </w:r>
      <w:r>
        <w:rPr>
          <w:spacing w:val="-2"/>
        </w:rPr>
        <w:t> </w:t>
      </w:r>
      <w:r>
        <w:rPr/>
        <w:t>five</w:t>
      </w:r>
      <w:r>
        <w:rPr>
          <w:spacing w:val="-1"/>
        </w:rPr>
        <w:t> </w:t>
      </w:r>
      <w:r>
        <w:rPr/>
        <w:t>points among employer-side participants), although this change is not significant. As in 2016, claimants were more likely to report that they would have preferred more contact than any other audience – four in ten (38 per cent) said this.</w:t>
      </w:r>
    </w:p>
    <w:p>
      <w:pPr>
        <w:pStyle w:val="BodyText"/>
        <w:spacing w:before="1"/>
      </w:pPr>
    </w:p>
    <w:p>
      <w:pPr>
        <w:pStyle w:val="BodyText"/>
        <w:ind w:left="1337" w:right="1474"/>
        <w:jc w:val="both"/>
      </w:pPr>
      <w:r>
        <w:rPr/>
        <w:t>Similarly, claimants (and their representatives) who did not reach a settlement through</w:t>
      </w:r>
      <w:r>
        <w:rPr>
          <w:spacing w:val="-8"/>
        </w:rPr>
        <w:t> </w:t>
      </w:r>
      <w:r>
        <w:rPr/>
        <w:t>post-ET1</w:t>
      </w:r>
      <w:r>
        <w:rPr>
          <w:spacing w:val="-8"/>
        </w:rPr>
        <w:t> </w:t>
      </w:r>
      <w:r>
        <w:rPr/>
        <w:t>conciliation</w:t>
      </w:r>
      <w:r>
        <w:rPr>
          <w:spacing w:val="-8"/>
        </w:rPr>
        <w:t> </w:t>
      </w:r>
      <w:r>
        <w:rPr/>
        <w:t>asked</w:t>
      </w:r>
      <w:r>
        <w:rPr>
          <w:spacing w:val="-8"/>
        </w:rPr>
        <w:t> </w:t>
      </w:r>
      <w:r>
        <w:rPr/>
        <w:t>for</w:t>
      </w:r>
      <w:r>
        <w:rPr>
          <w:spacing w:val="-8"/>
        </w:rPr>
        <w:t> </w:t>
      </w:r>
      <w:r>
        <w:rPr/>
        <w:t>more</w:t>
      </w:r>
      <w:r>
        <w:rPr>
          <w:spacing w:val="-9"/>
        </w:rPr>
        <w:t> </w:t>
      </w:r>
      <w:r>
        <w:rPr/>
        <w:t>contact</w:t>
      </w:r>
      <w:r>
        <w:rPr>
          <w:spacing w:val="-9"/>
        </w:rPr>
        <w:t> </w:t>
      </w:r>
      <w:r>
        <w:rPr/>
        <w:t>(38</w:t>
      </w:r>
      <w:r>
        <w:rPr>
          <w:spacing w:val="-8"/>
        </w:rPr>
        <w:t> </w:t>
      </w:r>
      <w:r>
        <w:rPr/>
        <w:t>per</w:t>
      </w:r>
      <w:r>
        <w:rPr>
          <w:spacing w:val="-8"/>
        </w:rPr>
        <w:t> </w:t>
      </w:r>
      <w:r>
        <w:rPr/>
        <w:t>cent)</w:t>
      </w:r>
      <w:r>
        <w:rPr>
          <w:spacing w:val="-8"/>
        </w:rPr>
        <w:t> </w:t>
      </w:r>
      <w:r>
        <w:rPr/>
        <w:t>than</w:t>
      </w:r>
      <w:r>
        <w:rPr>
          <w:spacing w:val="-9"/>
        </w:rPr>
        <w:t> </w:t>
      </w:r>
      <w:r>
        <w:rPr/>
        <w:t>those</w:t>
      </w:r>
      <w:r>
        <w:rPr>
          <w:spacing w:val="-9"/>
        </w:rPr>
        <w:t> </w:t>
      </w:r>
      <w:r>
        <w:rPr/>
        <w:t>who reached a settlement (22 per cent). Interestingly, this trend was not reflected among employers (and their representatives).</w:t>
      </w:r>
    </w:p>
    <w:p>
      <w:pPr>
        <w:pStyle w:val="BodyText"/>
      </w:pPr>
    </w:p>
    <w:p>
      <w:pPr>
        <w:pStyle w:val="BodyText"/>
        <w:ind w:left="1337" w:right="1474"/>
        <w:jc w:val="both"/>
      </w:pPr>
      <w:r>
        <w:rPr/>
        <w:t>Those</w:t>
      </w:r>
      <w:r>
        <w:rPr>
          <w:spacing w:val="-14"/>
        </w:rPr>
        <w:t> </w:t>
      </w:r>
      <w:r>
        <w:rPr/>
        <w:t>in</w:t>
      </w:r>
      <w:r>
        <w:rPr>
          <w:spacing w:val="-13"/>
        </w:rPr>
        <w:t> </w:t>
      </w:r>
      <w:r>
        <w:rPr/>
        <w:t>contact</w:t>
      </w:r>
      <w:r>
        <w:rPr>
          <w:spacing w:val="-15"/>
        </w:rPr>
        <w:t> </w:t>
      </w:r>
      <w:r>
        <w:rPr/>
        <w:t>with</w:t>
      </w:r>
      <w:r>
        <w:rPr>
          <w:spacing w:val="-16"/>
        </w:rPr>
        <w:t> </w:t>
      </w:r>
      <w:r>
        <w:rPr/>
        <w:t>multiple</w:t>
      </w:r>
      <w:r>
        <w:rPr>
          <w:spacing w:val="-14"/>
        </w:rPr>
        <w:t> </w:t>
      </w:r>
      <w:r>
        <w:rPr/>
        <w:t>conciliators</w:t>
      </w:r>
      <w:r>
        <w:rPr>
          <w:spacing w:val="-14"/>
        </w:rPr>
        <w:t> </w:t>
      </w:r>
      <w:r>
        <w:rPr/>
        <w:t>were</w:t>
      </w:r>
      <w:r>
        <w:rPr>
          <w:spacing w:val="-14"/>
        </w:rPr>
        <w:t> </w:t>
      </w:r>
      <w:r>
        <w:rPr/>
        <w:t>slightly</w:t>
      </w:r>
      <w:r>
        <w:rPr>
          <w:spacing w:val="-14"/>
        </w:rPr>
        <w:t> </w:t>
      </w:r>
      <w:r>
        <w:rPr/>
        <w:t>more</w:t>
      </w:r>
      <w:r>
        <w:rPr>
          <w:spacing w:val="-14"/>
        </w:rPr>
        <w:t> </w:t>
      </w:r>
      <w:r>
        <w:rPr/>
        <w:t>likely</w:t>
      </w:r>
      <w:r>
        <w:rPr>
          <w:spacing w:val="-14"/>
        </w:rPr>
        <w:t> </w:t>
      </w:r>
      <w:r>
        <w:rPr/>
        <w:t>to</w:t>
      </w:r>
      <w:r>
        <w:rPr>
          <w:spacing w:val="-14"/>
        </w:rPr>
        <w:t> </w:t>
      </w:r>
      <w:r>
        <w:rPr/>
        <w:t>request</w:t>
      </w:r>
      <w:r>
        <w:rPr>
          <w:spacing w:val="-14"/>
        </w:rPr>
        <w:t> </w:t>
      </w:r>
      <w:r>
        <w:rPr/>
        <w:t>more contact than those in touch with one (24 per cent compared to 19 per cent) but this was not statistically significant. Seven in ten (71 per cent) reported that they were</w:t>
      </w:r>
      <w:r>
        <w:rPr>
          <w:spacing w:val="-17"/>
        </w:rPr>
        <w:t> </w:t>
      </w:r>
      <w:r>
        <w:rPr/>
        <w:t>satisfied</w:t>
      </w:r>
      <w:r>
        <w:rPr>
          <w:spacing w:val="-16"/>
        </w:rPr>
        <w:t> </w:t>
      </w:r>
      <w:r>
        <w:rPr/>
        <w:t>with</w:t>
      </w:r>
      <w:r>
        <w:rPr>
          <w:spacing w:val="-16"/>
        </w:rPr>
        <w:t> </w:t>
      </w:r>
      <w:r>
        <w:rPr/>
        <w:t>the</w:t>
      </w:r>
      <w:r>
        <w:rPr>
          <w:spacing w:val="-18"/>
        </w:rPr>
        <w:t> </w:t>
      </w:r>
      <w:r>
        <w:rPr/>
        <w:t>amount</w:t>
      </w:r>
      <w:r>
        <w:rPr>
          <w:spacing w:val="-15"/>
        </w:rPr>
        <w:t> </w:t>
      </w:r>
      <w:r>
        <w:rPr/>
        <w:t>of</w:t>
      </w:r>
      <w:r>
        <w:rPr>
          <w:spacing w:val="-17"/>
        </w:rPr>
        <w:t> </w:t>
      </w:r>
      <w:r>
        <w:rPr/>
        <w:t>contact</w:t>
      </w:r>
      <w:r>
        <w:rPr>
          <w:spacing w:val="-17"/>
        </w:rPr>
        <w:t> </w:t>
      </w:r>
      <w:r>
        <w:rPr/>
        <w:t>they</w:t>
      </w:r>
      <w:r>
        <w:rPr>
          <w:spacing w:val="-17"/>
        </w:rPr>
        <w:t> </w:t>
      </w:r>
      <w:r>
        <w:rPr/>
        <w:t>received.</w:t>
      </w:r>
      <w:r>
        <w:rPr>
          <w:spacing w:val="-16"/>
        </w:rPr>
        <w:t> </w:t>
      </w:r>
      <w:r>
        <w:rPr/>
        <w:t>However,</w:t>
      </w:r>
      <w:r>
        <w:rPr>
          <w:spacing w:val="-16"/>
        </w:rPr>
        <w:t> </w:t>
      </w:r>
      <w:r>
        <w:rPr/>
        <w:t>when</w:t>
      </w:r>
      <w:r>
        <w:rPr>
          <w:spacing w:val="-16"/>
        </w:rPr>
        <w:t> </w:t>
      </w:r>
      <w:r>
        <w:rPr/>
        <w:t>we</w:t>
      </w:r>
      <w:r>
        <w:rPr>
          <w:spacing w:val="-17"/>
        </w:rPr>
        <w:t> </w:t>
      </w:r>
      <w:r>
        <w:rPr/>
        <w:t>expand this</w:t>
      </w:r>
      <w:r>
        <w:rPr>
          <w:spacing w:val="7"/>
        </w:rPr>
        <w:t> </w:t>
      </w:r>
      <w:r>
        <w:rPr/>
        <w:t>group</w:t>
      </w:r>
      <w:r>
        <w:rPr>
          <w:spacing w:val="8"/>
        </w:rPr>
        <w:t> </w:t>
      </w:r>
      <w:r>
        <w:rPr/>
        <w:t>to</w:t>
      </w:r>
      <w:r>
        <w:rPr>
          <w:spacing w:val="10"/>
        </w:rPr>
        <w:t> </w:t>
      </w:r>
      <w:r>
        <w:rPr/>
        <w:t>include</w:t>
      </w:r>
      <w:r>
        <w:rPr>
          <w:spacing w:val="8"/>
        </w:rPr>
        <w:t> </w:t>
      </w:r>
      <w:r>
        <w:rPr/>
        <w:t>everyone</w:t>
      </w:r>
      <w:r>
        <w:rPr>
          <w:spacing w:val="9"/>
        </w:rPr>
        <w:t> </w:t>
      </w:r>
      <w:r>
        <w:rPr/>
        <w:t>in</w:t>
      </w:r>
      <w:r>
        <w:rPr>
          <w:spacing w:val="8"/>
        </w:rPr>
        <w:t> </w:t>
      </w:r>
      <w:r>
        <w:rPr/>
        <w:t>contact</w:t>
      </w:r>
      <w:r>
        <w:rPr>
          <w:spacing w:val="8"/>
        </w:rPr>
        <w:t> </w:t>
      </w:r>
      <w:r>
        <w:rPr/>
        <w:t>with</w:t>
      </w:r>
      <w:r>
        <w:rPr>
          <w:spacing w:val="10"/>
        </w:rPr>
        <w:t> </w:t>
      </w:r>
      <w:r>
        <w:rPr/>
        <w:t>a</w:t>
      </w:r>
      <w:r>
        <w:rPr>
          <w:spacing w:val="9"/>
        </w:rPr>
        <w:t> </w:t>
      </w:r>
      <w:r>
        <w:rPr/>
        <w:t>conciliator</w:t>
      </w:r>
      <w:r>
        <w:rPr>
          <w:spacing w:val="10"/>
        </w:rPr>
        <w:t> </w:t>
      </w:r>
      <w:r>
        <w:rPr/>
        <w:t>regardless</w:t>
      </w:r>
      <w:r>
        <w:rPr>
          <w:spacing w:val="9"/>
        </w:rPr>
        <w:t> </w:t>
      </w:r>
      <w:r>
        <w:rPr/>
        <w:t>of</w:t>
      </w:r>
      <w:r>
        <w:rPr>
          <w:spacing w:val="9"/>
        </w:rPr>
        <w:t> </w:t>
      </w:r>
      <w:r>
        <w:rPr>
          <w:spacing w:val="-2"/>
        </w:rPr>
        <w:t>whether</w:t>
      </w:r>
    </w:p>
    <w:p>
      <w:pPr>
        <w:spacing w:after="0"/>
        <w:jc w:val="both"/>
        <w:sectPr>
          <w:pgSz w:w="11910" w:h="16840"/>
          <w:pgMar w:header="0" w:footer="996" w:top="1340" w:bottom="1180" w:left="460" w:right="320"/>
        </w:sectPr>
      </w:pPr>
    </w:p>
    <w:p>
      <w:pPr>
        <w:pStyle w:val="BodyText"/>
        <w:spacing w:before="82"/>
        <w:ind w:left="1337" w:right="1474"/>
        <w:jc w:val="both"/>
      </w:pPr>
      <w:r>
        <w:rPr/>
        <w:t>conciliation</w:t>
      </w:r>
      <w:r>
        <w:rPr>
          <w:spacing w:val="-10"/>
        </w:rPr>
        <w:t> </w:t>
      </w:r>
      <w:r>
        <w:rPr/>
        <w:t>took</w:t>
      </w:r>
      <w:r>
        <w:rPr>
          <w:spacing w:val="-10"/>
        </w:rPr>
        <w:t> </w:t>
      </w:r>
      <w:r>
        <w:rPr/>
        <w:t>place</w:t>
      </w:r>
      <w:r>
        <w:rPr>
          <w:spacing w:val="-11"/>
        </w:rPr>
        <w:t> </w:t>
      </w:r>
      <w:r>
        <w:rPr/>
        <w:t>we</w:t>
      </w:r>
      <w:r>
        <w:rPr>
          <w:spacing w:val="-11"/>
        </w:rPr>
        <w:t> </w:t>
      </w:r>
      <w:r>
        <w:rPr/>
        <w:t>do</w:t>
      </w:r>
      <w:r>
        <w:rPr>
          <w:spacing w:val="-11"/>
        </w:rPr>
        <w:t> </w:t>
      </w:r>
      <w:r>
        <w:rPr/>
        <w:t>see</w:t>
      </w:r>
      <w:r>
        <w:rPr>
          <w:spacing w:val="-11"/>
        </w:rPr>
        <w:t> </w:t>
      </w:r>
      <w:r>
        <w:rPr/>
        <w:t>that</w:t>
      </w:r>
      <w:r>
        <w:rPr>
          <w:spacing w:val="-10"/>
        </w:rPr>
        <w:t> </w:t>
      </w:r>
      <w:r>
        <w:rPr/>
        <w:t>those</w:t>
      </w:r>
      <w:r>
        <w:rPr>
          <w:spacing w:val="-11"/>
        </w:rPr>
        <w:t> </w:t>
      </w:r>
      <w:r>
        <w:rPr/>
        <w:t>in</w:t>
      </w:r>
      <w:r>
        <w:rPr>
          <w:spacing w:val="-10"/>
        </w:rPr>
        <w:t> </w:t>
      </w:r>
      <w:r>
        <w:rPr/>
        <w:t>touch</w:t>
      </w:r>
      <w:r>
        <w:rPr>
          <w:spacing w:val="-10"/>
        </w:rPr>
        <w:t> </w:t>
      </w:r>
      <w:r>
        <w:rPr/>
        <w:t>with</w:t>
      </w:r>
      <w:r>
        <w:rPr>
          <w:spacing w:val="-12"/>
        </w:rPr>
        <w:t> </w:t>
      </w:r>
      <w:r>
        <w:rPr/>
        <w:t>more</w:t>
      </w:r>
      <w:r>
        <w:rPr>
          <w:spacing w:val="-11"/>
        </w:rPr>
        <w:t> </w:t>
      </w:r>
      <w:r>
        <w:rPr/>
        <w:t>than</w:t>
      </w:r>
      <w:r>
        <w:rPr>
          <w:spacing w:val="-10"/>
        </w:rPr>
        <w:t> </w:t>
      </w:r>
      <w:r>
        <w:rPr/>
        <w:t>one</w:t>
      </w:r>
      <w:r>
        <w:rPr>
          <w:spacing w:val="-11"/>
        </w:rPr>
        <w:t> </w:t>
      </w:r>
      <w:r>
        <w:rPr/>
        <w:t>conciliator would</w:t>
      </w:r>
      <w:r>
        <w:rPr>
          <w:spacing w:val="-12"/>
        </w:rPr>
        <w:t> </w:t>
      </w:r>
      <w:r>
        <w:rPr/>
        <w:t>prefer</w:t>
      </w:r>
      <w:r>
        <w:rPr>
          <w:spacing w:val="-12"/>
        </w:rPr>
        <w:t> </w:t>
      </w:r>
      <w:r>
        <w:rPr/>
        <w:t>more</w:t>
      </w:r>
      <w:r>
        <w:rPr>
          <w:spacing w:val="-12"/>
        </w:rPr>
        <w:t> </w:t>
      </w:r>
      <w:r>
        <w:rPr/>
        <w:t>contact</w:t>
      </w:r>
      <w:r>
        <w:rPr>
          <w:spacing w:val="-11"/>
        </w:rPr>
        <w:t> </w:t>
      </w:r>
      <w:r>
        <w:rPr/>
        <w:t>(31</w:t>
      </w:r>
      <w:r>
        <w:rPr>
          <w:spacing w:val="-13"/>
        </w:rPr>
        <w:t> </w:t>
      </w:r>
      <w:r>
        <w:rPr/>
        <w:t>per</w:t>
      </w:r>
      <w:r>
        <w:rPr>
          <w:spacing w:val="-13"/>
        </w:rPr>
        <w:t> </w:t>
      </w:r>
      <w:r>
        <w:rPr/>
        <w:t>cent)</w:t>
      </w:r>
      <w:r>
        <w:rPr>
          <w:spacing w:val="-13"/>
        </w:rPr>
        <w:t> </w:t>
      </w:r>
      <w:r>
        <w:rPr/>
        <w:t>when</w:t>
      </w:r>
      <w:r>
        <w:rPr>
          <w:spacing w:val="-14"/>
        </w:rPr>
        <w:t> </w:t>
      </w:r>
      <w:r>
        <w:rPr/>
        <w:t>compared</w:t>
      </w:r>
      <w:r>
        <w:rPr>
          <w:spacing w:val="-12"/>
        </w:rPr>
        <w:t> </w:t>
      </w:r>
      <w:r>
        <w:rPr/>
        <w:t>to</w:t>
      </w:r>
      <w:r>
        <w:rPr>
          <w:spacing w:val="-12"/>
        </w:rPr>
        <w:t> </w:t>
      </w:r>
      <w:r>
        <w:rPr/>
        <w:t>those</w:t>
      </w:r>
      <w:r>
        <w:rPr>
          <w:spacing w:val="-13"/>
        </w:rPr>
        <w:t> </w:t>
      </w:r>
      <w:r>
        <w:rPr/>
        <w:t>in</w:t>
      </w:r>
      <w:r>
        <w:rPr>
          <w:spacing w:val="-11"/>
        </w:rPr>
        <w:t> </w:t>
      </w:r>
      <w:r>
        <w:rPr/>
        <w:t>touch</w:t>
      </w:r>
      <w:r>
        <w:rPr>
          <w:spacing w:val="-12"/>
        </w:rPr>
        <w:t> </w:t>
      </w:r>
      <w:r>
        <w:rPr/>
        <w:t>with</w:t>
      </w:r>
      <w:r>
        <w:rPr>
          <w:spacing w:val="-12"/>
        </w:rPr>
        <w:t> </w:t>
      </w:r>
      <w:r>
        <w:rPr/>
        <w:t>just one (20 per cent).</w:t>
      </w:r>
    </w:p>
    <w:p>
      <w:pPr>
        <w:pStyle w:val="BodyText"/>
      </w:pPr>
    </w:p>
    <w:p>
      <w:pPr>
        <w:pStyle w:val="BodyText"/>
        <w:ind w:left="1337" w:right="1474"/>
        <w:jc w:val="both"/>
      </w:pPr>
      <w:r>
        <w:rPr/>
        <w:t>All claimants, employers and their respective representatives that were in touch with a conciliator post-ET1 submission tended to report that the conciliator had been</w:t>
      </w:r>
      <w:r>
        <w:rPr>
          <w:spacing w:val="-5"/>
        </w:rPr>
        <w:t> </w:t>
      </w:r>
      <w:r>
        <w:rPr/>
        <w:t>available</w:t>
      </w:r>
      <w:r>
        <w:rPr>
          <w:spacing w:val="-6"/>
        </w:rPr>
        <w:t> </w:t>
      </w:r>
      <w:r>
        <w:rPr/>
        <w:t>when</w:t>
      </w:r>
      <w:r>
        <w:rPr>
          <w:spacing w:val="-6"/>
        </w:rPr>
        <w:t> </w:t>
      </w:r>
      <w:r>
        <w:rPr/>
        <w:t>needed.</w:t>
      </w:r>
      <w:r>
        <w:rPr>
          <w:spacing w:val="-5"/>
        </w:rPr>
        <w:t> </w:t>
      </w:r>
      <w:r>
        <w:rPr/>
        <w:t>Seven</w:t>
      </w:r>
      <w:r>
        <w:rPr>
          <w:spacing w:val="-5"/>
        </w:rPr>
        <w:t> </w:t>
      </w:r>
      <w:r>
        <w:rPr/>
        <w:t>in</w:t>
      </w:r>
      <w:r>
        <w:rPr>
          <w:spacing w:val="-5"/>
        </w:rPr>
        <w:t> </w:t>
      </w:r>
      <w:r>
        <w:rPr/>
        <w:t>ten</w:t>
      </w:r>
      <w:r>
        <w:rPr>
          <w:spacing w:val="-7"/>
        </w:rPr>
        <w:t> </w:t>
      </w:r>
      <w:r>
        <w:rPr/>
        <w:t>(69</w:t>
      </w:r>
      <w:r>
        <w:rPr>
          <w:spacing w:val="-7"/>
        </w:rPr>
        <w:t> </w:t>
      </w:r>
      <w:r>
        <w:rPr/>
        <w:t>per</w:t>
      </w:r>
      <w:r>
        <w:rPr>
          <w:spacing w:val="-6"/>
        </w:rPr>
        <w:t> </w:t>
      </w:r>
      <w:r>
        <w:rPr/>
        <w:t>cent)</w:t>
      </w:r>
      <w:r>
        <w:rPr>
          <w:spacing w:val="-6"/>
        </w:rPr>
        <w:t> </w:t>
      </w:r>
      <w:r>
        <w:rPr/>
        <w:t>claimant-side</w:t>
      </w:r>
      <w:r>
        <w:rPr>
          <w:spacing w:val="-5"/>
        </w:rPr>
        <w:t> </w:t>
      </w:r>
      <w:r>
        <w:rPr/>
        <w:t>participants reported this to have been the case, while a similar proportion (65 per cent) of employer-side</w:t>
      </w:r>
      <w:r>
        <w:rPr>
          <w:spacing w:val="-6"/>
        </w:rPr>
        <w:t> </w:t>
      </w:r>
      <w:r>
        <w:rPr/>
        <w:t>participants</w:t>
      </w:r>
      <w:r>
        <w:rPr>
          <w:spacing w:val="-7"/>
        </w:rPr>
        <w:t> </w:t>
      </w:r>
      <w:r>
        <w:rPr/>
        <w:t>said</w:t>
      </w:r>
      <w:r>
        <w:rPr>
          <w:spacing w:val="-5"/>
        </w:rPr>
        <w:t> </w:t>
      </w:r>
      <w:r>
        <w:rPr/>
        <w:t>the</w:t>
      </w:r>
      <w:r>
        <w:rPr>
          <w:spacing w:val="-7"/>
        </w:rPr>
        <w:t> </w:t>
      </w:r>
      <w:r>
        <w:rPr/>
        <w:t>same.</w:t>
      </w:r>
      <w:r>
        <w:rPr>
          <w:spacing w:val="-5"/>
        </w:rPr>
        <w:t> </w:t>
      </w:r>
      <w:r>
        <w:rPr/>
        <w:t>There</w:t>
      </w:r>
      <w:r>
        <w:rPr>
          <w:spacing w:val="-6"/>
        </w:rPr>
        <w:t> </w:t>
      </w:r>
      <w:r>
        <w:rPr/>
        <w:t>has</w:t>
      </w:r>
      <w:r>
        <w:rPr>
          <w:spacing w:val="-5"/>
        </w:rPr>
        <w:t> </w:t>
      </w:r>
      <w:r>
        <w:rPr/>
        <w:t>been</w:t>
      </w:r>
      <w:r>
        <w:rPr>
          <w:spacing w:val="-5"/>
        </w:rPr>
        <w:t> </w:t>
      </w:r>
      <w:r>
        <w:rPr/>
        <w:t>little</w:t>
      </w:r>
      <w:r>
        <w:rPr>
          <w:spacing w:val="-6"/>
        </w:rPr>
        <w:t> </w:t>
      </w:r>
      <w:r>
        <w:rPr/>
        <w:t>change</w:t>
      </w:r>
      <w:r>
        <w:rPr>
          <w:spacing w:val="-6"/>
        </w:rPr>
        <w:t> </w:t>
      </w:r>
      <w:r>
        <w:rPr/>
        <w:t>in</w:t>
      </w:r>
      <w:r>
        <w:rPr>
          <w:spacing w:val="-5"/>
        </w:rPr>
        <w:t> </w:t>
      </w:r>
      <w:r>
        <w:rPr/>
        <w:t>reported availability since 2016.</w:t>
      </w:r>
    </w:p>
    <w:p>
      <w:pPr>
        <w:pStyle w:val="BodyText"/>
      </w:pPr>
    </w:p>
    <w:p>
      <w:pPr>
        <w:pStyle w:val="BodyText"/>
        <w:spacing w:line="243" w:lineRule="exact" w:before="1"/>
        <w:ind w:left="1337"/>
        <w:jc w:val="both"/>
      </w:pPr>
      <w:r>
        <w:rPr/>
        <w:t>There</w:t>
      </w:r>
      <w:r>
        <w:rPr>
          <w:spacing w:val="-6"/>
        </w:rPr>
        <w:t> </w:t>
      </w:r>
      <w:r>
        <w:rPr/>
        <w:t>were</w:t>
      </w:r>
      <w:r>
        <w:rPr>
          <w:spacing w:val="-5"/>
        </w:rPr>
        <w:t> </w:t>
      </w:r>
      <w:r>
        <w:rPr/>
        <w:t>some</w:t>
      </w:r>
      <w:r>
        <w:rPr>
          <w:spacing w:val="-4"/>
        </w:rPr>
        <w:t> </w:t>
      </w:r>
      <w:r>
        <w:rPr/>
        <w:t>significant</w:t>
      </w:r>
      <w:r>
        <w:rPr>
          <w:spacing w:val="-4"/>
        </w:rPr>
        <w:t> </w:t>
      </w:r>
      <w:r>
        <w:rPr/>
        <w:t>differences</w:t>
      </w:r>
      <w:r>
        <w:rPr>
          <w:spacing w:val="-4"/>
        </w:rPr>
        <w:t> </w:t>
      </w:r>
      <w:r>
        <w:rPr/>
        <w:t>within</w:t>
      </w:r>
      <w:r>
        <w:rPr>
          <w:spacing w:val="-4"/>
        </w:rPr>
        <w:t> </w:t>
      </w:r>
      <w:r>
        <w:rPr>
          <w:spacing w:val="-2"/>
        </w:rPr>
        <w:t>subgroups:</w:t>
      </w:r>
    </w:p>
    <w:p>
      <w:pPr>
        <w:pStyle w:val="ListParagraph"/>
        <w:numPr>
          <w:ilvl w:val="0"/>
          <w:numId w:val="39"/>
        </w:numPr>
        <w:tabs>
          <w:tab w:pos="2058" w:val="left" w:leader="none"/>
        </w:tabs>
        <w:spacing w:line="240" w:lineRule="auto" w:before="0" w:after="0"/>
        <w:ind w:left="2057" w:right="1473" w:hanging="360"/>
        <w:jc w:val="both"/>
        <w:rPr>
          <w:sz w:val="20"/>
        </w:rPr>
      </w:pPr>
      <w:r>
        <w:rPr>
          <w:sz w:val="20"/>
        </w:rPr>
        <w:t>Representatives were more likely to report that the Acas conciliator had been ‘always’ or ‘usually’ available than either claimants or employers. However a majority of both these groups reported that the conciliator had been always or usually available when needed.</w:t>
      </w:r>
    </w:p>
    <w:p>
      <w:pPr>
        <w:pStyle w:val="ListParagraph"/>
        <w:numPr>
          <w:ilvl w:val="0"/>
          <w:numId w:val="39"/>
        </w:numPr>
        <w:tabs>
          <w:tab w:pos="2058" w:val="left" w:leader="none"/>
        </w:tabs>
        <w:spacing w:line="240" w:lineRule="auto" w:before="0" w:after="0"/>
        <w:ind w:left="2057" w:right="1473" w:hanging="360"/>
        <w:jc w:val="both"/>
        <w:rPr>
          <w:sz w:val="20"/>
        </w:rPr>
      </w:pPr>
      <w:r>
        <w:rPr>
          <w:sz w:val="20"/>
        </w:rPr>
        <w:t>Those</w:t>
      </w:r>
      <w:r>
        <w:rPr>
          <w:spacing w:val="-8"/>
          <w:sz w:val="20"/>
        </w:rPr>
        <w:t> </w:t>
      </w:r>
      <w:r>
        <w:rPr>
          <w:sz w:val="20"/>
        </w:rPr>
        <w:t>who</w:t>
      </w:r>
      <w:r>
        <w:rPr>
          <w:spacing w:val="-8"/>
          <w:sz w:val="20"/>
        </w:rPr>
        <w:t> </w:t>
      </w:r>
      <w:r>
        <w:rPr>
          <w:sz w:val="20"/>
        </w:rPr>
        <w:t>took</w:t>
      </w:r>
      <w:r>
        <w:rPr>
          <w:spacing w:val="-8"/>
          <w:sz w:val="20"/>
        </w:rPr>
        <w:t> </w:t>
      </w:r>
      <w:r>
        <w:rPr>
          <w:sz w:val="20"/>
        </w:rPr>
        <w:t>part</w:t>
      </w:r>
      <w:r>
        <w:rPr>
          <w:spacing w:val="-7"/>
          <w:sz w:val="20"/>
        </w:rPr>
        <w:t> </w:t>
      </w:r>
      <w:r>
        <w:rPr>
          <w:sz w:val="20"/>
        </w:rPr>
        <w:t>in</w:t>
      </w:r>
      <w:r>
        <w:rPr>
          <w:spacing w:val="-9"/>
          <w:sz w:val="20"/>
        </w:rPr>
        <w:t> </w:t>
      </w:r>
      <w:r>
        <w:rPr>
          <w:sz w:val="20"/>
        </w:rPr>
        <w:t>post-ET1</w:t>
      </w:r>
      <w:r>
        <w:rPr>
          <w:spacing w:val="-8"/>
          <w:sz w:val="20"/>
        </w:rPr>
        <w:t> </w:t>
      </w:r>
      <w:r>
        <w:rPr>
          <w:sz w:val="20"/>
        </w:rPr>
        <w:t>conciliation</w:t>
      </w:r>
      <w:r>
        <w:rPr>
          <w:spacing w:val="-7"/>
          <w:sz w:val="20"/>
        </w:rPr>
        <w:t> </w:t>
      </w:r>
      <w:r>
        <w:rPr>
          <w:sz w:val="20"/>
        </w:rPr>
        <w:t>were</w:t>
      </w:r>
      <w:r>
        <w:rPr>
          <w:spacing w:val="-8"/>
          <w:sz w:val="20"/>
        </w:rPr>
        <w:t> </w:t>
      </w:r>
      <w:r>
        <w:rPr>
          <w:sz w:val="20"/>
        </w:rPr>
        <w:t>more</w:t>
      </w:r>
      <w:r>
        <w:rPr>
          <w:spacing w:val="-7"/>
          <w:sz w:val="20"/>
        </w:rPr>
        <w:t> </w:t>
      </w:r>
      <w:r>
        <w:rPr>
          <w:sz w:val="20"/>
        </w:rPr>
        <w:t>likely</w:t>
      </w:r>
      <w:r>
        <w:rPr>
          <w:spacing w:val="-8"/>
          <w:sz w:val="20"/>
        </w:rPr>
        <w:t> </w:t>
      </w:r>
      <w:r>
        <w:rPr>
          <w:sz w:val="20"/>
        </w:rPr>
        <w:t>to</w:t>
      </w:r>
      <w:r>
        <w:rPr>
          <w:spacing w:val="-8"/>
          <w:sz w:val="20"/>
        </w:rPr>
        <w:t> </w:t>
      </w:r>
      <w:r>
        <w:rPr>
          <w:sz w:val="20"/>
        </w:rPr>
        <w:t>report</w:t>
      </w:r>
      <w:r>
        <w:rPr>
          <w:spacing w:val="-8"/>
          <w:sz w:val="20"/>
        </w:rPr>
        <w:t> </w:t>
      </w:r>
      <w:r>
        <w:rPr>
          <w:sz w:val="20"/>
        </w:rPr>
        <w:t>that the</w:t>
      </w:r>
      <w:r>
        <w:rPr>
          <w:spacing w:val="-8"/>
          <w:sz w:val="20"/>
        </w:rPr>
        <w:t> </w:t>
      </w:r>
      <w:r>
        <w:rPr>
          <w:sz w:val="20"/>
        </w:rPr>
        <w:t>conciliator</w:t>
      </w:r>
      <w:r>
        <w:rPr>
          <w:spacing w:val="-8"/>
          <w:sz w:val="20"/>
        </w:rPr>
        <w:t> </w:t>
      </w:r>
      <w:r>
        <w:rPr>
          <w:sz w:val="20"/>
        </w:rPr>
        <w:t>had</w:t>
      </w:r>
      <w:r>
        <w:rPr>
          <w:spacing w:val="-9"/>
          <w:sz w:val="20"/>
        </w:rPr>
        <w:t> </w:t>
      </w:r>
      <w:r>
        <w:rPr>
          <w:sz w:val="20"/>
        </w:rPr>
        <w:t>been</w:t>
      </w:r>
      <w:r>
        <w:rPr>
          <w:spacing w:val="-9"/>
          <w:sz w:val="20"/>
        </w:rPr>
        <w:t> </w:t>
      </w:r>
      <w:r>
        <w:rPr>
          <w:sz w:val="20"/>
        </w:rPr>
        <w:t>always</w:t>
      </w:r>
      <w:r>
        <w:rPr>
          <w:spacing w:val="-9"/>
          <w:sz w:val="20"/>
        </w:rPr>
        <w:t> </w:t>
      </w:r>
      <w:r>
        <w:rPr>
          <w:sz w:val="20"/>
        </w:rPr>
        <w:t>or</w:t>
      </w:r>
      <w:r>
        <w:rPr>
          <w:spacing w:val="-9"/>
          <w:sz w:val="20"/>
        </w:rPr>
        <w:t> </w:t>
      </w:r>
      <w:r>
        <w:rPr>
          <w:sz w:val="20"/>
        </w:rPr>
        <w:t>usually</w:t>
      </w:r>
      <w:r>
        <w:rPr>
          <w:spacing w:val="-8"/>
          <w:sz w:val="20"/>
        </w:rPr>
        <w:t> </w:t>
      </w:r>
      <w:r>
        <w:rPr>
          <w:sz w:val="20"/>
        </w:rPr>
        <w:t>available</w:t>
      </w:r>
      <w:r>
        <w:rPr>
          <w:spacing w:val="-8"/>
          <w:sz w:val="20"/>
        </w:rPr>
        <w:t> </w:t>
      </w:r>
      <w:r>
        <w:rPr>
          <w:sz w:val="20"/>
        </w:rPr>
        <w:t>than</w:t>
      </w:r>
      <w:r>
        <w:rPr>
          <w:spacing w:val="-9"/>
          <w:sz w:val="20"/>
        </w:rPr>
        <w:t> </w:t>
      </w:r>
      <w:r>
        <w:rPr>
          <w:sz w:val="20"/>
        </w:rPr>
        <w:t>those</w:t>
      </w:r>
      <w:r>
        <w:rPr>
          <w:spacing w:val="-8"/>
          <w:sz w:val="20"/>
        </w:rPr>
        <w:t> </w:t>
      </w:r>
      <w:r>
        <w:rPr>
          <w:sz w:val="20"/>
        </w:rPr>
        <w:t>who</w:t>
      </w:r>
      <w:r>
        <w:rPr>
          <w:spacing w:val="-8"/>
          <w:sz w:val="20"/>
        </w:rPr>
        <w:t> </w:t>
      </w:r>
      <w:r>
        <w:rPr>
          <w:sz w:val="20"/>
        </w:rPr>
        <w:t>did</w:t>
      </w:r>
      <w:r>
        <w:rPr>
          <w:spacing w:val="-9"/>
          <w:sz w:val="20"/>
        </w:rPr>
        <w:t> </w:t>
      </w:r>
      <w:r>
        <w:rPr>
          <w:sz w:val="20"/>
        </w:rPr>
        <w:t>not.</w:t>
      </w:r>
    </w:p>
    <w:p>
      <w:pPr>
        <w:pStyle w:val="ListParagraph"/>
        <w:numPr>
          <w:ilvl w:val="0"/>
          <w:numId w:val="39"/>
        </w:numPr>
        <w:tabs>
          <w:tab w:pos="2058" w:val="left" w:leader="none"/>
        </w:tabs>
        <w:spacing w:line="237" w:lineRule="auto" w:before="0" w:after="0"/>
        <w:ind w:left="2057" w:right="1473" w:hanging="360"/>
        <w:jc w:val="both"/>
        <w:rPr>
          <w:sz w:val="20"/>
        </w:rPr>
      </w:pPr>
      <w:r>
        <w:rPr>
          <w:sz w:val="20"/>
        </w:rPr>
        <w:t>Similarly, those who settled their case were more likely to report that the conciliator had been always or usually available than those who did not.</w:t>
      </w:r>
    </w:p>
    <w:p>
      <w:pPr>
        <w:pStyle w:val="ListParagraph"/>
        <w:numPr>
          <w:ilvl w:val="0"/>
          <w:numId w:val="39"/>
        </w:numPr>
        <w:tabs>
          <w:tab w:pos="2058" w:val="left" w:leader="none"/>
        </w:tabs>
        <w:spacing w:line="240" w:lineRule="auto" w:before="0" w:after="0"/>
        <w:ind w:left="2057" w:right="1473" w:hanging="360"/>
        <w:jc w:val="both"/>
        <w:rPr>
          <w:sz w:val="20"/>
        </w:rPr>
      </w:pPr>
      <w:r>
        <w:rPr>
          <w:sz w:val="20"/>
        </w:rPr>
        <w:t>Those in contact with one rather than multiple conciliators were also more likely to report that the conciliator was always or usually available (72 per cent vs 62 per cent).</w:t>
      </w:r>
    </w:p>
    <w:p>
      <w:pPr>
        <w:pStyle w:val="BodyText"/>
        <w:spacing w:before="10"/>
        <w:rPr>
          <w:sz w:val="19"/>
        </w:rPr>
      </w:pPr>
    </w:p>
    <w:p>
      <w:pPr>
        <w:pStyle w:val="BodyText"/>
        <w:ind w:left="1337"/>
        <w:jc w:val="both"/>
      </w:pPr>
      <w:r>
        <w:rPr/>
        <w:t>In</w:t>
      </w:r>
      <w:r>
        <w:rPr>
          <w:spacing w:val="-5"/>
        </w:rPr>
        <w:t> </w:t>
      </w:r>
      <w:r>
        <w:rPr/>
        <w:t>contrast</w:t>
      </w:r>
      <w:r>
        <w:rPr>
          <w:spacing w:val="-4"/>
        </w:rPr>
        <w:t> </w:t>
      </w:r>
      <w:r>
        <w:rPr/>
        <w:t>to</w:t>
      </w:r>
      <w:r>
        <w:rPr>
          <w:spacing w:val="-3"/>
        </w:rPr>
        <w:t> </w:t>
      </w:r>
      <w:r>
        <w:rPr/>
        <w:t>2016,</w:t>
      </w:r>
      <w:r>
        <w:rPr>
          <w:spacing w:val="-3"/>
        </w:rPr>
        <w:t> </w:t>
      </w:r>
      <w:r>
        <w:rPr/>
        <w:t>there</w:t>
      </w:r>
      <w:r>
        <w:rPr>
          <w:spacing w:val="-4"/>
        </w:rPr>
        <w:t> </w:t>
      </w:r>
      <w:r>
        <w:rPr/>
        <w:t>were</w:t>
      </w:r>
      <w:r>
        <w:rPr>
          <w:spacing w:val="-4"/>
        </w:rPr>
        <w:t> </w:t>
      </w:r>
      <w:r>
        <w:rPr/>
        <w:t>no</w:t>
      </w:r>
      <w:r>
        <w:rPr>
          <w:spacing w:val="-3"/>
        </w:rPr>
        <w:t> </w:t>
      </w:r>
      <w:r>
        <w:rPr/>
        <w:t>significant</w:t>
      </w:r>
      <w:r>
        <w:rPr>
          <w:spacing w:val="-3"/>
        </w:rPr>
        <w:t> </w:t>
      </w:r>
      <w:r>
        <w:rPr/>
        <w:t>differences</w:t>
      </w:r>
      <w:r>
        <w:rPr>
          <w:spacing w:val="-4"/>
        </w:rPr>
        <w:t> </w:t>
      </w:r>
      <w:r>
        <w:rPr/>
        <w:t>by</w:t>
      </w:r>
      <w:r>
        <w:rPr>
          <w:spacing w:val="-3"/>
        </w:rPr>
        <w:t> </w:t>
      </w:r>
      <w:r>
        <w:rPr/>
        <w:t>case</w:t>
      </w:r>
      <w:r>
        <w:rPr>
          <w:spacing w:val="-4"/>
        </w:rPr>
        <w:t> </w:t>
      </w:r>
      <w:r>
        <w:rPr>
          <w:spacing w:val="-2"/>
        </w:rPr>
        <w:t>track.</w:t>
      </w:r>
    </w:p>
    <w:p>
      <w:pPr>
        <w:pStyle w:val="BodyText"/>
      </w:pPr>
    </w:p>
    <w:p>
      <w:pPr>
        <w:pStyle w:val="Heading3"/>
        <w:numPr>
          <w:ilvl w:val="1"/>
          <w:numId w:val="2"/>
        </w:numPr>
        <w:tabs>
          <w:tab w:pos="1973" w:val="left" w:leader="none"/>
        </w:tabs>
        <w:spacing w:line="240" w:lineRule="auto" w:before="0" w:after="0"/>
        <w:ind w:left="1972" w:right="0" w:hanging="636"/>
        <w:jc w:val="both"/>
      </w:pPr>
      <w:bookmarkStart w:name="15.2  Perceptions of the conciliator" w:id="181"/>
      <w:bookmarkEnd w:id="181"/>
      <w:r>
        <w:rPr>
          <w:b w:val="0"/>
        </w:rPr>
      </w:r>
      <w:bookmarkStart w:name="_bookmark45" w:id="182"/>
      <w:bookmarkEnd w:id="182"/>
      <w:r>
        <w:rPr/>
        <w:t>P</w:t>
      </w:r>
      <w:r>
        <w:rPr/>
        <w:t>erceptions</w:t>
      </w:r>
      <w:r>
        <w:rPr>
          <w:spacing w:val="-5"/>
        </w:rPr>
        <w:t> </w:t>
      </w:r>
      <w:r>
        <w:rPr/>
        <w:t>of</w:t>
      </w:r>
      <w:r>
        <w:rPr>
          <w:spacing w:val="-4"/>
        </w:rPr>
        <w:t> </w:t>
      </w:r>
      <w:r>
        <w:rPr/>
        <w:t>the</w:t>
      </w:r>
      <w:r>
        <w:rPr>
          <w:spacing w:val="-3"/>
        </w:rPr>
        <w:t> </w:t>
      </w:r>
      <w:r>
        <w:rPr>
          <w:spacing w:val="-2"/>
        </w:rPr>
        <w:t>conciliator</w:t>
      </w:r>
    </w:p>
    <w:p>
      <w:pPr>
        <w:pStyle w:val="BodyText"/>
        <w:spacing w:before="120"/>
        <w:ind w:left="1336" w:right="1474"/>
        <w:jc w:val="both"/>
      </w:pPr>
      <w:r>
        <w:rPr/>
        <w:t>Those who took part in post-ET1 conciliation were asked to rate their conciliator across a range of factors. As shown in Figure 28, ratings have risen significantly </w:t>
      </w:r>
      <w:r>
        <w:rPr>
          <w:spacing w:val="-2"/>
        </w:rPr>
        <w:t>since</w:t>
      </w:r>
      <w:r>
        <w:rPr>
          <w:spacing w:val="-9"/>
        </w:rPr>
        <w:t> </w:t>
      </w:r>
      <w:r>
        <w:rPr>
          <w:spacing w:val="-2"/>
        </w:rPr>
        <w:t>2016</w:t>
      </w:r>
      <w:r>
        <w:rPr>
          <w:spacing w:val="-7"/>
        </w:rPr>
        <w:t> </w:t>
      </w:r>
      <w:r>
        <w:rPr>
          <w:spacing w:val="-2"/>
        </w:rPr>
        <w:t>among</w:t>
      </w:r>
      <w:r>
        <w:rPr>
          <w:spacing w:val="-7"/>
        </w:rPr>
        <w:t> </w:t>
      </w:r>
      <w:r>
        <w:rPr>
          <w:spacing w:val="-2"/>
        </w:rPr>
        <w:t>claimant-side</w:t>
      </w:r>
      <w:r>
        <w:rPr>
          <w:spacing w:val="-9"/>
        </w:rPr>
        <w:t> </w:t>
      </w:r>
      <w:r>
        <w:rPr>
          <w:spacing w:val="-2"/>
        </w:rPr>
        <w:t>participants</w:t>
      </w:r>
      <w:r>
        <w:rPr>
          <w:spacing w:val="-7"/>
        </w:rPr>
        <w:t> </w:t>
      </w:r>
      <w:r>
        <w:rPr>
          <w:spacing w:val="-2"/>
        </w:rPr>
        <w:t>across</w:t>
      </w:r>
      <w:r>
        <w:rPr>
          <w:spacing w:val="-7"/>
        </w:rPr>
        <w:t> </w:t>
      </w:r>
      <w:r>
        <w:rPr>
          <w:spacing w:val="-2"/>
        </w:rPr>
        <w:t>four</w:t>
      </w:r>
      <w:r>
        <w:rPr>
          <w:spacing w:val="-7"/>
        </w:rPr>
        <w:t> </w:t>
      </w:r>
      <w:r>
        <w:rPr>
          <w:spacing w:val="-2"/>
        </w:rPr>
        <w:t>of</w:t>
      </w:r>
      <w:r>
        <w:rPr>
          <w:spacing w:val="-9"/>
        </w:rPr>
        <w:t> </w:t>
      </w:r>
      <w:r>
        <w:rPr>
          <w:spacing w:val="-2"/>
        </w:rPr>
        <w:t>the</w:t>
      </w:r>
      <w:r>
        <w:rPr>
          <w:spacing w:val="-9"/>
        </w:rPr>
        <w:t> </w:t>
      </w:r>
      <w:r>
        <w:rPr>
          <w:spacing w:val="-2"/>
        </w:rPr>
        <w:t>five</w:t>
      </w:r>
      <w:r>
        <w:rPr>
          <w:spacing w:val="-9"/>
        </w:rPr>
        <w:t> </w:t>
      </w:r>
      <w:r>
        <w:rPr>
          <w:spacing w:val="-2"/>
        </w:rPr>
        <w:t>measures.</w:t>
      </w:r>
      <w:r>
        <w:rPr>
          <w:spacing w:val="-7"/>
        </w:rPr>
        <w:t> </w:t>
      </w:r>
      <w:r>
        <w:rPr>
          <w:spacing w:val="-2"/>
        </w:rPr>
        <w:t>Many </w:t>
      </w:r>
      <w:r>
        <w:rPr/>
        <w:t>of these increases reflect a return towards levels recorded in the 2012 IC survey.</w:t>
      </w:r>
    </w:p>
    <w:p>
      <w:pPr>
        <w:spacing w:after="0"/>
        <w:jc w:val="both"/>
        <w:sectPr>
          <w:pgSz w:w="11910" w:h="16840"/>
          <w:pgMar w:header="0" w:footer="996" w:top="1340" w:bottom="1180" w:left="460" w:right="320"/>
        </w:sectPr>
      </w:pPr>
    </w:p>
    <w:p>
      <w:pPr>
        <w:pStyle w:val="Heading3"/>
        <w:spacing w:before="82"/>
        <w:jc w:val="left"/>
      </w:pPr>
      <w:r>
        <w:rPr/>
        <w:t>Figure</w:t>
      </w:r>
      <w:r>
        <w:rPr>
          <w:spacing w:val="-5"/>
        </w:rPr>
        <w:t> </w:t>
      </w:r>
      <w:r>
        <w:rPr/>
        <w:t>28.</w:t>
      </w:r>
      <w:r>
        <w:rPr>
          <w:spacing w:val="-4"/>
        </w:rPr>
        <w:t> </w:t>
      </w:r>
      <w:r>
        <w:rPr/>
        <w:t>Ratings</w:t>
      </w:r>
      <w:r>
        <w:rPr>
          <w:spacing w:val="-4"/>
        </w:rPr>
        <w:t> </w:t>
      </w:r>
      <w:r>
        <w:rPr/>
        <w:t>of</w:t>
      </w:r>
      <w:r>
        <w:rPr>
          <w:spacing w:val="-2"/>
        </w:rPr>
        <w:t> </w:t>
      </w:r>
      <w:r>
        <w:rPr/>
        <w:t>the</w:t>
      </w:r>
      <w:r>
        <w:rPr>
          <w:spacing w:val="-2"/>
        </w:rPr>
        <w:t> conciliator</w:t>
      </w:r>
    </w:p>
    <w:p>
      <w:pPr>
        <w:pStyle w:val="BodyText"/>
        <w:spacing w:before="5"/>
        <w:rPr>
          <w:b/>
          <w:sz w:val="23"/>
        </w:rPr>
      </w:pPr>
    </w:p>
    <w:p>
      <w:pPr>
        <w:tabs>
          <w:tab w:pos="2849" w:val="left" w:leader="none"/>
          <w:tab w:pos="3898" w:val="left" w:leader="none"/>
          <w:tab w:pos="4731" w:val="left" w:leader="none"/>
          <w:tab w:pos="5758" w:val="left" w:leader="none"/>
          <w:tab w:pos="6734" w:val="left" w:leader="none"/>
        </w:tabs>
        <w:spacing w:before="0"/>
        <w:ind w:left="1851" w:right="0" w:firstLine="0"/>
        <w:jc w:val="left"/>
        <w:rPr>
          <w:sz w:val="11"/>
        </w:rPr>
      </w:pPr>
      <w:r>
        <w:rPr/>
        <w:pict>
          <v:rect style="position:absolute;margin-left:110.975296pt;margin-top:2.077271pt;width:3.449955pt;height:3.017044pt;mso-position-horizontal-relative:page;mso-position-vertical-relative:paragraph;z-index:15766528" id="docshape65" filled="true" fillcolor="#77923b" stroked="false">
            <v:fill type="solid"/>
            <w10:wrap type="none"/>
          </v:rect>
        </w:pict>
      </w:r>
      <w:r>
        <w:rPr/>
        <w:pict>
          <v:rect style="position:absolute;margin-left:160.986053pt;margin-top:2.077271pt;width:3.018155pt;height:3.015933pt;mso-position-horizontal-relative:page;mso-position-vertical-relative:paragraph;z-index:-18088960" id="docshape66" filled="true" fillcolor="#9bba58" stroked="false">
            <v:fill type="solid"/>
            <w10:wrap type="none"/>
          </v:rect>
        </w:pict>
      </w:r>
      <w:r>
        <w:rPr/>
        <w:pict>
          <v:rect style="position:absolute;margin-left:213.583557pt;margin-top:2.077271pt;width:3.018155pt;height:3.015933pt;mso-position-horizontal-relative:page;mso-position-vertical-relative:paragraph;z-index:-18088448" id="docshape67" filled="true" fillcolor="#f1f1f1" stroked="false">
            <v:fill type="solid"/>
            <w10:wrap type="none"/>
          </v:rect>
        </w:pict>
      </w:r>
      <w:r>
        <w:rPr/>
        <w:pict>
          <v:rect style="position:absolute;margin-left:254.971771pt;margin-top:2.077271pt;width:3.449955pt;height:3.017044pt;mso-position-horizontal-relative:page;mso-position-vertical-relative:paragraph;z-index:-18087936" id="docshape68" filled="true" fillcolor="#94b3d6" stroked="false">
            <v:fill type="solid"/>
            <w10:wrap type="none"/>
          </v:rect>
        </w:pict>
      </w:r>
      <w:r>
        <w:rPr/>
        <w:pict>
          <v:rect style="position:absolute;margin-left:306.275909pt;margin-top:2.077271pt;width:3.449955pt;height:3.017044pt;mso-position-horizontal-relative:page;mso-position-vertical-relative:paragraph;z-index:-18087424" id="docshape69" filled="true" fillcolor="#0063c7" stroked="false">
            <v:fill type="solid"/>
            <w10:wrap type="none"/>
          </v:rect>
        </w:pict>
      </w:r>
      <w:r>
        <w:rPr/>
        <w:pict>
          <v:rect style="position:absolute;margin-left:355.424408pt;margin-top:2.077271pt;width:3.018155pt;height:3.015933pt;mso-position-horizontal-relative:page;mso-position-vertical-relative:paragraph;z-index:-18086912" id="docshape70" filled="true" fillcolor="#a6a6a6" stroked="false">
            <v:fill type="solid"/>
            <w10:wrap type="none"/>
          </v:rect>
        </w:pict>
      </w:r>
      <w:r>
        <w:rPr>
          <w:sz w:val="11"/>
        </w:rPr>
        <w:t>Very</w:t>
      </w:r>
      <w:r>
        <w:rPr>
          <w:spacing w:val="5"/>
          <w:sz w:val="11"/>
        </w:rPr>
        <w:t> </w:t>
      </w:r>
      <w:r>
        <w:rPr>
          <w:spacing w:val="-4"/>
          <w:sz w:val="11"/>
        </w:rPr>
        <w:t>good</w:t>
      </w:r>
      <w:r>
        <w:rPr>
          <w:sz w:val="11"/>
        </w:rPr>
        <w:tab/>
        <w:t>Fairly</w:t>
      </w:r>
      <w:r>
        <w:rPr>
          <w:spacing w:val="7"/>
          <w:sz w:val="11"/>
        </w:rPr>
        <w:t> </w:t>
      </w:r>
      <w:r>
        <w:rPr>
          <w:spacing w:val="-4"/>
          <w:sz w:val="11"/>
        </w:rPr>
        <w:t>good</w:t>
      </w:r>
      <w:r>
        <w:rPr>
          <w:sz w:val="11"/>
        </w:rPr>
        <w:tab/>
      </w:r>
      <w:r>
        <w:rPr>
          <w:spacing w:val="-2"/>
          <w:sz w:val="11"/>
        </w:rPr>
        <w:t>Neither</w:t>
      </w:r>
      <w:r>
        <w:rPr>
          <w:sz w:val="11"/>
        </w:rPr>
        <w:tab/>
        <w:t>Fairly</w:t>
      </w:r>
      <w:r>
        <w:rPr>
          <w:spacing w:val="7"/>
          <w:sz w:val="11"/>
        </w:rPr>
        <w:t> </w:t>
      </w:r>
      <w:r>
        <w:rPr>
          <w:spacing w:val="-4"/>
          <w:sz w:val="11"/>
        </w:rPr>
        <w:t>poor</w:t>
      </w:r>
      <w:r>
        <w:rPr>
          <w:sz w:val="11"/>
        </w:rPr>
        <w:tab/>
        <w:t>Very</w:t>
      </w:r>
      <w:r>
        <w:rPr>
          <w:spacing w:val="5"/>
          <w:sz w:val="11"/>
        </w:rPr>
        <w:t> </w:t>
      </w:r>
      <w:r>
        <w:rPr>
          <w:spacing w:val="-4"/>
          <w:sz w:val="11"/>
        </w:rPr>
        <w:t>poor</w:t>
      </w:r>
      <w:r>
        <w:rPr>
          <w:sz w:val="11"/>
        </w:rPr>
        <w:tab/>
        <w:t>Did</w:t>
      </w:r>
      <w:r>
        <w:rPr>
          <w:spacing w:val="7"/>
          <w:sz w:val="11"/>
        </w:rPr>
        <w:t> </w:t>
      </w:r>
      <w:r>
        <w:rPr>
          <w:sz w:val="11"/>
        </w:rPr>
        <w:t>not</w:t>
      </w:r>
      <w:r>
        <w:rPr>
          <w:spacing w:val="7"/>
          <w:sz w:val="11"/>
        </w:rPr>
        <w:t> </w:t>
      </w:r>
      <w:r>
        <w:rPr>
          <w:sz w:val="11"/>
        </w:rPr>
        <w:t>do</w:t>
      </w:r>
      <w:r>
        <w:rPr>
          <w:spacing w:val="-1"/>
          <w:sz w:val="11"/>
        </w:rPr>
        <w:t> </w:t>
      </w:r>
      <w:r>
        <w:rPr>
          <w:spacing w:val="-4"/>
          <w:sz w:val="11"/>
        </w:rPr>
        <w:t>this</w:t>
      </w:r>
    </w:p>
    <w:p>
      <w:pPr>
        <w:spacing w:line="240" w:lineRule="auto" w:before="0"/>
        <w:rPr>
          <w:sz w:val="14"/>
        </w:rPr>
      </w:pPr>
      <w:r>
        <w:rPr/>
        <w:br w:type="column"/>
      </w:r>
      <w:r>
        <w:rPr>
          <w:sz w:val="14"/>
        </w:rPr>
      </w:r>
    </w:p>
    <w:p>
      <w:pPr>
        <w:pStyle w:val="BodyText"/>
        <w:spacing w:before="5"/>
        <w:rPr>
          <w:sz w:val="13"/>
        </w:rPr>
      </w:pPr>
    </w:p>
    <w:p>
      <w:pPr>
        <w:spacing w:before="0"/>
        <w:ind w:left="358" w:right="0" w:firstLine="0"/>
        <w:jc w:val="left"/>
        <w:rPr>
          <w:sz w:val="11"/>
        </w:rPr>
      </w:pPr>
      <w:r>
        <w:rPr>
          <w:sz w:val="11"/>
        </w:rPr>
        <w:t>%</w:t>
      </w:r>
      <w:r>
        <w:rPr>
          <w:spacing w:val="5"/>
          <w:sz w:val="11"/>
        </w:rPr>
        <w:t> </w:t>
      </w:r>
      <w:r>
        <w:rPr>
          <w:spacing w:val="-4"/>
          <w:sz w:val="11"/>
        </w:rPr>
        <w:t>Very</w:t>
      </w:r>
    </w:p>
    <w:p>
      <w:pPr>
        <w:spacing w:line="247" w:lineRule="auto" w:before="5"/>
        <w:ind w:left="435" w:right="20" w:hanging="52"/>
        <w:jc w:val="left"/>
        <w:rPr>
          <w:sz w:val="11"/>
        </w:rPr>
      </w:pPr>
      <w:r>
        <w:rPr>
          <w:sz w:val="11"/>
        </w:rPr>
        <w:t>/</w:t>
      </w:r>
      <w:r>
        <w:rPr>
          <w:spacing w:val="-10"/>
          <w:sz w:val="11"/>
        </w:rPr>
        <w:t> </w:t>
      </w:r>
      <w:r>
        <w:rPr>
          <w:sz w:val="11"/>
        </w:rPr>
        <w:t>fairly</w:t>
      </w:r>
      <w:r>
        <w:rPr>
          <w:spacing w:val="40"/>
          <w:sz w:val="11"/>
        </w:rPr>
        <w:t> </w:t>
      </w:r>
      <w:r>
        <w:rPr>
          <w:spacing w:val="-4"/>
          <w:sz w:val="11"/>
        </w:rPr>
        <w:t>good</w:t>
      </w:r>
    </w:p>
    <w:p>
      <w:pPr>
        <w:spacing w:line="240" w:lineRule="auto" w:before="0"/>
        <w:rPr>
          <w:sz w:val="14"/>
        </w:rPr>
      </w:pPr>
      <w:r>
        <w:rPr/>
        <w:br w:type="column"/>
      </w:r>
      <w:r>
        <w:rPr>
          <w:sz w:val="14"/>
        </w:rPr>
      </w:r>
    </w:p>
    <w:p>
      <w:pPr>
        <w:pStyle w:val="BodyText"/>
        <w:spacing w:before="5"/>
        <w:rPr>
          <w:sz w:val="13"/>
        </w:rPr>
      </w:pPr>
    </w:p>
    <w:p>
      <w:pPr>
        <w:spacing w:before="0"/>
        <w:ind w:left="265" w:right="0" w:firstLine="0"/>
        <w:jc w:val="left"/>
        <w:rPr>
          <w:sz w:val="11"/>
        </w:rPr>
      </w:pPr>
      <w:r>
        <w:rPr>
          <w:spacing w:val="-2"/>
          <w:sz w:val="11"/>
        </w:rPr>
        <w:t>+/-</w:t>
      </w:r>
      <w:r>
        <w:rPr>
          <w:spacing w:val="-10"/>
          <w:sz w:val="11"/>
        </w:rPr>
        <w:t>%</w:t>
      </w:r>
    </w:p>
    <w:p>
      <w:pPr>
        <w:spacing w:line="247" w:lineRule="auto" w:before="5"/>
        <w:ind w:left="282" w:right="1898" w:hanging="9"/>
        <w:jc w:val="left"/>
        <w:rPr>
          <w:sz w:val="11"/>
        </w:rPr>
      </w:pPr>
      <w:r>
        <w:rPr>
          <w:spacing w:val="-2"/>
          <w:sz w:val="11"/>
        </w:rPr>
        <w:t>since</w:t>
      </w:r>
      <w:r>
        <w:rPr>
          <w:spacing w:val="40"/>
          <w:sz w:val="11"/>
        </w:rPr>
        <w:t> </w:t>
      </w:r>
      <w:r>
        <w:rPr>
          <w:spacing w:val="-4"/>
          <w:sz w:val="11"/>
        </w:rPr>
        <w:t>2016</w:t>
      </w:r>
    </w:p>
    <w:p>
      <w:pPr>
        <w:spacing w:after="0" w:line="247" w:lineRule="auto"/>
        <w:jc w:val="left"/>
        <w:rPr>
          <w:sz w:val="11"/>
        </w:rPr>
        <w:sectPr>
          <w:pgSz w:w="11910" w:h="16840"/>
          <w:pgMar w:header="0" w:footer="996" w:top="1340" w:bottom="1180" w:left="460" w:right="320"/>
          <w:cols w:num="3" w:equalWidth="0">
            <w:col w:w="7587" w:space="40"/>
            <w:col w:w="779" w:space="39"/>
            <w:col w:w="2685"/>
          </w:cols>
        </w:sectPr>
      </w:pPr>
    </w:p>
    <w:p>
      <w:pPr>
        <w:pStyle w:val="BodyText"/>
        <w:rPr>
          <w:sz w:val="12"/>
        </w:rPr>
      </w:pPr>
    </w:p>
    <w:p>
      <w:pPr>
        <w:pStyle w:val="BodyText"/>
        <w:ind w:left="1414"/>
      </w:pPr>
      <w:r>
        <w:rPr/>
        <w:pict>
          <v:group style="width:388.9pt;height:38.4pt;mso-position-horizontal-relative:char;mso-position-vertical-relative:line" id="docshapegroup71" coordorigin="0,0" coordsize="7778,768">
            <v:rect style="position:absolute;left:0;top:0;width:7778;height:768" id="docshape72" filled="true" fillcolor="#f1f1f1" stroked="false">
              <v:fill type="solid"/>
            </v:rect>
            <v:shape style="position:absolute;left:3035;top:112;width:1846;height:552" id="docshape73" coordorigin="3035,112" coordsize="1846,552" path="m4742,112l3035,112,3035,336,4742,336,4742,112xm4880,440l3035,440,3035,664,4880,664,4880,440xe" filled="true" fillcolor="#77923b" stroked="false">
              <v:path arrowok="t"/>
              <v:fill type="solid"/>
            </v:shape>
            <v:shape style="position:absolute;left:4742;top:112;width:958;height:552" id="docshape74" coordorigin="4742,112" coordsize="958,552" path="m5493,112l4742,112,4742,336,5493,336,5493,112xm5699,440l4880,440,4880,664,5699,664,5699,440xe" filled="true" fillcolor="#9bba58" stroked="false">
              <v:path arrowok="t"/>
              <v:fill type="solid"/>
            </v:shape>
            <v:shape style="position:absolute;left:5733;top:112;width:380;height:552" id="docshape75" coordorigin="5734,112" coordsize="380,552" path="m5872,112l5734,112,5734,336,5872,336,5872,112xm6113,440l6010,440,6010,664,6113,664,6113,440xe" filled="true" fillcolor="#94b3d6" stroked="false">
              <v:path arrowok="t"/>
              <v:fill type="solid"/>
            </v:shape>
            <v:shape style="position:absolute;left:5871;top:112;width:380;height:552" id="docshape76" coordorigin="5872,112" coordsize="380,552" path="m6044,112l5872,112,5872,336,6044,336,6044,112xm6251,440l6113,440,6113,664,6251,664,6251,440xe" filled="true" fillcolor="#0063c7" stroked="false">
              <v:path arrowok="t"/>
              <v:fill type="solid"/>
            </v:shape>
            <v:shape style="position:absolute;left:6044;top:112;width:406;height:552" id="docshape77" coordorigin="6044,112" coordsize="406,552" path="m6450,440l6251,440,6251,664,6450,664,6450,440xm6450,112l6044,112,6044,336,6450,336,6450,112xe" filled="true" fillcolor="#a6a6a6" stroked="false">
              <v:path arrowok="t"/>
              <v:fill type="solid"/>
            </v:shape>
            <v:shape style="position:absolute;left:198;top:188;width:1629;height:412" type="#_x0000_t202" id="docshape78" filled="false" stroked="false">
              <v:textbox inset="0,0,0,0">
                <w:txbxContent>
                  <w:p>
                    <w:pPr>
                      <w:spacing w:line="247" w:lineRule="auto" w:before="2"/>
                      <w:ind w:left="0" w:right="0" w:firstLine="0"/>
                      <w:jc w:val="left"/>
                      <w:rPr>
                        <w:sz w:val="11"/>
                      </w:rPr>
                    </w:pPr>
                    <w:r>
                      <w:rPr>
                        <w:sz w:val="11"/>
                      </w:rPr>
                      <w:t>Relaying</w:t>
                    </w:r>
                    <w:r>
                      <w:rPr>
                        <w:spacing w:val="40"/>
                        <w:sz w:val="11"/>
                      </w:rPr>
                      <w:t> </w:t>
                    </w:r>
                    <w:r>
                      <w:rPr>
                        <w:sz w:val="11"/>
                      </w:rPr>
                      <w:t>proposals</w:t>
                    </w:r>
                    <w:r>
                      <w:rPr>
                        <w:spacing w:val="40"/>
                        <w:sz w:val="11"/>
                      </w:rPr>
                      <w:t> </w:t>
                    </w:r>
                    <w:r>
                      <w:rPr>
                        <w:sz w:val="11"/>
                      </w:rPr>
                      <w:t>and</w:t>
                    </w:r>
                    <w:r>
                      <w:rPr>
                        <w:spacing w:val="40"/>
                        <w:sz w:val="11"/>
                      </w:rPr>
                      <w:t> </w:t>
                    </w:r>
                    <w:r>
                      <w:rPr>
                        <w:sz w:val="11"/>
                      </w:rPr>
                      <w:t>offers to</w:t>
                    </w:r>
                    <w:r>
                      <w:rPr>
                        <w:spacing w:val="-2"/>
                        <w:sz w:val="11"/>
                      </w:rPr>
                      <w:t> </w:t>
                    </w:r>
                    <w:r>
                      <w:rPr>
                        <w:sz w:val="11"/>
                      </w:rPr>
                      <w:t>and from employer</w:t>
                    </w:r>
                  </w:p>
                  <w:p>
                    <w:pPr>
                      <w:spacing w:before="0"/>
                      <w:ind w:left="0" w:right="0" w:firstLine="0"/>
                      <w:jc w:val="left"/>
                      <w:rPr>
                        <w:sz w:val="11"/>
                      </w:rPr>
                    </w:pPr>
                    <w:r>
                      <w:rPr>
                        <w:sz w:val="11"/>
                      </w:rPr>
                      <w:t>/</w:t>
                    </w:r>
                    <w:r>
                      <w:rPr>
                        <w:spacing w:val="5"/>
                        <w:sz w:val="11"/>
                      </w:rPr>
                      <w:t> </w:t>
                    </w:r>
                    <w:r>
                      <w:rPr>
                        <w:spacing w:val="-2"/>
                        <w:sz w:val="11"/>
                      </w:rPr>
                      <w:t>claimant</w:t>
                    </w:r>
                  </w:p>
                </w:txbxContent>
              </v:textbox>
              <w10:wrap type="none"/>
            </v:shape>
            <v:shape style="position:absolute;left:2224;top:141;width:672;height:116" type="#_x0000_t202" id="docshape79" filled="false" stroked="false">
              <v:textbox inset="0,0,0,0">
                <w:txbxContent>
                  <w:p>
                    <w:pPr>
                      <w:spacing w:before="5"/>
                      <w:ind w:left="0" w:right="0" w:firstLine="0"/>
                      <w:jc w:val="left"/>
                      <w:rPr>
                        <w:sz w:val="9"/>
                      </w:rPr>
                    </w:pPr>
                    <w:r>
                      <w:rPr>
                        <w:w w:val="105"/>
                        <w:sz w:val="9"/>
                      </w:rPr>
                      <w:t>Claimant</w:t>
                    </w:r>
                    <w:r>
                      <w:rPr>
                        <w:spacing w:val="-3"/>
                        <w:w w:val="105"/>
                        <w:sz w:val="9"/>
                      </w:rPr>
                      <w:t> </w:t>
                    </w:r>
                    <w:r>
                      <w:rPr>
                        <w:spacing w:val="-4"/>
                        <w:w w:val="105"/>
                        <w:sz w:val="9"/>
                      </w:rPr>
                      <w:t>side</w:t>
                    </w:r>
                  </w:p>
                </w:txbxContent>
              </v:textbox>
              <w10:wrap type="none"/>
            </v:shape>
            <v:shape style="position:absolute;left:3824;top:151;width:161;height:137" type="#_x0000_t202" id="docshape80" filled="false" stroked="false">
              <v:textbox inset="0,0,0,0">
                <w:txbxContent>
                  <w:p>
                    <w:pPr>
                      <w:spacing w:before="2"/>
                      <w:ind w:left="0" w:right="0" w:firstLine="0"/>
                      <w:jc w:val="left"/>
                      <w:rPr>
                        <w:sz w:val="11"/>
                      </w:rPr>
                    </w:pPr>
                    <w:r>
                      <w:rPr>
                        <w:color w:val="FFFFFF"/>
                        <w:spacing w:val="-5"/>
                        <w:sz w:val="11"/>
                      </w:rPr>
                      <w:t>50</w:t>
                    </w:r>
                  </w:p>
                </w:txbxContent>
              </v:textbox>
              <w10:wrap type="none"/>
            </v:shape>
            <v:shape style="position:absolute;left:5053;top:141;width:1806;height:147" type="#_x0000_t202" id="docshape81" filled="false" stroked="false">
              <v:textbox inset="0,0,0,0">
                <w:txbxContent>
                  <w:p>
                    <w:pPr>
                      <w:tabs>
                        <w:tab w:pos="529" w:val="left" w:leader="none"/>
                        <w:tab w:pos="1645" w:val="left" w:leader="none"/>
                      </w:tabs>
                      <w:spacing w:before="2"/>
                      <w:ind w:left="0" w:right="0" w:firstLine="0"/>
                      <w:jc w:val="left"/>
                      <w:rPr>
                        <w:sz w:val="11"/>
                      </w:rPr>
                    </w:pPr>
                    <w:r>
                      <w:rPr>
                        <w:spacing w:val="-5"/>
                        <w:sz w:val="11"/>
                      </w:rPr>
                      <w:t>22</w:t>
                    </w:r>
                    <w:r>
                      <w:rPr>
                        <w:sz w:val="11"/>
                      </w:rPr>
                      <w:tab/>
                      <w:t>7</w:t>
                    </w:r>
                    <w:r>
                      <w:rPr>
                        <w:spacing w:val="75"/>
                        <w:sz w:val="11"/>
                      </w:rPr>
                      <w:t> </w:t>
                    </w:r>
                    <w:r>
                      <w:rPr>
                        <w:sz w:val="11"/>
                      </w:rPr>
                      <w:t>4</w:t>
                    </w:r>
                    <w:r>
                      <w:rPr>
                        <w:spacing w:val="44"/>
                        <w:sz w:val="11"/>
                      </w:rPr>
                      <w:t> </w:t>
                    </w:r>
                    <w:r>
                      <w:rPr>
                        <w:color w:val="FFFFFF"/>
                        <w:sz w:val="11"/>
                      </w:rPr>
                      <w:t>5</w:t>
                    </w:r>
                    <w:r>
                      <w:rPr>
                        <w:color w:val="FFFFFF"/>
                        <w:spacing w:val="53"/>
                        <w:sz w:val="11"/>
                      </w:rPr>
                      <w:t>  </w:t>
                    </w:r>
                    <w:r>
                      <w:rPr>
                        <w:spacing w:val="-5"/>
                        <w:sz w:val="11"/>
                      </w:rPr>
                      <w:t>12</w:t>
                    </w:r>
                    <w:r>
                      <w:rPr>
                        <w:sz w:val="11"/>
                      </w:rPr>
                      <w:tab/>
                    </w:r>
                    <w:r>
                      <w:rPr>
                        <w:spacing w:val="-5"/>
                        <w:position w:val="1"/>
                        <w:sz w:val="11"/>
                      </w:rPr>
                      <w:t>73</w:t>
                    </w:r>
                  </w:p>
                </w:txbxContent>
              </v:textbox>
              <w10:wrap type="none"/>
            </v:shape>
            <v:shape style="position:absolute;left:7324;top:141;width:155;height:137" type="#_x0000_t202" id="docshape82" filled="false" stroked="false">
              <v:textbox inset="0,0,0,0">
                <w:txbxContent>
                  <w:p>
                    <w:pPr>
                      <w:spacing w:before="2"/>
                      <w:ind w:left="0" w:right="0" w:firstLine="0"/>
                      <w:jc w:val="left"/>
                      <w:rPr>
                        <w:sz w:val="11"/>
                      </w:rPr>
                    </w:pPr>
                    <w:r>
                      <w:rPr>
                        <w:spacing w:val="-9"/>
                        <w:sz w:val="11"/>
                      </w:rPr>
                      <w:t>+5</w:t>
                    </w:r>
                  </w:p>
                </w:txbxContent>
              </v:textbox>
              <w10:wrap type="none"/>
            </v:shape>
            <v:shape style="position:absolute;left:2224;top:492;width:698;height:116" type="#_x0000_t202" id="docshape83" filled="false" stroked="false">
              <v:textbox inset="0,0,0,0">
                <w:txbxContent>
                  <w:p>
                    <w:pPr>
                      <w:spacing w:before="5"/>
                      <w:ind w:left="0" w:right="0" w:firstLine="0"/>
                      <w:jc w:val="left"/>
                      <w:rPr>
                        <w:sz w:val="9"/>
                      </w:rPr>
                    </w:pPr>
                    <w:r>
                      <w:rPr>
                        <w:w w:val="105"/>
                        <w:sz w:val="9"/>
                      </w:rPr>
                      <w:t>Employer</w:t>
                    </w:r>
                    <w:r>
                      <w:rPr>
                        <w:spacing w:val="-3"/>
                        <w:w w:val="105"/>
                        <w:sz w:val="9"/>
                      </w:rPr>
                      <w:t> </w:t>
                    </w:r>
                    <w:r>
                      <w:rPr>
                        <w:spacing w:val="-4"/>
                        <w:w w:val="105"/>
                        <w:sz w:val="9"/>
                      </w:rPr>
                      <w:t>side</w:t>
                    </w:r>
                  </w:p>
                </w:txbxContent>
              </v:textbox>
              <w10:wrap type="none"/>
            </v:shape>
            <v:shape style="position:absolute;left:3893;top:483;width:161;height:137" type="#_x0000_t202" id="docshape84" filled="false" stroked="false">
              <v:textbox inset="0,0,0,0">
                <w:txbxContent>
                  <w:p>
                    <w:pPr>
                      <w:spacing w:before="2"/>
                      <w:ind w:left="0" w:right="0" w:firstLine="0"/>
                      <w:jc w:val="left"/>
                      <w:rPr>
                        <w:sz w:val="11"/>
                      </w:rPr>
                    </w:pPr>
                    <w:r>
                      <w:rPr>
                        <w:color w:val="FFFFFF"/>
                        <w:spacing w:val="-5"/>
                        <w:sz w:val="11"/>
                      </w:rPr>
                      <w:t>54</w:t>
                    </w:r>
                  </w:p>
                </w:txbxContent>
              </v:textbox>
              <w10:wrap type="none"/>
            </v:shape>
            <v:shape style="position:absolute;left:5224;top:483;width:161;height:137" type="#_x0000_t202" id="docshape85" filled="false" stroked="false">
              <v:textbox inset="0,0,0,0">
                <w:txbxContent>
                  <w:p>
                    <w:pPr>
                      <w:spacing w:before="2"/>
                      <w:ind w:left="0" w:right="0" w:firstLine="0"/>
                      <w:jc w:val="left"/>
                      <w:rPr>
                        <w:sz w:val="11"/>
                      </w:rPr>
                    </w:pPr>
                    <w:r>
                      <w:rPr>
                        <w:spacing w:val="-5"/>
                        <w:sz w:val="11"/>
                      </w:rPr>
                      <w:t>24</w:t>
                    </w:r>
                  </w:p>
                </w:txbxContent>
              </v:textbox>
              <w10:wrap type="none"/>
            </v:shape>
            <v:shape style="position:absolute;left:5822;top:474;width:1038;height:146" type="#_x0000_t202" id="docshape86" filled="false" stroked="false">
              <v:textbox inset="0,0,0,0">
                <w:txbxContent>
                  <w:p>
                    <w:pPr>
                      <w:tabs>
                        <w:tab w:pos="877" w:val="left" w:leader="none"/>
                      </w:tabs>
                      <w:spacing w:before="1"/>
                      <w:ind w:left="0" w:right="0" w:firstLine="0"/>
                      <w:jc w:val="left"/>
                      <w:rPr>
                        <w:sz w:val="11"/>
                      </w:rPr>
                    </w:pPr>
                    <w:r>
                      <w:rPr>
                        <w:sz w:val="11"/>
                      </w:rPr>
                      <w:t>9</w:t>
                    </w:r>
                    <w:r>
                      <w:rPr>
                        <w:spacing w:val="75"/>
                        <w:w w:val="150"/>
                        <w:sz w:val="11"/>
                      </w:rPr>
                      <w:t> </w:t>
                    </w:r>
                    <w:r>
                      <w:rPr>
                        <w:sz w:val="11"/>
                      </w:rPr>
                      <w:t>3</w:t>
                    </w:r>
                    <w:r>
                      <w:rPr>
                        <w:spacing w:val="9"/>
                        <w:sz w:val="11"/>
                      </w:rPr>
                      <w:t> </w:t>
                    </w:r>
                    <w:r>
                      <w:rPr>
                        <w:color w:val="FFFFFF"/>
                        <w:sz w:val="11"/>
                      </w:rPr>
                      <w:t>4</w:t>
                    </w:r>
                    <w:r>
                      <w:rPr>
                        <w:color w:val="FFFFFF"/>
                        <w:spacing w:val="79"/>
                        <w:sz w:val="11"/>
                      </w:rPr>
                      <w:t> </w:t>
                    </w:r>
                    <w:r>
                      <w:rPr>
                        <w:spacing w:val="-10"/>
                        <w:sz w:val="11"/>
                      </w:rPr>
                      <w:t>7</w:t>
                    </w:r>
                    <w:r>
                      <w:rPr>
                        <w:sz w:val="11"/>
                      </w:rPr>
                      <w:tab/>
                    </w:r>
                    <w:r>
                      <w:rPr>
                        <w:spacing w:val="-5"/>
                        <w:position w:val="1"/>
                        <w:sz w:val="11"/>
                      </w:rPr>
                      <w:t>78</w:t>
                    </w:r>
                  </w:p>
                </w:txbxContent>
              </v:textbox>
              <w10:wrap type="none"/>
            </v:shape>
            <v:shape style="position:absolute;left:7332;top:474;width:152;height:137" type="#_x0000_t202" id="docshape87" filled="false" stroked="false">
              <v:textbox inset="0,0,0,0">
                <w:txbxContent>
                  <w:p>
                    <w:pPr>
                      <w:spacing w:before="2"/>
                      <w:ind w:left="0" w:right="0" w:firstLine="0"/>
                      <w:jc w:val="left"/>
                      <w:rPr>
                        <w:sz w:val="11"/>
                      </w:rPr>
                    </w:pPr>
                    <w:r>
                      <w:rPr>
                        <w:sz w:val="11"/>
                      </w:rPr>
                      <w:t>-</w:t>
                    </w:r>
                    <w:r>
                      <w:rPr>
                        <w:spacing w:val="-10"/>
                        <w:sz w:val="11"/>
                      </w:rPr>
                      <w:t>6</w:t>
                    </w:r>
                  </w:p>
                </w:txbxContent>
              </v:textbox>
              <w10:wrap type="none"/>
            </v:shape>
          </v:group>
        </w:pict>
      </w:r>
      <w:r>
        <w:rPr/>
      </w:r>
    </w:p>
    <w:p>
      <w:pPr>
        <w:pStyle w:val="BodyText"/>
        <w:spacing w:before="4"/>
        <w:rPr>
          <w:sz w:val="16"/>
        </w:rPr>
      </w:pPr>
    </w:p>
    <w:p>
      <w:pPr>
        <w:spacing w:after="0"/>
        <w:rPr>
          <w:sz w:val="16"/>
        </w:rPr>
        <w:sectPr>
          <w:type w:val="continuous"/>
          <w:pgSz w:w="11910" w:h="16840"/>
          <w:pgMar w:header="0" w:footer="996" w:top="560" w:bottom="280" w:left="460" w:right="320"/>
        </w:sectPr>
      </w:pPr>
    </w:p>
    <w:p>
      <w:pPr>
        <w:spacing w:line="247" w:lineRule="auto" w:before="102"/>
        <w:ind w:left="1613" w:right="0" w:firstLine="0"/>
        <w:jc w:val="left"/>
        <w:rPr>
          <w:sz w:val="11"/>
        </w:rPr>
      </w:pPr>
      <w:r>
        <w:rPr>
          <w:sz w:val="11"/>
        </w:rPr>
        <w:t>Helping</w:t>
      </w:r>
      <w:r>
        <w:rPr>
          <w:spacing w:val="40"/>
          <w:sz w:val="11"/>
        </w:rPr>
        <w:t> </w:t>
      </w:r>
      <w:r>
        <w:rPr>
          <w:sz w:val="11"/>
        </w:rPr>
        <w:t>you consider the</w:t>
      </w:r>
      <w:r>
        <w:rPr>
          <w:spacing w:val="40"/>
          <w:sz w:val="11"/>
        </w:rPr>
        <w:t> </w:t>
      </w:r>
      <w:r>
        <w:rPr>
          <w:sz w:val="11"/>
        </w:rPr>
        <w:t>pros and cons of</w:t>
      </w:r>
      <w:r>
        <w:rPr>
          <w:spacing w:val="-2"/>
          <w:sz w:val="11"/>
        </w:rPr>
        <w:t> </w:t>
      </w:r>
      <w:r>
        <w:rPr>
          <w:sz w:val="11"/>
        </w:rPr>
        <w:t>resolving</w:t>
      </w:r>
      <w:r>
        <w:rPr>
          <w:spacing w:val="40"/>
          <w:sz w:val="11"/>
        </w:rPr>
        <w:t> </w:t>
      </w:r>
      <w:r>
        <w:rPr>
          <w:sz w:val="11"/>
        </w:rPr>
        <w:t>the</w:t>
      </w:r>
      <w:r>
        <w:rPr>
          <w:spacing w:val="-4"/>
          <w:sz w:val="11"/>
        </w:rPr>
        <w:t> </w:t>
      </w:r>
      <w:r>
        <w:rPr>
          <w:sz w:val="11"/>
        </w:rPr>
        <w:t>issue without going</w:t>
      </w:r>
      <w:r>
        <w:rPr>
          <w:spacing w:val="17"/>
          <w:sz w:val="11"/>
        </w:rPr>
        <w:t> </w:t>
      </w:r>
      <w:r>
        <w:rPr>
          <w:sz w:val="11"/>
        </w:rPr>
        <w:t>to</w:t>
      </w:r>
      <w:r>
        <w:rPr>
          <w:spacing w:val="40"/>
          <w:sz w:val="11"/>
        </w:rPr>
        <w:t> </w:t>
      </w:r>
      <w:r>
        <w:rPr>
          <w:spacing w:val="-2"/>
          <w:sz w:val="11"/>
        </w:rPr>
        <w:t>hearing</w:t>
      </w:r>
    </w:p>
    <w:p>
      <w:pPr>
        <w:spacing w:line="240" w:lineRule="auto" w:before="6"/>
        <w:rPr>
          <w:sz w:val="10"/>
        </w:rPr>
      </w:pPr>
      <w:r>
        <w:rPr/>
        <w:br w:type="column"/>
      </w:r>
      <w:r>
        <w:rPr>
          <w:sz w:val="10"/>
        </w:rPr>
      </w:r>
    </w:p>
    <w:p>
      <w:pPr>
        <w:spacing w:before="0"/>
        <w:ind w:left="469" w:right="0" w:firstLine="0"/>
        <w:jc w:val="left"/>
        <w:rPr>
          <w:sz w:val="9"/>
        </w:rPr>
      </w:pPr>
      <w:r>
        <w:rPr>
          <w:w w:val="105"/>
          <w:sz w:val="9"/>
        </w:rPr>
        <w:t>Claimant</w:t>
      </w:r>
      <w:r>
        <w:rPr>
          <w:spacing w:val="-3"/>
          <w:w w:val="105"/>
          <w:sz w:val="9"/>
        </w:rPr>
        <w:t> </w:t>
      </w:r>
      <w:r>
        <w:rPr>
          <w:spacing w:val="-4"/>
          <w:w w:val="105"/>
          <w:sz w:val="9"/>
        </w:rPr>
        <w:t>side</w:t>
      </w:r>
    </w:p>
    <w:p>
      <w:pPr>
        <w:pStyle w:val="BodyText"/>
        <w:rPr>
          <w:sz w:val="12"/>
        </w:rPr>
      </w:pPr>
    </w:p>
    <w:p>
      <w:pPr>
        <w:spacing w:before="96"/>
        <w:ind w:left="469" w:right="0" w:firstLine="0"/>
        <w:jc w:val="left"/>
        <w:rPr>
          <w:sz w:val="9"/>
        </w:rPr>
      </w:pPr>
      <w:r>
        <w:rPr>
          <w:w w:val="105"/>
          <w:sz w:val="9"/>
        </w:rPr>
        <w:t>Employer</w:t>
      </w:r>
      <w:r>
        <w:rPr>
          <w:spacing w:val="-3"/>
          <w:w w:val="105"/>
          <w:sz w:val="9"/>
        </w:rPr>
        <w:t> </w:t>
      </w:r>
      <w:r>
        <w:rPr>
          <w:spacing w:val="-4"/>
          <w:w w:val="105"/>
          <w:sz w:val="9"/>
        </w:rPr>
        <w:t>side</w:t>
      </w:r>
    </w:p>
    <w:p>
      <w:pPr>
        <w:spacing w:line="240" w:lineRule="auto" w:before="5"/>
        <w:rPr>
          <w:sz w:val="11"/>
        </w:rPr>
      </w:pPr>
      <w:r>
        <w:rPr/>
        <w:br w:type="column"/>
      </w:r>
      <w:r>
        <w:rPr>
          <w:sz w:val="11"/>
        </w:rPr>
      </w:r>
    </w:p>
    <w:p>
      <w:pPr>
        <w:tabs>
          <w:tab w:pos="2203" w:val="left" w:leader="none"/>
        </w:tabs>
        <w:spacing w:before="0"/>
        <w:ind w:left="1613" w:right="0" w:firstLine="0"/>
        <w:jc w:val="left"/>
        <w:rPr>
          <w:sz w:val="11"/>
        </w:rPr>
      </w:pPr>
      <w:r>
        <w:rPr>
          <w:spacing w:val="-5"/>
          <w:sz w:val="11"/>
        </w:rPr>
        <w:t>66</w:t>
      </w:r>
      <w:r>
        <w:rPr>
          <w:sz w:val="11"/>
        </w:rPr>
        <w:tab/>
      </w:r>
      <w:r>
        <w:rPr>
          <w:spacing w:val="-5"/>
          <w:sz w:val="11"/>
        </w:rPr>
        <w:t>+21</w:t>
      </w:r>
    </w:p>
    <w:p>
      <w:pPr>
        <w:pStyle w:val="BodyText"/>
        <w:spacing w:before="5"/>
        <w:rPr>
          <w:sz w:val="16"/>
        </w:rPr>
      </w:pPr>
    </w:p>
    <w:p>
      <w:pPr>
        <w:tabs>
          <w:tab w:pos="2238" w:val="left" w:leader="none"/>
        </w:tabs>
        <w:spacing w:before="0"/>
        <w:ind w:left="1613" w:right="0" w:firstLine="0"/>
        <w:jc w:val="left"/>
        <w:rPr>
          <w:sz w:val="11"/>
        </w:rPr>
      </w:pPr>
      <w:r>
        <w:rPr/>
        <w:pict>
          <v:shape style="position:absolute;margin-left:472.69101pt;margin-top:-15.608643pt;width:3.9pt;height:4.350pt;mso-position-horizontal-relative:page;mso-position-vertical-relative:paragraph;z-index:15763968" id="docshape88" coordorigin="9454,-312" coordsize="78,87" path="m9531,-226l9454,-226,9493,-312,9531,-226xe" filled="true" fillcolor="#666666" stroked="false">
            <v:path arrowok="t"/>
            <v:fill type="solid"/>
            <w10:wrap type="none"/>
          </v:shape>
        </w:pict>
      </w:r>
      <w:r>
        <w:rPr/>
        <w:pict>
          <v:group style="position:absolute;margin-left:245.486969pt;margin-top:-1.818079pt;width:170.75pt;height:11.25pt;mso-position-horizontal-relative:page;mso-position-vertical-relative:paragraph;z-index:15765504" id="docshapegroup89" coordorigin="4910,-36" coordsize="3415,225">
            <v:rect style="position:absolute;left:5797;top:-37;width:587;height:225" id="docshape90" filled="true" fillcolor="#9bba58" stroked="false">
              <v:fill type="solid"/>
            </v:rect>
            <v:shape style="position:absolute;left:5797;top:-37;width:656;height:225" type="#_x0000_t202" id="docshape91" filled="false" stroked="false">
              <v:textbox inset="0,0,0,0">
                <w:txbxContent>
                  <w:p>
                    <w:pPr>
                      <w:spacing w:before="42"/>
                      <w:ind w:left="212" w:right="273" w:firstLine="0"/>
                      <w:jc w:val="center"/>
                      <w:rPr>
                        <w:sz w:val="11"/>
                      </w:rPr>
                    </w:pPr>
                    <w:r>
                      <w:rPr>
                        <w:spacing w:val="-5"/>
                        <w:sz w:val="11"/>
                      </w:rPr>
                      <w:t>17</w:t>
                    </w:r>
                  </w:p>
                </w:txbxContent>
              </v:textbox>
              <w10:wrap type="none"/>
            </v:shape>
            <v:shape style="position:absolute;left:4909;top:-37;width:889;height:225" type="#_x0000_t202" id="docshape92" filled="true" fillcolor="#77923b" stroked="false">
              <v:textbox inset="0,0,0,0">
                <w:txbxContent>
                  <w:p>
                    <w:pPr>
                      <w:spacing w:before="42"/>
                      <w:ind w:left="365" w:right="353" w:firstLine="0"/>
                      <w:jc w:val="center"/>
                      <w:rPr>
                        <w:color w:val="000000"/>
                        <w:sz w:val="11"/>
                      </w:rPr>
                    </w:pPr>
                    <w:r>
                      <w:rPr>
                        <w:color w:val="FFFFFF"/>
                        <w:spacing w:val="-5"/>
                        <w:sz w:val="11"/>
                      </w:rPr>
                      <w:t>26</w:t>
                    </w:r>
                  </w:p>
                </w:txbxContent>
              </v:textbox>
              <v:fill type="solid"/>
              <w10:wrap type="none"/>
            </v:shape>
            <v:rect style="position:absolute;left:7367;top:-37;width:958;height:225" id="docshape93" filled="true" fillcolor="#a6a6a6" stroked="false">
              <v:fill type="solid"/>
            </v:rect>
            <v:shape style="position:absolute;left:7470;top:-37;width:854;height:225" type="#_x0000_t202" id="docshape94" filled="true" fillcolor="#a6a6a6" stroked="false">
              <v:textbox inset="0,0,0,0">
                <w:txbxContent>
                  <w:p>
                    <w:pPr>
                      <w:spacing w:before="42"/>
                      <w:ind w:left="297" w:right="386" w:firstLine="0"/>
                      <w:jc w:val="center"/>
                      <w:rPr>
                        <w:color w:val="000000"/>
                        <w:sz w:val="11"/>
                      </w:rPr>
                    </w:pPr>
                    <w:r>
                      <w:rPr>
                        <w:color w:val="000000"/>
                        <w:spacing w:val="-5"/>
                        <w:sz w:val="11"/>
                      </w:rPr>
                      <w:t>28</w:t>
                    </w:r>
                  </w:p>
                </w:txbxContent>
              </v:textbox>
              <v:fill type="solid"/>
              <w10:wrap type="none"/>
            </v:shape>
            <v:shape style="position:absolute;left:7168;top:-37;width:302;height:225" type="#_x0000_t202" id="docshape95" filled="true" fillcolor="#a6a6a6" stroked="false">
              <v:textbox inset="0,0,0,0">
                <w:txbxContent>
                  <w:p>
                    <w:pPr>
                      <w:spacing w:before="42"/>
                      <w:ind w:left="67" w:right="0" w:firstLine="0"/>
                      <w:jc w:val="left"/>
                      <w:rPr>
                        <w:color w:val="000000"/>
                        <w:sz w:val="11"/>
                      </w:rPr>
                    </w:pPr>
                    <w:r>
                      <w:rPr>
                        <w:color w:val="FFFFFF"/>
                        <w:w w:val="101"/>
                        <w:sz w:val="11"/>
                      </w:rPr>
                      <w:t>6</w:t>
                    </w:r>
                  </w:p>
                </w:txbxContent>
              </v:textbox>
              <v:fill type="solid"/>
              <w10:wrap type="none"/>
            </v:shape>
            <v:shape style="position:absolute;left:7030;top:-37;width:138;height:225" type="#_x0000_t202" id="docshape96" filled="true" fillcolor="#94b3d6" stroked="false">
              <v:textbox inset="0,0,0,0">
                <w:txbxContent>
                  <w:p>
                    <w:pPr>
                      <w:spacing w:before="42"/>
                      <w:ind w:left="34" w:right="0" w:firstLine="0"/>
                      <w:jc w:val="left"/>
                      <w:rPr>
                        <w:color w:val="000000"/>
                        <w:sz w:val="11"/>
                      </w:rPr>
                    </w:pPr>
                    <w:r>
                      <w:rPr>
                        <w:color w:val="000000"/>
                        <w:w w:val="101"/>
                        <w:sz w:val="11"/>
                      </w:rPr>
                      <w:t>4</w:t>
                    </w:r>
                  </w:p>
                </w:txbxContent>
              </v:textbox>
              <v:fill type="solid"/>
              <w10:wrap type="none"/>
            </v:shape>
            <v:shape style="position:absolute;left:6453;top:-37;width:578;height:225" type="#_x0000_t202" id="docshape97" filled="true" fillcolor="#f1f1f1" stroked="false">
              <v:textbox inset="0,0,0,0">
                <w:txbxContent>
                  <w:p>
                    <w:pPr>
                      <w:spacing w:before="42"/>
                      <w:ind w:left="184" w:right="0" w:firstLine="0"/>
                      <w:jc w:val="left"/>
                      <w:rPr>
                        <w:color w:val="000000"/>
                        <w:sz w:val="11"/>
                      </w:rPr>
                    </w:pPr>
                    <w:r>
                      <w:rPr>
                        <w:color w:val="000000"/>
                        <w:spacing w:val="-5"/>
                        <w:sz w:val="11"/>
                      </w:rPr>
                      <w:t>19</w:t>
                    </w:r>
                  </w:p>
                </w:txbxContent>
              </v:textbox>
              <v:fill type="solid"/>
              <w10:wrap type="none"/>
            </v:shape>
            <w10:wrap type="none"/>
          </v:group>
        </w:pict>
      </w:r>
      <w:r>
        <w:rPr/>
        <w:pict>
          <v:group style="position:absolute;margin-left:245.486969pt;margin-top:-18.625439pt;width:170.75pt;height:11.25pt;mso-position-horizontal-relative:page;mso-position-vertical-relative:paragraph;z-index:15770112" id="docshapegroup98" coordorigin="4910,-373" coordsize="3415,225">
            <v:shape style="position:absolute;left:7850;top:-373;width:475;height:225" type="#_x0000_t202" id="docshape99" filled="true" fillcolor="#a6a6a6" stroked="false">
              <v:textbox inset="0,0,0,0">
                <w:txbxContent>
                  <w:p>
                    <w:pPr>
                      <w:spacing w:before="46"/>
                      <w:ind w:left="156" w:right="149" w:firstLine="0"/>
                      <w:jc w:val="center"/>
                      <w:rPr>
                        <w:color w:val="000000"/>
                        <w:sz w:val="11"/>
                      </w:rPr>
                    </w:pPr>
                    <w:r>
                      <w:rPr>
                        <w:color w:val="000000"/>
                        <w:spacing w:val="-5"/>
                        <w:sz w:val="11"/>
                      </w:rPr>
                      <w:t>14</w:t>
                    </w:r>
                  </w:p>
                </w:txbxContent>
              </v:textbox>
              <v:fill type="solid"/>
              <w10:wrap type="none"/>
            </v:shape>
            <v:shape style="position:absolute;left:7712;top:-373;width:138;height:225" type="#_x0000_t202" id="docshape100" filled="true" fillcolor="#0063c7" stroked="false">
              <v:textbox inset="0,0,0,0">
                <w:txbxContent>
                  <w:p>
                    <w:pPr>
                      <w:spacing w:before="46"/>
                      <w:ind w:left="35" w:right="0" w:firstLine="0"/>
                      <w:jc w:val="left"/>
                      <w:rPr>
                        <w:color w:val="000000"/>
                        <w:sz w:val="11"/>
                      </w:rPr>
                    </w:pPr>
                    <w:r>
                      <w:rPr>
                        <w:color w:val="FFFFFF"/>
                        <w:w w:val="101"/>
                        <w:sz w:val="11"/>
                      </w:rPr>
                      <w:t>4</w:t>
                    </w:r>
                  </w:p>
                </w:txbxContent>
              </v:textbox>
              <v:fill type="solid"/>
              <w10:wrap type="none"/>
            </v:shape>
            <v:shape style="position:absolute;left:7470;top:-373;width:242;height:225" type="#_x0000_t202" id="docshape101" filled="true" fillcolor="#94b3d6" stroked="false">
              <v:textbox inset="0,0,0,0">
                <w:txbxContent>
                  <w:p>
                    <w:pPr>
                      <w:spacing w:before="46"/>
                      <w:ind w:left="8" w:right="0" w:firstLine="0"/>
                      <w:jc w:val="center"/>
                      <w:rPr>
                        <w:color w:val="000000"/>
                        <w:sz w:val="11"/>
                      </w:rPr>
                    </w:pPr>
                    <w:r>
                      <w:rPr>
                        <w:color w:val="000000"/>
                        <w:w w:val="101"/>
                        <w:sz w:val="11"/>
                      </w:rPr>
                      <w:t>7</w:t>
                    </w:r>
                  </w:p>
                </w:txbxContent>
              </v:textbox>
              <v:fill type="solid"/>
              <w10:wrap type="none"/>
            </v:shape>
            <v:shape style="position:absolute;left:7168;top:-373;width:302;height:225" type="#_x0000_t202" id="docshape102" filled="true" fillcolor="#f1f1f1" stroked="false">
              <v:textbox inset="0,0,0,0">
                <w:txbxContent>
                  <w:p>
                    <w:pPr>
                      <w:spacing w:before="46"/>
                      <w:ind w:left="5" w:right="0" w:firstLine="0"/>
                      <w:jc w:val="center"/>
                      <w:rPr>
                        <w:color w:val="000000"/>
                        <w:sz w:val="11"/>
                      </w:rPr>
                    </w:pPr>
                    <w:r>
                      <w:rPr>
                        <w:color w:val="000000"/>
                        <w:w w:val="101"/>
                        <w:sz w:val="11"/>
                      </w:rPr>
                      <w:t>9</w:t>
                    </w:r>
                  </w:p>
                </w:txbxContent>
              </v:textbox>
              <v:fill type="solid"/>
              <w10:wrap type="none"/>
            </v:shape>
            <v:shape style="position:absolute;left:6453;top:-373;width:716;height:225" type="#_x0000_t202" id="docshape103" filled="true" fillcolor="#9bba58" stroked="false">
              <v:textbox inset="0,0,0,0">
                <w:txbxContent>
                  <w:p>
                    <w:pPr>
                      <w:spacing w:before="46"/>
                      <w:ind w:left="272" w:right="272" w:firstLine="0"/>
                      <w:jc w:val="center"/>
                      <w:rPr>
                        <w:color w:val="000000"/>
                        <w:sz w:val="11"/>
                      </w:rPr>
                    </w:pPr>
                    <w:r>
                      <w:rPr>
                        <w:color w:val="000000"/>
                        <w:spacing w:val="-5"/>
                        <w:sz w:val="11"/>
                      </w:rPr>
                      <w:t>21</w:t>
                    </w:r>
                  </w:p>
                </w:txbxContent>
              </v:textbox>
              <v:fill type="solid"/>
              <w10:wrap type="none"/>
            </v:shape>
            <v:shape style="position:absolute;left:4909;top:-373;width:1544;height:225" type="#_x0000_t202" id="docshape104" filled="true" fillcolor="#77923b" stroked="false">
              <v:textbox inset="0,0,0,0">
                <w:txbxContent>
                  <w:p>
                    <w:pPr>
                      <w:spacing w:before="46"/>
                      <w:ind w:left="689" w:right="684" w:firstLine="0"/>
                      <w:jc w:val="center"/>
                      <w:rPr>
                        <w:color w:val="000000"/>
                        <w:sz w:val="11"/>
                      </w:rPr>
                    </w:pPr>
                    <w:r>
                      <w:rPr>
                        <w:color w:val="FFFFFF"/>
                        <w:spacing w:val="-5"/>
                        <w:sz w:val="11"/>
                      </w:rPr>
                      <w:t>45</w:t>
                    </w:r>
                  </w:p>
                </w:txbxContent>
              </v:textbox>
              <v:fill type="solid"/>
              <w10:wrap type="none"/>
            </v:shape>
            <w10:wrap type="none"/>
          </v:group>
        </w:pict>
      </w:r>
      <w:r>
        <w:rPr>
          <w:spacing w:val="-5"/>
          <w:sz w:val="11"/>
        </w:rPr>
        <w:t>44</w:t>
      </w:r>
      <w:r>
        <w:rPr>
          <w:sz w:val="11"/>
        </w:rPr>
        <w:tab/>
      </w:r>
      <w:r>
        <w:rPr>
          <w:spacing w:val="-5"/>
          <w:sz w:val="11"/>
        </w:rPr>
        <w:t>+4</w:t>
      </w:r>
    </w:p>
    <w:p>
      <w:pPr>
        <w:spacing w:after="0"/>
        <w:jc w:val="left"/>
        <w:rPr>
          <w:sz w:val="11"/>
        </w:rPr>
        <w:sectPr>
          <w:type w:val="continuous"/>
          <w:pgSz w:w="11910" w:h="16840"/>
          <w:pgMar w:header="0" w:footer="996" w:top="560" w:bottom="280" w:left="460" w:right="320"/>
          <w:cols w:num="3" w:equalWidth="0">
            <w:col w:w="3131" w:space="40"/>
            <w:col w:w="1187" w:space="2142"/>
            <w:col w:w="4630"/>
          </w:cols>
        </w:sectPr>
      </w:pPr>
    </w:p>
    <w:p>
      <w:pPr>
        <w:pStyle w:val="BodyText"/>
        <w:spacing w:before="10"/>
        <w:rPr>
          <w:sz w:val="26"/>
        </w:rPr>
      </w:pPr>
    </w:p>
    <w:p>
      <w:pPr>
        <w:pStyle w:val="BodyText"/>
        <w:ind w:left="1414"/>
      </w:pPr>
      <w:r>
        <w:rPr/>
        <w:pict>
          <v:group style="width:388.9pt;height:38.8pt;mso-position-horizontal-relative:char;mso-position-vertical-relative:line" id="docshapegroup105" coordorigin="0,0" coordsize="7778,776">
            <v:rect style="position:absolute;left:0;top:0;width:7778;height:776" id="docshape106" filled="true" fillcolor="#f1f1f1" stroked="false">
              <v:fill type="solid"/>
            </v:rect>
            <v:shape style="position:absolute;left:7579;top:189;width:78;height:78" id="docshape107" coordorigin="7579,190" coordsize="78,78" path="m7657,267l7579,267,7618,190,7657,267xe" filled="true" fillcolor="#666666" stroked="false">
              <v:path arrowok="t"/>
              <v:fill type="solid"/>
            </v:shape>
            <v:shape style="position:absolute;left:3035;top:120;width:1475;height:552" id="docshape108" coordorigin="3035,121" coordsize="1475,552" path="m3725,457l3035,457,3035,672,3725,672,3725,457xm4510,121l3035,121,3035,345,4510,345,4510,121xe" filled="true" fillcolor="#77923b" stroked="false">
              <v:path arrowok="t"/>
              <v:fill type="solid"/>
            </v:shape>
            <v:shape style="position:absolute;left:3724;top:120;width:1397;height:552" id="docshape109" coordorigin="3725,121" coordsize="1397,552" path="m4130,457l3725,457,3725,672,4130,672,4130,457xm5122,121l4510,121,4510,345,5122,345,5122,121xe" filled="true" fillcolor="#9bba58" stroked="false">
              <v:path arrowok="t"/>
              <v:fill type="solid"/>
            </v:shape>
            <v:shape style="position:absolute;left:4544;top:120;width:1052;height:552" id="docshape110" coordorigin="4544,121" coordsize="1052,552" path="m4742,457l4544,457,4544,672,4742,672,4742,457xm5596,121l5432,121,5432,345,5596,345,5596,121xe" filled="true" fillcolor="#94b3d6" stroked="false">
              <v:path arrowok="t"/>
              <v:fill type="solid"/>
            </v:shape>
            <v:shape style="position:absolute;left:4742;top:120;width:992;height:552" id="docshape111" coordorigin="4742,121" coordsize="992,552" path="m4949,457l4742,457,4742,672,4949,672,4949,457xm5734,121l5596,121,5596,345,5734,345,5734,121xe" filled="true" fillcolor="#0063c7" stroked="false">
              <v:path arrowok="t"/>
              <v:fill type="solid"/>
            </v:shape>
            <v:shape style="position:absolute;left:4949;top:120;width:1501;height:552" id="docshape112" coordorigin="4949,121" coordsize="1501,552" path="m6415,457l4949,457,4949,672,6415,672,6415,457xm6450,121l5734,121,5734,345,6450,345,6450,121xe" filled="true" fillcolor="#a6a6a6" stroked="false">
              <v:path arrowok="t"/>
              <v:fill type="solid"/>
            </v:shape>
            <v:shape style="position:absolute;left:2224;top:154;width:672;height:116" type="#_x0000_t202" id="docshape113" filled="false" stroked="false">
              <v:textbox inset="0,0,0,0">
                <w:txbxContent>
                  <w:p>
                    <w:pPr>
                      <w:spacing w:before="5"/>
                      <w:ind w:left="0" w:right="0" w:firstLine="0"/>
                      <w:jc w:val="left"/>
                      <w:rPr>
                        <w:sz w:val="9"/>
                      </w:rPr>
                    </w:pPr>
                    <w:r>
                      <w:rPr>
                        <w:w w:val="105"/>
                        <w:sz w:val="9"/>
                      </w:rPr>
                      <w:t>Claimant</w:t>
                    </w:r>
                    <w:r>
                      <w:rPr>
                        <w:spacing w:val="-3"/>
                        <w:w w:val="105"/>
                        <w:sz w:val="9"/>
                      </w:rPr>
                      <w:t> </w:t>
                    </w:r>
                    <w:r>
                      <w:rPr>
                        <w:spacing w:val="-4"/>
                        <w:w w:val="105"/>
                        <w:sz w:val="9"/>
                      </w:rPr>
                      <w:t>side</w:t>
                    </w:r>
                  </w:p>
                </w:txbxContent>
              </v:textbox>
              <w10:wrap type="none"/>
            </v:shape>
            <v:shape style="position:absolute;left:198;top:244;width:1289;height:275" type="#_x0000_t202" id="docshape114" filled="false" stroked="false">
              <v:textbox inset="0,0,0,0">
                <w:txbxContent>
                  <w:p>
                    <w:pPr>
                      <w:spacing w:line="247" w:lineRule="auto" w:before="0"/>
                      <w:ind w:left="0" w:right="0" w:firstLine="0"/>
                      <w:jc w:val="left"/>
                      <w:rPr>
                        <w:sz w:val="11"/>
                      </w:rPr>
                    </w:pPr>
                    <w:r>
                      <w:rPr>
                        <w:sz w:val="11"/>
                      </w:rPr>
                      <w:t>Outlining</w:t>
                    </w:r>
                    <w:r>
                      <w:rPr>
                        <w:spacing w:val="17"/>
                        <w:sz w:val="11"/>
                      </w:rPr>
                      <w:t> </w:t>
                    </w:r>
                    <w:r>
                      <w:rPr>
                        <w:sz w:val="11"/>
                      </w:rPr>
                      <w:t>the</w:t>
                    </w:r>
                    <w:r>
                      <w:rPr>
                        <w:spacing w:val="-1"/>
                        <w:sz w:val="11"/>
                      </w:rPr>
                      <w:t> </w:t>
                    </w:r>
                    <w:r>
                      <w:rPr>
                        <w:sz w:val="11"/>
                      </w:rPr>
                      <w:t>law as</w:t>
                    </w:r>
                    <w:r>
                      <w:rPr>
                        <w:spacing w:val="-1"/>
                        <w:sz w:val="11"/>
                      </w:rPr>
                      <w:t> </w:t>
                    </w:r>
                    <w:r>
                      <w:rPr>
                        <w:sz w:val="11"/>
                      </w:rPr>
                      <w:t>it</w:t>
                    </w:r>
                    <w:r>
                      <w:rPr>
                        <w:spacing w:val="40"/>
                        <w:sz w:val="11"/>
                      </w:rPr>
                      <w:t> </w:t>
                    </w:r>
                    <w:r>
                      <w:rPr>
                        <w:sz w:val="11"/>
                      </w:rPr>
                      <w:t>applied</w:t>
                    </w:r>
                    <w:r>
                      <w:rPr>
                        <w:spacing w:val="40"/>
                        <w:sz w:val="11"/>
                      </w:rPr>
                      <w:t> </w:t>
                    </w:r>
                    <w:r>
                      <w:rPr>
                        <w:sz w:val="11"/>
                      </w:rPr>
                      <w:t>to your case</w:t>
                    </w:r>
                  </w:p>
                </w:txbxContent>
              </v:textbox>
              <w10:wrap type="none"/>
            </v:shape>
            <v:shape style="position:absolute;left:3705;top:161;width:161;height:137" type="#_x0000_t202" id="docshape115" filled="false" stroked="false">
              <v:textbox inset="0,0,0,0">
                <w:txbxContent>
                  <w:p>
                    <w:pPr>
                      <w:spacing w:before="2"/>
                      <w:ind w:left="0" w:right="0" w:firstLine="0"/>
                      <w:jc w:val="left"/>
                      <w:rPr>
                        <w:sz w:val="11"/>
                      </w:rPr>
                    </w:pPr>
                    <w:r>
                      <w:rPr>
                        <w:color w:val="FFFFFF"/>
                        <w:spacing w:val="-5"/>
                        <w:sz w:val="11"/>
                      </w:rPr>
                      <w:t>43</w:t>
                    </w:r>
                  </w:p>
                </w:txbxContent>
              </v:textbox>
              <w10:wrap type="none"/>
            </v:shape>
            <v:shape style="position:absolute;left:4746;top:161;width:1441;height:137" type="#_x0000_t202" id="docshape116" filled="false" stroked="false">
              <v:textbox inset="0,0,0,0">
                <w:txbxContent>
                  <w:p>
                    <w:pPr>
                      <w:tabs>
                        <w:tab w:pos="495" w:val="left" w:leader="none"/>
                        <w:tab w:pos="1280" w:val="left" w:leader="none"/>
                      </w:tabs>
                      <w:spacing w:before="2"/>
                      <w:ind w:left="0" w:right="0" w:firstLine="0"/>
                      <w:jc w:val="left"/>
                      <w:rPr>
                        <w:sz w:val="11"/>
                      </w:rPr>
                    </w:pPr>
                    <w:r>
                      <w:rPr>
                        <w:spacing w:val="-5"/>
                        <w:sz w:val="11"/>
                      </w:rPr>
                      <w:t>18</w:t>
                    </w:r>
                    <w:r>
                      <w:rPr>
                        <w:sz w:val="11"/>
                      </w:rPr>
                      <w:tab/>
                      <w:t>9</w:t>
                    </w:r>
                    <w:r>
                      <w:rPr>
                        <w:spacing w:val="45"/>
                        <w:sz w:val="11"/>
                      </w:rPr>
                      <w:t>  </w:t>
                    </w:r>
                    <w:r>
                      <w:rPr>
                        <w:sz w:val="11"/>
                      </w:rPr>
                      <w:t>5</w:t>
                    </w:r>
                    <w:r>
                      <w:rPr>
                        <w:spacing w:val="44"/>
                        <w:sz w:val="11"/>
                      </w:rPr>
                      <w:t> </w:t>
                    </w:r>
                    <w:r>
                      <w:rPr>
                        <w:color w:val="FFFFFF"/>
                        <w:spacing w:val="-10"/>
                        <w:sz w:val="11"/>
                      </w:rPr>
                      <w:t>4</w:t>
                    </w:r>
                    <w:r>
                      <w:rPr>
                        <w:color w:val="FFFFFF"/>
                        <w:sz w:val="11"/>
                      </w:rPr>
                      <w:tab/>
                    </w:r>
                    <w:r>
                      <w:rPr>
                        <w:spacing w:val="-5"/>
                        <w:sz w:val="11"/>
                      </w:rPr>
                      <w:t>21</w:t>
                    </w:r>
                  </w:p>
                </w:txbxContent>
              </v:textbox>
              <w10:wrap type="none"/>
            </v:shape>
            <v:shape style="position:absolute;left:6699;top:157;width:161;height:137" type="#_x0000_t202" id="docshape117" filled="false" stroked="false">
              <v:textbox inset="0,0,0,0">
                <w:txbxContent>
                  <w:p>
                    <w:pPr>
                      <w:spacing w:before="2"/>
                      <w:ind w:left="0" w:right="0" w:firstLine="0"/>
                      <w:jc w:val="left"/>
                      <w:rPr>
                        <w:sz w:val="11"/>
                      </w:rPr>
                    </w:pPr>
                    <w:r>
                      <w:rPr>
                        <w:spacing w:val="-5"/>
                        <w:sz w:val="11"/>
                      </w:rPr>
                      <w:t>61</w:t>
                    </w:r>
                  </w:p>
                </w:txbxContent>
              </v:textbox>
              <w10:wrap type="none"/>
            </v:shape>
            <v:shape style="position:absolute;left:7289;top:157;width:238;height:137" type="#_x0000_t202" id="docshape118" filled="false" stroked="false">
              <v:textbox inset="0,0,0,0">
                <w:txbxContent>
                  <w:p>
                    <w:pPr>
                      <w:spacing w:before="2"/>
                      <w:ind w:left="0" w:right="0" w:firstLine="0"/>
                      <w:jc w:val="left"/>
                      <w:rPr>
                        <w:sz w:val="11"/>
                      </w:rPr>
                    </w:pPr>
                    <w:r>
                      <w:rPr>
                        <w:spacing w:val="-5"/>
                        <w:sz w:val="11"/>
                      </w:rPr>
                      <w:t>+14</w:t>
                    </w:r>
                  </w:p>
                </w:txbxContent>
              </v:textbox>
              <w10:wrap type="none"/>
            </v:shape>
            <v:shape style="position:absolute;left:2224;top:505;width:698;height:116" type="#_x0000_t202" id="docshape119" filled="false" stroked="false">
              <v:textbox inset="0,0,0,0">
                <w:txbxContent>
                  <w:p>
                    <w:pPr>
                      <w:spacing w:before="5"/>
                      <w:ind w:left="0" w:right="0" w:firstLine="0"/>
                      <w:jc w:val="left"/>
                      <w:rPr>
                        <w:sz w:val="9"/>
                      </w:rPr>
                    </w:pPr>
                    <w:r>
                      <w:rPr>
                        <w:w w:val="105"/>
                        <w:sz w:val="9"/>
                      </w:rPr>
                      <w:t>Employer</w:t>
                    </w:r>
                    <w:r>
                      <w:rPr>
                        <w:spacing w:val="-3"/>
                        <w:w w:val="105"/>
                        <w:sz w:val="9"/>
                      </w:rPr>
                      <w:t> </w:t>
                    </w:r>
                    <w:r>
                      <w:rPr>
                        <w:spacing w:val="-4"/>
                        <w:w w:val="105"/>
                        <w:sz w:val="9"/>
                      </w:rPr>
                      <w:t>side</w:t>
                    </w:r>
                  </w:p>
                </w:txbxContent>
              </v:textbox>
              <w10:wrap type="none"/>
            </v:shape>
            <v:shape style="position:absolute;left:3312;top:493;width:161;height:137" type="#_x0000_t202" id="docshape120" filled="false" stroked="false">
              <v:textbox inset="0,0,0,0">
                <w:txbxContent>
                  <w:p>
                    <w:pPr>
                      <w:spacing w:before="2"/>
                      <w:ind w:left="0" w:right="0" w:firstLine="0"/>
                      <w:jc w:val="left"/>
                      <w:rPr>
                        <w:sz w:val="11"/>
                      </w:rPr>
                    </w:pPr>
                    <w:r>
                      <w:rPr>
                        <w:color w:val="FFFFFF"/>
                        <w:spacing w:val="-5"/>
                        <w:sz w:val="11"/>
                      </w:rPr>
                      <w:t>20</w:t>
                    </w:r>
                  </w:p>
                </w:txbxContent>
              </v:textbox>
              <w10:wrap type="none"/>
            </v:shape>
            <v:shape style="position:absolute;left:3858;top:493;width:1048;height:137" type="#_x0000_t202" id="docshape121" filled="false" stroked="false">
              <v:textbox inset="0,0,0,0">
                <w:txbxContent>
                  <w:p>
                    <w:pPr>
                      <w:tabs>
                        <w:tab w:pos="409" w:val="left" w:leader="none"/>
                        <w:tab w:pos="751" w:val="left" w:leader="none"/>
                      </w:tabs>
                      <w:spacing w:before="2"/>
                      <w:ind w:left="0" w:right="0" w:firstLine="0"/>
                      <w:jc w:val="left"/>
                      <w:rPr>
                        <w:sz w:val="11"/>
                      </w:rPr>
                    </w:pPr>
                    <w:r>
                      <w:rPr>
                        <w:spacing w:val="-5"/>
                        <w:sz w:val="11"/>
                      </w:rPr>
                      <w:t>12</w:t>
                    </w:r>
                    <w:r>
                      <w:rPr>
                        <w:sz w:val="11"/>
                      </w:rPr>
                      <w:tab/>
                    </w:r>
                    <w:r>
                      <w:rPr>
                        <w:spacing w:val="-5"/>
                        <w:sz w:val="11"/>
                      </w:rPr>
                      <w:t>12</w:t>
                    </w:r>
                    <w:r>
                      <w:rPr>
                        <w:sz w:val="11"/>
                      </w:rPr>
                      <w:tab/>
                      <w:t>6</w:t>
                    </w:r>
                    <w:r>
                      <w:rPr>
                        <w:spacing w:val="75"/>
                        <w:w w:val="150"/>
                        <w:sz w:val="11"/>
                      </w:rPr>
                      <w:t> </w:t>
                    </w:r>
                    <w:r>
                      <w:rPr>
                        <w:color w:val="FFFFFF"/>
                        <w:spacing w:val="-10"/>
                        <w:sz w:val="11"/>
                      </w:rPr>
                      <w:t>6</w:t>
                    </w:r>
                  </w:p>
                </w:txbxContent>
              </v:textbox>
              <w10:wrap type="none"/>
            </v:shape>
            <v:shape style="position:absolute;left:5616;top:493;width:161;height:137" type="#_x0000_t202" id="docshape122" filled="false" stroked="false">
              <v:textbox inset="0,0,0,0">
                <w:txbxContent>
                  <w:p>
                    <w:pPr>
                      <w:spacing w:before="2"/>
                      <w:ind w:left="0" w:right="0" w:firstLine="0"/>
                      <w:jc w:val="left"/>
                      <w:rPr>
                        <w:sz w:val="11"/>
                      </w:rPr>
                    </w:pPr>
                    <w:r>
                      <w:rPr>
                        <w:spacing w:val="-5"/>
                        <w:sz w:val="11"/>
                      </w:rPr>
                      <w:t>43</w:t>
                    </w:r>
                  </w:p>
                </w:txbxContent>
              </v:textbox>
              <w10:wrap type="none"/>
            </v:shape>
            <v:shape style="position:absolute;left:6699;top:490;width:161;height:137" type="#_x0000_t202" id="docshape123" filled="false" stroked="false">
              <v:textbox inset="0,0,0,0">
                <w:txbxContent>
                  <w:p>
                    <w:pPr>
                      <w:spacing w:before="2"/>
                      <w:ind w:left="0" w:right="0" w:firstLine="0"/>
                      <w:jc w:val="left"/>
                      <w:rPr>
                        <w:sz w:val="11"/>
                      </w:rPr>
                    </w:pPr>
                    <w:r>
                      <w:rPr>
                        <w:spacing w:val="-5"/>
                        <w:sz w:val="11"/>
                      </w:rPr>
                      <w:t>33</w:t>
                    </w:r>
                  </w:p>
                </w:txbxContent>
              </v:textbox>
              <w10:wrap type="none"/>
            </v:shape>
            <v:shape style="position:absolute;left:7324;top:490;width:155;height:137" type="#_x0000_t202" id="docshape124" filled="false" stroked="false">
              <v:textbox inset="0,0,0,0">
                <w:txbxContent>
                  <w:p>
                    <w:pPr>
                      <w:spacing w:before="2"/>
                      <w:ind w:left="0" w:right="0" w:firstLine="0"/>
                      <w:jc w:val="left"/>
                      <w:rPr>
                        <w:sz w:val="11"/>
                      </w:rPr>
                    </w:pPr>
                    <w:r>
                      <w:rPr>
                        <w:spacing w:val="-9"/>
                        <w:sz w:val="11"/>
                      </w:rPr>
                      <w:t>+1</w:t>
                    </w:r>
                  </w:p>
                </w:txbxContent>
              </v:textbox>
              <w10:wrap type="none"/>
            </v:shape>
          </v:group>
        </w:pict>
      </w:r>
      <w:r>
        <w:rPr/>
      </w:r>
    </w:p>
    <w:p>
      <w:pPr>
        <w:pStyle w:val="BodyText"/>
        <w:spacing w:before="5"/>
      </w:pPr>
    </w:p>
    <w:p>
      <w:pPr>
        <w:spacing w:after="0"/>
        <w:sectPr>
          <w:type w:val="continuous"/>
          <w:pgSz w:w="11910" w:h="16840"/>
          <w:pgMar w:header="0" w:footer="996" w:top="560" w:bottom="280" w:left="460" w:right="320"/>
        </w:sectPr>
      </w:pPr>
    </w:p>
    <w:p>
      <w:pPr>
        <w:pStyle w:val="BodyText"/>
        <w:spacing w:before="7"/>
        <w:rPr>
          <w:sz w:val="14"/>
        </w:rPr>
      </w:pPr>
    </w:p>
    <w:p>
      <w:pPr>
        <w:spacing w:line="247" w:lineRule="auto" w:before="0"/>
        <w:ind w:left="1613" w:right="0" w:firstLine="0"/>
        <w:jc w:val="left"/>
        <w:rPr>
          <w:sz w:val="11"/>
        </w:rPr>
      </w:pPr>
      <w:r>
        <w:rPr>
          <w:sz w:val="11"/>
        </w:rPr>
        <w:t>Explaining</w:t>
      </w:r>
      <w:r>
        <w:rPr>
          <w:spacing w:val="16"/>
          <w:sz w:val="11"/>
        </w:rPr>
        <w:t> </w:t>
      </w:r>
      <w:r>
        <w:rPr>
          <w:sz w:val="11"/>
        </w:rPr>
        <w:t>the</w:t>
      </w:r>
      <w:r>
        <w:rPr>
          <w:spacing w:val="-10"/>
          <w:sz w:val="11"/>
        </w:rPr>
        <w:t> </w:t>
      </w:r>
      <w:r>
        <w:rPr>
          <w:sz w:val="11"/>
        </w:rPr>
        <w:t>tribunal</w:t>
      </w:r>
      <w:r>
        <w:rPr>
          <w:spacing w:val="40"/>
          <w:sz w:val="11"/>
        </w:rPr>
        <w:t> </w:t>
      </w:r>
      <w:r>
        <w:rPr>
          <w:spacing w:val="-2"/>
          <w:sz w:val="11"/>
        </w:rPr>
        <w:t>proc</w:t>
      </w:r>
      <w:r>
        <w:rPr>
          <w:spacing w:val="-29"/>
          <w:sz w:val="11"/>
        </w:rPr>
        <w:t> </w:t>
      </w:r>
      <w:r>
        <w:rPr>
          <w:spacing w:val="-2"/>
          <w:sz w:val="11"/>
        </w:rPr>
        <w:t>ess</w:t>
      </w:r>
    </w:p>
    <w:p>
      <w:pPr>
        <w:spacing w:before="105"/>
        <w:ind w:left="696" w:right="0" w:firstLine="0"/>
        <w:jc w:val="left"/>
        <w:rPr>
          <w:sz w:val="9"/>
        </w:rPr>
      </w:pPr>
      <w:r>
        <w:rPr/>
        <w:br w:type="column"/>
      </w:r>
      <w:r>
        <w:rPr>
          <w:w w:val="105"/>
          <w:sz w:val="9"/>
        </w:rPr>
        <w:t>Claimant</w:t>
      </w:r>
      <w:r>
        <w:rPr>
          <w:spacing w:val="-3"/>
          <w:w w:val="105"/>
          <w:sz w:val="9"/>
        </w:rPr>
        <w:t> </w:t>
      </w:r>
      <w:r>
        <w:rPr>
          <w:spacing w:val="-4"/>
          <w:w w:val="105"/>
          <w:sz w:val="9"/>
        </w:rPr>
        <w:t>side</w:t>
      </w:r>
    </w:p>
    <w:p>
      <w:pPr>
        <w:pStyle w:val="BodyText"/>
        <w:rPr>
          <w:sz w:val="12"/>
        </w:rPr>
      </w:pPr>
    </w:p>
    <w:p>
      <w:pPr>
        <w:spacing w:before="96"/>
        <w:ind w:left="696" w:right="0" w:firstLine="0"/>
        <w:jc w:val="left"/>
        <w:rPr>
          <w:sz w:val="9"/>
        </w:rPr>
      </w:pPr>
      <w:r>
        <w:rPr/>
        <w:pict>
          <v:group style="position:absolute;margin-left:245.486969pt;margin-top:1.735524pt;width:92.3pt;height:11.25pt;mso-position-horizontal-relative:page;mso-position-vertical-relative:paragraph;z-index:15766016" id="docshapegroup125" coordorigin="4910,35" coordsize="1846,225">
            <v:rect style="position:absolute;left:6513;top:34;width:104;height:225" id="docshape126" filled="true" fillcolor="#94b3d6" stroked="false">
              <v:fill type="solid"/>
            </v:rect>
            <v:shape style="position:absolute;left:6617;top:34;width:138;height:225" type="#_x0000_t202" id="docshape127" filled="true" fillcolor="#0063c7" stroked="false">
              <v:textbox inset="0,0,0,0">
                <w:txbxContent>
                  <w:p>
                    <w:pPr>
                      <w:spacing w:before="43"/>
                      <w:ind w:left="-81" w:right="0" w:firstLine="0"/>
                      <w:jc w:val="left"/>
                      <w:rPr>
                        <w:color w:val="000000"/>
                        <w:sz w:val="11"/>
                      </w:rPr>
                    </w:pPr>
                    <w:r>
                      <w:rPr>
                        <w:color w:val="000000"/>
                        <w:sz w:val="11"/>
                      </w:rPr>
                      <w:t>3</w:t>
                    </w:r>
                    <w:r>
                      <w:rPr>
                        <w:color w:val="000000"/>
                        <w:spacing w:val="9"/>
                        <w:sz w:val="11"/>
                      </w:rPr>
                      <w:t> </w:t>
                    </w:r>
                    <w:r>
                      <w:rPr>
                        <w:color w:val="FFFFFF"/>
                        <w:spacing w:val="-10"/>
                        <w:sz w:val="11"/>
                      </w:rPr>
                      <w:t>4</w:t>
                    </w:r>
                  </w:p>
                </w:txbxContent>
              </v:textbox>
              <v:fill type="solid"/>
              <w10:wrap type="none"/>
            </v:shape>
            <v:shape style="position:absolute;left:6108;top:34;width:406;height:225" type="#_x0000_t202" id="docshape128" filled="true" fillcolor="#f1f1f1" stroked="false">
              <v:textbox inset="0,0,0,0">
                <w:txbxContent>
                  <w:p>
                    <w:pPr>
                      <w:spacing w:before="43"/>
                      <w:ind w:left="137" w:right="0" w:firstLine="0"/>
                      <w:jc w:val="left"/>
                      <w:rPr>
                        <w:color w:val="000000"/>
                        <w:sz w:val="11"/>
                      </w:rPr>
                    </w:pPr>
                    <w:r>
                      <w:rPr>
                        <w:color w:val="000000"/>
                        <w:spacing w:val="-5"/>
                        <w:sz w:val="11"/>
                      </w:rPr>
                      <w:t>12</w:t>
                    </w:r>
                  </w:p>
                </w:txbxContent>
              </v:textbox>
              <v:fill type="solid"/>
              <w10:wrap type="none"/>
            </v:shape>
            <v:shape style="position:absolute;left:5599;top:34;width:509;height:225" type="#_x0000_t202" id="docshape129" filled="true" fillcolor="#9bba58" stroked="false">
              <v:textbox inset="0,0,0,0">
                <w:txbxContent>
                  <w:p>
                    <w:pPr>
                      <w:spacing w:before="43"/>
                      <w:ind w:left="170" w:right="169" w:firstLine="0"/>
                      <w:jc w:val="center"/>
                      <w:rPr>
                        <w:color w:val="000000"/>
                        <w:sz w:val="11"/>
                      </w:rPr>
                    </w:pPr>
                    <w:r>
                      <w:rPr>
                        <w:color w:val="000000"/>
                        <w:spacing w:val="-5"/>
                        <w:sz w:val="11"/>
                      </w:rPr>
                      <w:t>15</w:t>
                    </w:r>
                  </w:p>
                </w:txbxContent>
              </v:textbox>
              <v:fill type="solid"/>
              <w10:wrap type="none"/>
            </v:shape>
            <v:shape style="position:absolute;left:4909;top:34;width:690;height:225" type="#_x0000_t202" id="docshape130" filled="true" fillcolor="#77923b" stroked="false">
              <v:textbox inset="0,0,0,0">
                <w:txbxContent>
                  <w:p>
                    <w:pPr>
                      <w:spacing w:before="43"/>
                      <w:ind w:left="262" w:right="257" w:firstLine="0"/>
                      <w:jc w:val="center"/>
                      <w:rPr>
                        <w:color w:val="000000"/>
                        <w:sz w:val="11"/>
                      </w:rPr>
                    </w:pPr>
                    <w:r>
                      <w:rPr>
                        <w:color w:val="FFFFFF"/>
                        <w:spacing w:val="-5"/>
                        <w:sz w:val="11"/>
                      </w:rPr>
                      <w:t>20</w:t>
                    </w:r>
                  </w:p>
                </w:txbxContent>
              </v:textbox>
              <v:fill type="solid"/>
              <w10:wrap type="none"/>
            </v:shape>
            <w10:wrap type="none"/>
          </v:group>
        </w:pict>
      </w:r>
      <w:r>
        <w:rPr>
          <w:w w:val="105"/>
          <w:sz w:val="9"/>
        </w:rPr>
        <w:t>Employer</w:t>
      </w:r>
      <w:r>
        <w:rPr>
          <w:spacing w:val="-3"/>
          <w:w w:val="105"/>
          <w:sz w:val="9"/>
        </w:rPr>
        <w:t> </w:t>
      </w:r>
      <w:r>
        <w:rPr>
          <w:spacing w:val="-4"/>
          <w:w w:val="105"/>
          <w:sz w:val="9"/>
        </w:rPr>
        <w:t>side</w:t>
      </w:r>
    </w:p>
    <w:p>
      <w:pPr>
        <w:tabs>
          <w:tab w:pos="2203" w:val="left" w:leader="none"/>
        </w:tabs>
        <w:spacing w:before="105"/>
        <w:ind w:left="1613" w:right="0" w:firstLine="0"/>
        <w:jc w:val="left"/>
        <w:rPr>
          <w:sz w:val="11"/>
        </w:rPr>
      </w:pPr>
      <w:r>
        <w:rPr/>
        <w:br w:type="column"/>
      </w:r>
      <w:r>
        <w:rPr>
          <w:spacing w:val="-5"/>
          <w:sz w:val="11"/>
        </w:rPr>
        <w:t>60</w:t>
      </w:r>
      <w:r>
        <w:rPr>
          <w:sz w:val="11"/>
        </w:rPr>
        <w:tab/>
      </w:r>
      <w:r>
        <w:rPr>
          <w:spacing w:val="-5"/>
          <w:sz w:val="11"/>
        </w:rPr>
        <w:t>+14</w:t>
      </w:r>
    </w:p>
    <w:p>
      <w:pPr>
        <w:pStyle w:val="BodyText"/>
        <w:spacing w:before="5"/>
        <w:rPr>
          <w:sz w:val="16"/>
        </w:rPr>
      </w:pPr>
    </w:p>
    <w:p>
      <w:pPr>
        <w:tabs>
          <w:tab w:pos="2203" w:val="left" w:leader="none"/>
        </w:tabs>
        <w:spacing w:before="0"/>
        <w:ind w:left="1613" w:right="0" w:firstLine="0"/>
        <w:jc w:val="left"/>
        <w:rPr>
          <w:sz w:val="11"/>
        </w:rPr>
      </w:pPr>
      <w:r>
        <w:rPr/>
        <w:pict>
          <v:shape style="position:absolute;margin-left:472.69101pt;margin-top:-15.535461pt;width:3.9pt;height:4.350pt;mso-position-horizontal-relative:page;mso-position-vertical-relative:paragraph;z-index:15764480" id="docshape131" coordorigin="9454,-311" coordsize="78,87" path="m9531,-225l9454,-225,9493,-311,9531,-225xe" filled="true" fillcolor="#666666" stroked="false">
            <v:path arrowok="t"/>
            <v:fill type="solid"/>
            <w10:wrap type="none"/>
          </v:shape>
        </w:pict>
      </w:r>
      <w:r>
        <w:rPr/>
        <w:pict>
          <v:shape style="position:absolute;margin-left:472.69101pt;margin-top:.841065pt;width:3.9pt;height:4.350pt;mso-position-horizontal-relative:page;mso-position-vertical-relative:paragraph;z-index:15764992" id="docshape132" coordorigin="9454,17" coordsize="78,87" path="m9531,103l9454,103,9493,17,9531,103xe" filled="true" fillcolor="#666666" stroked="false">
            <v:path arrowok="t"/>
            <v:fill type="solid"/>
            <w10:wrap type="none"/>
          </v:shape>
        </w:pict>
      </w:r>
      <w:r>
        <w:rPr/>
        <w:pict>
          <v:group style="position:absolute;margin-left:245.486969pt;margin-top:-18.552404pt;width:170.75pt;height:10.8pt;mso-position-horizontal-relative:page;mso-position-vertical-relative:paragraph;z-index:15769600" id="docshapegroup133" coordorigin="4910,-371" coordsize="3415,216">
            <v:shape style="position:absolute;left:7574;top:-372;width:751;height:216" type="#_x0000_t202" id="docshape134" filled="true" fillcolor="#a6a6a6" stroked="false">
              <v:textbox inset="0,0,0,0">
                <w:txbxContent>
                  <w:p>
                    <w:pPr>
                      <w:spacing w:before="38"/>
                      <w:ind w:left="291" w:right="282" w:firstLine="0"/>
                      <w:jc w:val="center"/>
                      <w:rPr>
                        <w:color w:val="000000"/>
                        <w:sz w:val="11"/>
                      </w:rPr>
                    </w:pPr>
                    <w:r>
                      <w:rPr>
                        <w:color w:val="000000"/>
                        <w:spacing w:val="-5"/>
                        <w:sz w:val="11"/>
                      </w:rPr>
                      <w:t>22</w:t>
                    </w:r>
                  </w:p>
                </w:txbxContent>
              </v:textbox>
              <v:fill type="solid"/>
              <w10:wrap type="none"/>
            </v:shape>
            <v:shape style="position:absolute;left:7436;top:-372;width:138;height:216" type="#_x0000_t202" id="docshape135" filled="true" fillcolor="#0063c7" stroked="false">
              <v:textbox inset="0,0,0,0">
                <w:txbxContent>
                  <w:p>
                    <w:pPr>
                      <w:spacing w:before="38"/>
                      <w:ind w:left="38" w:right="0" w:firstLine="0"/>
                      <w:jc w:val="left"/>
                      <w:rPr>
                        <w:color w:val="000000"/>
                        <w:sz w:val="11"/>
                      </w:rPr>
                    </w:pPr>
                    <w:r>
                      <w:rPr>
                        <w:color w:val="FFFFFF"/>
                        <w:w w:val="101"/>
                        <w:sz w:val="11"/>
                      </w:rPr>
                      <w:t>4</w:t>
                    </w:r>
                  </w:p>
                </w:txbxContent>
              </v:textbox>
              <v:fill type="solid"/>
              <w10:wrap type="none"/>
            </v:shape>
            <v:shape style="position:absolute;left:7272;top:-372;width:164;height:216" type="#_x0000_t202" id="docshape136" filled="true" fillcolor="#94b3d6" stroked="false">
              <v:textbox inset="0,0,0,0">
                <w:txbxContent>
                  <w:p>
                    <w:pPr>
                      <w:spacing w:before="38"/>
                      <w:ind w:left="48" w:right="0" w:firstLine="0"/>
                      <w:jc w:val="left"/>
                      <w:rPr>
                        <w:color w:val="000000"/>
                        <w:sz w:val="11"/>
                      </w:rPr>
                    </w:pPr>
                    <w:r>
                      <w:rPr>
                        <w:color w:val="000000"/>
                        <w:w w:val="101"/>
                        <w:sz w:val="11"/>
                      </w:rPr>
                      <w:t>5</w:t>
                    </w:r>
                  </w:p>
                </w:txbxContent>
              </v:textbox>
              <v:fill type="solid"/>
              <w10:wrap type="none"/>
            </v:shape>
            <v:shape style="position:absolute;left:6961;top:-372;width:311;height:216" type="#_x0000_t202" id="docshape137" filled="true" fillcolor="#f1f1f1" stroked="false">
              <v:textbox inset="0,0,0,0">
                <w:txbxContent>
                  <w:p>
                    <w:pPr>
                      <w:spacing w:before="38"/>
                      <w:ind w:left="1" w:right="0" w:firstLine="0"/>
                      <w:jc w:val="center"/>
                      <w:rPr>
                        <w:color w:val="000000"/>
                        <w:sz w:val="11"/>
                      </w:rPr>
                    </w:pPr>
                    <w:r>
                      <w:rPr>
                        <w:color w:val="000000"/>
                        <w:w w:val="101"/>
                        <w:sz w:val="11"/>
                      </w:rPr>
                      <w:t>9</w:t>
                    </w:r>
                  </w:p>
                </w:txbxContent>
              </v:textbox>
              <v:fill type="solid"/>
              <w10:wrap type="none"/>
            </v:shape>
            <v:shape style="position:absolute;left:6418;top:-372;width:544;height:216" type="#_x0000_t202" id="docshape138" filled="true" fillcolor="#9bba58" stroked="false">
              <v:textbox inset="0,0,0,0">
                <w:txbxContent>
                  <w:p>
                    <w:pPr>
                      <w:spacing w:before="38"/>
                      <w:ind w:left="187" w:right="186" w:firstLine="0"/>
                      <w:jc w:val="center"/>
                      <w:rPr>
                        <w:color w:val="000000"/>
                        <w:sz w:val="11"/>
                      </w:rPr>
                    </w:pPr>
                    <w:r>
                      <w:rPr>
                        <w:color w:val="000000"/>
                        <w:spacing w:val="-5"/>
                        <w:sz w:val="11"/>
                      </w:rPr>
                      <w:t>16</w:t>
                    </w:r>
                  </w:p>
                </w:txbxContent>
              </v:textbox>
              <v:fill type="solid"/>
              <w10:wrap type="none"/>
            </v:shape>
            <v:shape style="position:absolute;left:4909;top:-372;width:1509;height:216" type="#_x0000_t202" id="docshape139" filled="true" fillcolor="#77923b" stroked="false">
              <v:textbox inset="0,0,0,0">
                <w:txbxContent>
                  <w:p>
                    <w:pPr>
                      <w:spacing w:before="38"/>
                      <w:ind w:left="672" w:right="667" w:firstLine="0"/>
                      <w:jc w:val="center"/>
                      <w:rPr>
                        <w:color w:val="000000"/>
                        <w:sz w:val="11"/>
                      </w:rPr>
                    </w:pPr>
                    <w:r>
                      <w:rPr>
                        <w:color w:val="FFFFFF"/>
                        <w:spacing w:val="-5"/>
                        <w:sz w:val="11"/>
                      </w:rPr>
                      <w:t>44</w:t>
                    </w:r>
                  </w:p>
                </w:txbxContent>
              </v:textbox>
              <v:fill type="solid"/>
              <w10:wrap type="none"/>
            </v:shape>
            <w10:wrap type="none"/>
          </v:group>
        </w:pict>
      </w:r>
      <w:r>
        <w:rPr/>
        <w:pict>
          <v:shape style="position:absolute;margin-left:337.74765pt;margin-top:-2.175293pt;width:78.5pt;height:11.25pt;mso-position-horizontal-relative:page;mso-position-vertical-relative:paragraph;z-index:15770624" type="#_x0000_t202" id="docshape140" filled="true" fillcolor="#a6a6a6" stroked="false">
            <v:textbox inset="0,0,0,0">
              <w:txbxContent>
                <w:p>
                  <w:pPr>
                    <w:spacing w:before="43"/>
                    <w:ind w:left="704" w:right="695" w:firstLine="0"/>
                    <w:jc w:val="center"/>
                    <w:rPr>
                      <w:color w:val="000000"/>
                      <w:sz w:val="11"/>
                    </w:rPr>
                  </w:pPr>
                  <w:r>
                    <w:rPr>
                      <w:color w:val="000000"/>
                      <w:spacing w:val="-5"/>
                      <w:sz w:val="11"/>
                    </w:rPr>
                    <w:t>46</w:t>
                  </w:r>
                </w:p>
              </w:txbxContent>
            </v:textbox>
            <v:fill type="solid"/>
            <w10:wrap type="none"/>
          </v:shape>
        </w:pict>
      </w:r>
      <w:r>
        <w:rPr>
          <w:spacing w:val="-5"/>
          <w:sz w:val="11"/>
        </w:rPr>
        <w:t>35</w:t>
      </w:r>
      <w:r>
        <w:rPr>
          <w:sz w:val="11"/>
        </w:rPr>
        <w:tab/>
      </w:r>
      <w:r>
        <w:rPr>
          <w:spacing w:val="-5"/>
          <w:sz w:val="11"/>
        </w:rPr>
        <w:t>+10</w:t>
      </w:r>
    </w:p>
    <w:p>
      <w:pPr>
        <w:spacing w:after="0"/>
        <w:jc w:val="left"/>
        <w:rPr>
          <w:sz w:val="11"/>
        </w:rPr>
        <w:sectPr>
          <w:type w:val="continuous"/>
          <w:pgSz w:w="11910" w:h="16840"/>
          <w:pgMar w:header="0" w:footer="996" w:top="560" w:bottom="280" w:left="460" w:right="320"/>
          <w:cols w:num="3" w:equalWidth="0">
            <w:col w:w="2903" w:space="40"/>
            <w:col w:w="1414" w:space="2143"/>
            <w:col w:w="4630"/>
          </w:cols>
        </w:sectPr>
      </w:pPr>
    </w:p>
    <w:p>
      <w:pPr>
        <w:pStyle w:val="BodyText"/>
      </w:pPr>
    </w:p>
    <w:p>
      <w:pPr>
        <w:pStyle w:val="BodyText"/>
        <w:spacing w:before="10"/>
        <w:rPr>
          <w:sz w:val="10"/>
        </w:rPr>
      </w:pPr>
    </w:p>
    <w:p>
      <w:pPr>
        <w:pStyle w:val="BodyText"/>
        <w:ind w:left="1414"/>
      </w:pPr>
      <w:r>
        <w:rPr/>
        <w:pict>
          <v:group style="width:388.9pt;height:38.4pt;mso-position-horizontal-relative:char;mso-position-vertical-relative:line" id="docshapegroup141" coordorigin="0,0" coordsize="7778,768">
            <v:rect style="position:absolute;left:0;top:0;width:7778;height:768" id="docshape142" filled="true" fillcolor="#f1f1f1" stroked="false">
              <v:fill type="solid"/>
            </v:rect>
            <v:shape style="position:absolute;left:7579;top:189;width:78;height:78" id="docshape143" coordorigin="7579,190" coordsize="78,78" path="m7657,267l7579,267,7618,190,7657,267xe" filled="true" fillcolor="#666666" stroked="false">
              <v:path arrowok="t"/>
              <v:fill type="solid"/>
            </v:shape>
            <v:shape style="position:absolute;left:3035;top:112;width:1165;height:552" id="docshape144" coordorigin="3035,112" coordsize="1165,552" path="m3725,448l3035,448,3035,664,3725,664,3725,448xm4199,112l3035,112,3035,336,4199,336,4199,112xe" filled="true" fillcolor="#77923b" stroked="false">
              <v:path arrowok="t"/>
              <v:fill type="solid"/>
            </v:shape>
            <v:shape style="position:absolute;left:3724;top:112;width:1190;height:552" id="docshape145" coordorigin="3725,112" coordsize="1190,552" path="m4234,448l3725,448,3725,664,4234,664,4234,448xm4915,112l4199,112,4199,336,4915,336,4915,112xe" filled="true" fillcolor="#9bba58" stroked="false">
              <v:path arrowok="t"/>
              <v:fill type="solid"/>
            </v:shape>
            <v:shape style="position:absolute;left:4742;top:112;width:820;height:552" id="docshape146" coordorigin="4742,112" coordsize="820,552" path="m4880,448l4742,448,4742,664,4880,664,4880,448xm5562,112l5294,112,5294,336,5562,336,5562,112xe" filled="true" fillcolor="#94b3d6" stroked="false">
              <v:path arrowok="t"/>
              <v:fill type="solid"/>
            </v:shape>
            <v:shape style="position:absolute;left:4880;top:112;width:854;height:552" id="docshape147" coordorigin="4880,112" coordsize="854,552" path="m5122,448l4880,448,4880,664,5122,664,5122,448xm5734,112l5562,112,5562,336,5734,336,5734,112xe" filled="true" fillcolor="#0063c7" stroked="false">
              <v:path arrowok="t"/>
              <v:fill type="solid"/>
            </v:shape>
            <v:shape style="position:absolute;left:5121;top:112;width:1328;height:552" id="docshape148" coordorigin="5122,112" coordsize="1328,552" path="m6450,448l5122,448,5122,664,6450,664,6450,448xm6450,112l5734,112,5734,336,6450,336,6450,112xe" filled="true" fillcolor="#a6a6a6" stroked="false">
              <v:path arrowok="t"/>
              <v:fill type="solid"/>
            </v:shape>
            <v:shape style="position:absolute;left:198;top:144;width:1631;height:412" type="#_x0000_t202" id="docshape149" filled="false" stroked="false">
              <v:textbox inset="0,0,0,0">
                <w:txbxContent>
                  <w:p>
                    <w:pPr>
                      <w:spacing w:line="247" w:lineRule="auto" w:before="0"/>
                      <w:ind w:left="0" w:right="43" w:firstLine="0"/>
                      <w:jc w:val="left"/>
                      <w:rPr>
                        <w:sz w:val="11"/>
                      </w:rPr>
                    </w:pPr>
                    <w:r>
                      <w:rPr>
                        <w:sz w:val="11"/>
                      </w:rPr>
                      <w:t>Helping</w:t>
                    </w:r>
                    <w:r>
                      <w:rPr>
                        <w:spacing w:val="22"/>
                        <w:sz w:val="11"/>
                      </w:rPr>
                      <w:t> </w:t>
                    </w:r>
                    <w:r>
                      <w:rPr>
                        <w:sz w:val="11"/>
                      </w:rPr>
                      <w:t>you</w:t>
                    </w:r>
                    <w:r>
                      <w:rPr>
                        <w:spacing w:val="-2"/>
                        <w:sz w:val="11"/>
                      </w:rPr>
                      <w:t> </w:t>
                    </w:r>
                    <w:r>
                      <w:rPr>
                        <w:sz w:val="11"/>
                      </w:rPr>
                      <w:t>understand </w:t>
                    </w:r>
                    <w:r>
                      <w:rPr>
                        <w:sz w:val="11"/>
                      </w:rPr>
                      <w:t>the</w:t>
                    </w:r>
                    <w:r>
                      <w:rPr>
                        <w:spacing w:val="40"/>
                        <w:sz w:val="11"/>
                      </w:rPr>
                      <w:t> </w:t>
                    </w:r>
                    <w:r>
                      <w:rPr>
                        <w:sz w:val="11"/>
                      </w:rPr>
                      <w:t>strengths and weaknesses</w:t>
                    </w:r>
                    <w:r>
                      <w:rPr>
                        <w:spacing w:val="80"/>
                        <w:sz w:val="11"/>
                      </w:rPr>
                      <w:t> </w:t>
                    </w:r>
                    <w:r>
                      <w:rPr>
                        <w:sz w:val="11"/>
                      </w:rPr>
                      <w:t>of this potential claim</w:t>
                    </w:r>
                  </w:p>
                </w:txbxContent>
              </v:textbox>
              <w10:wrap type="none"/>
            </v:shape>
            <v:shape style="position:absolute;left:2224;top:169;width:672;height:116" type="#_x0000_t202" id="docshape150" filled="false" stroked="false">
              <v:textbox inset="0,0,0,0">
                <w:txbxContent>
                  <w:p>
                    <w:pPr>
                      <w:spacing w:before="5"/>
                      <w:ind w:left="0" w:right="0" w:firstLine="0"/>
                      <w:jc w:val="left"/>
                      <w:rPr>
                        <w:sz w:val="9"/>
                      </w:rPr>
                    </w:pPr>
                    <w:r>
                      <w:rPr>
                        <w:w w:val="105"/>
                        <w:sz w:val="9"/>
                      </w:rPr>
                      <w:t>Claimant</w:t>
                    </w:r>
                    <w:r>
                      <w:rPr>
                        <w:spacing w:val="-3"/>
                        <w:w w:val="105"/>
                        <w:sz w:val="9"/>
                      </w:rPr>
                      <w:t> </w:t>
                    </w:r>
                    <w:r>
                      <w:rPr>
                        <w:spacing w:val="-4"/>
                        <w:w w:val="105"/>
                        <w:sz w:val="9"/>
                      </w:rPr>
                      <w:t>side</w:t>
                    </w:r>
                  </w:p>
                </w:txbxContent>
              </v:textbox>
              <w10:wrap type="none"/>
            </v:shape>
            <v:shape style="position:absolute;left:3551;top:153;width:161;height:137" type="#_x0000_t202" id="docshape151" filled="false" stroked="false">
              <v:textbox inset="0,0,0,0">
                <w:txbxContent>
                  <w:p>
                    <w:pPr>
                      <w:spacing w:before="2"/>
                      <w:ind w:left="0" w:right="0" w:firstLine="0"/>
                      <w:jc w:val="left"/>
                      <w:rPr>
                        <w:sz w:val="11"/>
                      </w:rPr>
                    </w:pPr>
                    <w:r>
                      <w:rPr>
                        <w:color w:val="FFFFFF"/>
                        <w:spacing w:val="-5"/>
                        <w:sz w:val="11"/>
                      </w:rPr>
                      <w:t>34</w:t>
                    </w:r>
                  </w:p>
                </w:txbxContent>
              </v:textbox>
              <w10:wrap type="none"/>
            </v:shape>
            <v:shape style="position:absolute;left:4490;top:153;width:1697;height:137" type="#_x0000_t202" id="docshape152" filled="false" stroked="false">
              <v:textbox inset="0,0,0,0">
                <w:txbxContent>
                  <w:p>
                    <w:pPr>
                      <w:tabs>
                        <w:tab w:pos="546" w:val="left" w:leader="none"/>
                        <w:tab w:pos="904" w:val="left" w:leader="none"/>
                        <w:tab w:pos="1536" w:val="left" w:leader="none"/>
                      </w:tabs>
                      <w:spacing w:before="2"/>
                      <w:ind w:left="0" w:right="0" w:firstLine="0"/>
                      <w:jc w:val="left"/>
                      <w:rPr>
                        <w:sz w:val="11"/>
                      </w:rPr>
                    </w:pPr>
                    <w:r>
                      <w:rPr>
                        <w:spacing w:val="-5"/>
                        <w:sz w:val="11"/>
                      </w:rPr>
                      <w:t>21</w:t>
                    </w:r>
                    <w:r>
                      <w:rPr>
                        <w:sz w:val="11"/>
                      </w:rPr>
                      <w:tab/>
                    </w:r>
                    <w:r>
                      <w:rPr>
                        <w:spacing w:val="-5"/>
                        <w:sz w:val="11"/>
                      </w:rPr>
                      <w:t>11</w:t>
                    </w:r>
                    <w:r>
                      <w:rPr>
                        <w:sz w:val="11"/>
                      </w:rPr>
                      <w:tab/>
                      <w:t>8</w:t>
                    </w:r>
                    <w:r>
                      <w:rPr>
                        <w:spacing w:val="36"/>
                        <w:sz w:val="11"/>
                      </w:rPr>
                      <w:t>  </w:t>
                    </w:r>
                    <w:r>
                      <w:rPr>
                        <w:color w:val="FFFFFF"/>
                        <w:spacing w:val="-10"/>
                        <w:sz w:val="11"/>
                      </w:rPr>
                      <w:t>5</w:t>
                    </w:r>
                    <w:r>
                      <w:rPr>
                        <w:color w:val="FFFFFF"/>
                        <w:sz w:val="11"/>
                      </w:rPr>
                      <w:tab/>
                    </w:r>
                    <w:r>
                      <w:rPr>
                        <w:spacing w:val="-5"/>
                        <w:sz w:val="11"/>
                      </w:rPr>
                      <w:t>21</w:t>
                    </w:r>
                  </w:p>
                </w:txbxContent>
              </v:textbox>
              <w10:wrap type="none"/>
            </v:shape>
            <v:shape style="position:absolute;left:6699;top:155;width:161;height:137" type="#_x0000_t202" id="docshape153" filled="false" stroked="false">
              <v:textbox inset="0,0,0,0">
                <w:txbxContent>
                  <w:p>
                    <w:pPr>
                      <w:spacing w:before="2"/>
                      <w:ind w:left="0" w:right="0" w:firstLine="0"/>
                      <w:jc w:val="left"/>
                      <w:rPr>
                        <w:sz w:val="11"/>
                      </w:rPr>
                    </w:pPr>
                    <w:r>
                      <w:rPr>
                        <w:spacing w:val="-5"/>
                        <w:sz w:val="11"/>
                      </w:rPr>
                      <w:t>55</w:t>
                    </w:r>
                  </w:p>
                </w:txbxContent>
              </v:textbox>
              <w10:wrap type="none"/>
            </v:shape>
            <v:shape style="position:absolute;left:7289;top:155;width:238;height:137" type="#_x0000_t202" id="docshape154" filled="false" stroked="false">
              <v:textbox inset="0,0,0,0">
                <w:txbxContent>
                  <w:p>
                    <w:pPr>
                      <w:spacing w:before="2"/>
                      <w:ind w:left="0" w:right="0" w:firstLine="0"/>
                      <w:jc w:val="left"/>
                      <w:rPr>
                        <w:sz w:val="11"/>
                      </w:rPr>
                    </w:pPr>
                    <w:r>
                      <w:rPr>
                        <w:spacing w:val="-5"/>
                        <w:sz w:val="11"/>
                      </w:rPr>
                      <w:t>+17</w:t>
                    </w:r>
                  </w:p>
                </w:txbxContent>
              </v:textbox>
              <w10:wrap type="none"/>
            </v:shape>
            <v:shape style="position:absolute;left:2224;top:520;width:698;height:116" type="#_x0000_t202" id="docshape155" filled="false" stroked="false">
              <v:textbox inset="0,0,0,0">
                <w:txbxContent>
                  <w:p>
                    <w:pPr>
                      <w:spacing w:before="5"/>
                      <w:ind w:left="0" w:right="0" w:firstLine="0"/>
                      <w:jc w:val="left"/>
                      <w:rPr>
                        <w:sz w:val="9"/>
                      </w:rPr>
                    </w:pPr>
                    <w:r>
                      <w:rPr>
                        <w:w w:val="105"/>
                        <w:sz w:val="9"/>
                      </w:rPr>
                      <w:t>Employer</w:t>
                    </w:r>
                    <w:r>
                      <w:rPr>
                        <w:spacing w:val="-3"/>
                        <w:w w:val="105"/>
                        <w:sz w:val="9"/>
                      </w:rPr>
                      <w:t> </w:t>
                    </w:r>
                    <w:r>
                      <w:rPr>
                        <w:spacing w:val="-4"/>
                        <w:w w:val="105"/>
                        <w:sz w:val="9"/>
                      </w:rPr>
                      <w:t>side</w:t>
                    </w:r>
                  </w:p>
                </w:txbxContent>
              </v:textbox>
              <w10:wrap type="none"/>
            </v:shape>
            <v:shape style="position:absolute;left:3312;top:484;width:161;height:137" type="#_x0000_t202" id="docshape156" filled="false" stroked="false">
              <v:textbox inset="0,0,0,0">
                <w:txbxContent>
                  <w:p>
                    <w:pPr>
                      <w:spacing w:before="2"/>
                      <w:ind w:left="0" w:right="0" w:firstLine="0"/>
                      <w:jc w:val="left"/>
                      <w:rPr>
                        <w:sz w:val="11"/>
                      </w:rPr>
                    </w:pPr>
                    <w:r>
                      <w:rPr>
                        <w:color w:val="FFFFFF"/>
                        <w:spacing w:val="-5"/>
                        <w:sz w:val="11"/>
                      </w:rPr>
                      <w:t>20</w:t>
                    </w:r>
                  </w:p>
                </w:txbxContent>
              </v:textbox>
              <w10:wrap type="none"/>
            </v:shape>
            <v:shape style="position:absolute;left:3910;top:484;width:1150;height:137" type="#_x0000_t202" id="docshape157" filled="false" stroked="false">
              <v:textbox inset="0,0,0,0">
                <w:txbxContent>
                  <w:p>
                    <w:pPr>
                      <w:tabs>
                        <w:tab w:pos="511" w:val="left" w:leader="none"/>
                        <w:tab w:pos="870" w:val="left" w:leader="none"/>
                      </w:tabs>
                      <w:spacing w:before="2"/>
                      <w:ind w:left="0" w:right="0" w:firstLine="0"/>
                      <w:jc w:val="left"/>
                      <w:rPr>
                        <w:sz w:val="11"/>
                      </w:rPr>
                    </w:pPr>
                    <w:r>
                      <w:rPr>
                        <w:spacing w:val="-5"/>
                        <w:sz w:val="11"/>
                      </w:rPr>
                      <w:t>15</w:t>
                    </w:r>
                    <w:r>
                      <w:rPr>
                        <w:sz w:val="11"/>
                      </w:rPr>
                      <w:tab/>
                    </w:r>
                    <w:r>
                      <w:rPr>
                        <w:spacing w:val="-5"/>
                        <w:sz w:val="11"/>
                      </w:rPr>
                      <w:t>15</w:t>
                    </w:r>
                    <w:r>
                      <w:rPr>
                        <w:sz w:val="11"/>
                      </w:rPr>
                      <w:tab/>
                      <w:t>4</w:t>
                    </w:r>
                    <w:r>
                      <w:rPr>
                        <w:spacing w:val="76"/>
                        <w:sz w:val="11"/>
                      </w:rPr>
                      <w:t> </w:t>
                    </w:r>
                    <w:r>
                      <w:rPr>
                        <w:color w:val="FFFFFF"/>
                        <w:spacing w:val="-10"/>
                        <w:sz w:val="11"/>
                      </w:rPr>
                      <w:t>7</w:t>
                    </w:r>
                  </w:p>
                </w:txbxContent>
              </v:textbox>
              <w10:wrap type="none"/>
            </v:shape>
            <v:shape style="position:absolute;left:5719;top:484;width:161;height:137" type="#_x0000_t202" id="docshape158" filled="false" stroked="false">
              <v:textbox inset="0,0,0,0">
                <w:txbxContent>
                  <w:p>
                    <w:pPr>
                      <w:spacing w:before="2"/>
                      <w:ind w:left="0" w:right="0" w:firstLine="0"/>
                      <w:jc w:val="left"/>
                      <w:rPr>
                        <w:sz w:val="11"/>
                      </w:rPr>
                    </w:pPr>
                    <w:r>
                      <w:rPr>
                        <w:spacing w:val="-5"/>
                        <w:sz w:val="11"/>
                      </w:rPr>
                      <w:t>39</w:t>
                    </w:r>
                  </w:p>
                </w:txbxContent>
              </v:textbox>
              <w10:wrap type="none"/>
            </v:shape>
            <v:shape style="position:absolute;left:6699;top:488;width:161;height:137" type="#_x0000_t202" id="docshape159" filled="false" stroked="false">
              <v:textbox inset="0,0,0,0">
                <w:txbxContent>
                  <w:p>
                    <w:pPr>
                      <w:spacing w:before="2"/>
                      <w:ind w:left="0" w:right="0" w:firstLine="0"/>
                      <w:jc w:val="left"/>
                      <w:rPr>
                        <w:sz w:val="11"/>
                      </w:rPr>
                    </w:pPr>
                    <w:r>
                      <w:rPr>
                        <w:spacing w:val="-5"/>
                        <w:sz w:val="11"/>
                      </w:rPr>
                      <w:t>34</w:t>
                    </w:r>
                  </w:p>
                </w:txbxContent>
              </v:textbox>
              <w10:wrap type="none"/>
            </v:shape>
            <v:shape style="position:absolute;left:7324;top:488;width:155;height:137" type="#_x0000_t202" id="docshape160" filled="false" stroked="false">
              <v:textbox inset="0,0,0,0">
                <w:txbxContent>
                  <w:p>
                    <w:pPr>
                      <w:spacing w:before="2"/>
                      <w:ind w:left="0" w:right="0" w:firstLine="0"/>
                      <w:jc w:val="left"/>
                      <w:rPr>
                        <w:sz w:val="11"/>
                      </w:rPr>
                    </w:pPr>
                    <w:r>
                      <w:rPr>
                        <w:spacing w:val="-9"/>
                        <w:sz w:val="11"/>
                      </w:rPr>
                      <w:t>+4</w:t>
                    </w:r>
                  </w:p>
                </w:txbxContent>
              </v:textbox>
              <w10:wrap type="none"/>
            </v:shape>
          </v:group>
        </w:pict>
      </w:r>
      <w:r>
        <w:rPr/>
      </w:r>
    </w:p>
    <w:p>
      <w:pPr>
        <w:pStyle w:val="BodyText"/>
        <w:spacing w:before="9"/>
        <w:rPr>
          <w:sz w:val="7"/>
        </w:rPr>
      </w:pPr>
    </w:p>
    <w:p>
      <w:pPr>
        <w:spacing w:after="0"/>
        <w:rPr>
          <w:sz w:val="7"/>
        </w:rPr>
        <w:sectPr>
          <w:type w:val="continuous"/>
          <w:pgSz w:w="11910" w:h="16840"/>
          <w:pgMar w:header="0" w:footer="996" w:top="560" w:bottom="280" w:left="460" w:right="320"/>
        </w:sectPr>
      </w:pPr>
    </w:p>
    <w:p>
      <w:pPr>
        <w:spacing w:line="247" w:lineRule="auto" w:before="102"/>
        <w:ind w:left="1420" w:right="0" w:firstLine="0"/>
        <w:jc w:val="left"/>
        <w:rPr>
          <w:sz w:val="11"/>
        </w:rPr>
      </w:pPr>
      <w:r>
        <w:rPr/>
        <w:pict>
          <v:shape style="position:absolute;margin-left:345.508026pt;margin-top:6.754925pt;width:7.8pt;height:3.9pt;mso-position-horizontal-relative:page;mso-position-vertical-relative:paragraph;z-index:15763456" id="docshape161" coordorigin="6910,135" coordsize="156,78" path="m6988,213l6949,135,6910,213,6988,213xm7065,135l6979,135,7022,213,7065,135xe" filled="true" fillcolor="#666666" stroked="false">
            <v:path arrowok="t"/>
            <v:fill type="solid"/>
            <w10:wrap type="none"/>
          </v:shape>
        </w:pict>
      </w:r>
      <w:r>
        <w:rPr>
          <w:sz w:val="11"/>
        </w:rPr>
        <w:t>Unweighted</w:t>
      </w:r>
      <w:r>
        <w:rPr>
          <w:spacing w:val="28"/>
          <w:sz w:val="11"/>
        </w:rPr>
        <w:t> </w:t>
      </w:r>
      <w:r>
        <w:rPr>
          <w:sz w:val="11"/>
        </w:rPr>
        <w:t>base: All claimants-side</w:t>
      </w:r>
      <w:r>
        <w:rPr>
          <w:spacing w:val="31"/>
          <w:sz w:val="11"/>
        </w:rPr>
        <w:t> </w:t>
      </w:r>
      <w:r>
        <w:rPr>
          <w:sz w:val="11"/>
        </w:rPr>
        <w:t>partic</w:t>
      </w:r>
      <w:r>
        <w:rPr>
          <w:spacing w:val="-28"/>
          <w:sz w:val="11"/>
        </w:rPr>
        <w:t> </w:t>
      </w:r>
      <w:r>
        <w:rPr>
          <w:sz w:val="11"/>
        </w:rPr>
        <w:t>ipants and employers-side</w:t>
      </w:r>
      <w:r>
        <w:rPr>
          <w:spacing w:val="40"/>
          <w:sz w:val="11"/>
        </w:rPr>
        <w:t> </w:t>
      </w:r>
      <w:r>
        <w:rPr>
          <w:sz w:val="11"/>
        </w:rPr>
        <w:t>participants</w:t>
      </w:r>
      <w:r>
        <w:rPr>
          <w:spacing w:val="40"/>
          <w:sz w:val="11"/>
        </w:rPr>
        <w:t> </w:t>
      </w:r>
      <w:r>
        <w:rPr>
          <w:sz w:val="11"/>
        </w:rPr>
        <w:t>who took part in post-ET1 conciliation (257,</w:t>
      </w:r>
      <w:r>
        <w:rPr>
          <w:spacing w:val="40"/>
          <w:sz w:val="11"/>
        </w:rPr>
        <w:t> </w:t>
      </w:r>
      <w:r>
        <w:rPr>
          <w:sz w:val="11"/>
        </w:rPr>
        <w:t>264)</w:t>
      </w:r>
    </w:p>
    <w:p>
      <w:pPr>
        <w:spacing w:before="105"/>
        <w:ind w:left="464" w:right="0" w:firstLine="0"/>
        <w:jc w:val="left"/>
        <w:rPr>
          <w:sz w:val="11"/>
        </w:rPr>
      </w:pPr>
      <w:r>
        <w:rPr/>
        <w:br w:type="column"/>
      </w:r>
      <w:r>
        <w:rPr>
          <w:sz w:val="11"/>
        </w:rPr>
        <w:t>Statistically</w:t>
      </w:r>
      <w:r>
        <w:rPr>
          <w:spacing w:val="6"/>
          <w:sz w:val="11"/>
        </w:rPr>
        <w:t> </w:t>
      </w:r>
      <w:r>
        <w:rPr>
          <w:sz w:val="11"/>
        </w:rPr>
        <w:t>significant</w:t>
      </w:r>
      <w:r>
        <w:rPr>
          <w:spacing w:val="31"/>
          <w:sz w:val="11"/>
        </w:rPr>
        <w:t> </w:t>
      </w:r>
      <w:r>
        <w:rPr>
          <w:sz w:val="11"/>
        </w:rPr>
        <w:t>difference</w:t>
      </w:r>
      <w:r>
        <w:rPr>
          <w:spacing w:val="16"/>
          <w:sz w:val="11"/>
        </w:rPr>
        <w:t> </w:t>
      </w:r>
      <w:r>
        <w:rPr>
          <w:sz w:val="11"/>
        </w:rPr>
        <w:t>since</w:t>
      </w:r>
      <w:r>
        <w:rPr>
          <w:spacing w:val="16"/>
          <w:sz w:val="11"/>
        </w:rPr>
        <w:t> </w:t>
      </w:r>
      <w:r>
        <w:rPr>
          <w:spacing w:val="-4"/>
          <w:sz w:val="11"/>
        </w:rPr>
        <w:t>2016</w:t>
      </w:r>
    </w:p>
    <w:p>
      <w:pPr>
        <w:spacing w:after="0"/>
        <w:jc w:val="left"/>
        <w:rPr>
          <w:sz w:val="11"/>
        </w:rPr>
        <w:sectPr>
          <w:type w:val="continuous"/>
          <w:pgSz w:w="11910" w:h="16840"/>
          <w:pgMar w:header="0" w:footer="996" w:top="560" w:bottom="280" w:left="460" w:right="320"/>
          <w:cols w:num="2" w:equalWidth="0">
            <w:col w:w="6136" w:space="40"/>
            <w:col w:w="4954"/>
          </w:cols>
        </w:sectPr>
      </w:pPr>
    </w:p>
    <w:p>
      <w:pPr>
        <w:pStyle w:val="BodyText"/>
        <w:spacing w:before="3"/>
        <w:rPr>
          <w:sz w:val="17"/>
        </w:rPr>
      </w:pPr>
    </w:p>
    <w:p>
      <w:pPr>
        <w:pStyle w:val="BodyText"/>
        <w:spacing w:before="101"/>
        <w:ind w:left="1337" w:right="1472"/>
        <w:jc w:val="both"/>
      </w:pPr>
      <w:r>
        <w:rPr/>
        <w:t>As</w:t>
      </w:r>
      <w:r>
        <w:rPr>
          <w:spacing w:val="-14"/>
        </w:rPr>
        <w:t> </w:t>
      </w:r>
      <w:r>
        <w:rPr/>
        <w:t>shown</w:t>
      </w:r>
      <w:r>
        <w:rPr>
          <w:spacing w:val="-15"/>
        </w:rPr>
        <w:t> </w:t>
      </w:r>
      <w:r>
        <w:rPr/>
        <w:t>in</w:t>
      </w:r>
      <w:r>
        <w:rPr>
          <w:spacing w:val="-14"/>
        </w:rPr>
        <w:t> </w:t>
      </w:r>
      <w:r>
        <w:rPr/>
        <w:t>Figure</w:t>
      </w:r>
      <w:r>
        <w:rPr>
          <w:spacing w:val="-15"/>
        </w:rPr>
        <w:t> </w:t>
      </w:r>
      <w:r>
        <w:rPr/>
        <w:t>29,</w:t>
      </w:r>
      <w:r>
        <w:rPr>
          <w:spacing w:val="-15"/>
        </w:rPr>
        <w:t> </w:t>
      </w:r>
      <w:r>
        <w:rPr/>
        <w:t>claimants</w:t>
      </w:r>
      <w:r>
        <w:rPr>
          <w:spacing w:val="-14"/>
        </w:rPr>
        <w:t> </w:t>
      </w:r>
      <w:r>
        <w:rPr/>
        <w:t>are</w:t>
      </w:r>
      <w:r>
        <w:rPr>
          <w:spacing w:val="-15"/>
        </w:rPr>
        <w:t> </w:t>
      </w:r>
      <w:r>
        <w:rPr/>
        <w:t>the</w:t>
      </w:r>
      <w:r>
        <w:rPr>
          <w:spacing w:val="-15"/>
        </w:rPr>
        <w:t> </w:t>
      </w:r>
      <w:r>
        <w:rPr/>
        <w:t>most</w:t>
      </w:r>
      <w:r>
        <w:rPr>
          <w:spacing w:val="-15"/>
        </w:rPr>
        <w:t> </w:t>
      </w:r>
      <w:r>
        <w:rPr/>
        <w:t>likely</w:t>
      </w:r>
      <w:r>
        <w:rPr>
          <w:spacing w:val="-14"/>
        </w:rPr>
        <w:t> </w:t>
      </w:r>
      <w:r>
        <w:rPr/>
        <w:t>audience</w:t>
      </w:r>
      <w:r>
        <w:rPr>
          <w:spacing w:val="-15"/>
        </w:rPr>
        <w:t> </w:t>
      </w:r>
      <w:r>
        <w:rPr/>
        <w:t>to</w:t>
      </w:r>
      <w:r>
        <w:rPr>
          <w:spacing w:val="-14"/>
        </w:rPr>
        <w:t> </w:t>
      </w:r>
      <w:r>
        <w:rPr/>
        <w:t>rate</w:t>
      </w:r>
      <w:r>
        <w:rPr>
          <w:spacing w:val="-15"/>
        </w:rPr>
        <w:t> </w:t>
      </w:r>
      <w:r>
        <w:rPr/>
        <w:t>the</w:t>
      </w:r>
      <w:r>
        <w:rPr>
          <w:spacing w:val="-15"/>
        </w:rPr>
        <w:t> </w:t>
      </w:r>
      <w:r>
        <w:rPr/>
        <w:t>conciliator as very or fairly good.</w:t>
      </w:r>
      <w:r>
        <w:rPr>
          <w:spacing w:val="-1"/>
        </w:rPr>
        <w:t> </w:t>
      </w:r>
      <w:r>
        <w:rPr/>
        <w:t>This reflects trends observed in the 2019 EC survey as</w:t>
      </w:r>
      <w:r>
        <w:rPr>
          <w:spacing w:val="-1"/>
        </w:rPr>
        <w:t> </w:t>
      </w:r>
      <w:r>
        <w:rPr/>
        <w:t>well as the 2016 ET wave. Claimants rate the conciliator highest for explaining the tribunal process and lowest for helping them to understand the strengths and weaknesses</w:t>
      </w:r>
      <w:r>
        <w:rPr>
          <w:spacing w:val="-14"/>
        </w:rPr>
        <w:t> </w:t>
      </w:r>
      <w:r>
        <w:rPr/>
        <w:t>of</w:t>
      </w:r>
      <w:r>
        <w:rPr>
          <w:spacing w:val="-13"/>
        </w:rPr>
        <w:t> </w:t>
      </w:r>
      <w:r>
        <w:rPr/>
        <w:t>their</w:t>
      </w:r>
      <w:r>
        <w:rPr>
          <w:spacing w:val="-13"/>
        </w:rPr>
        <w:t> </w:t>
      </w:r>
      <w:r>
        <w:rPr/>
        <w:t>claim</w:t>
      </w:r>
      <w:r>
        <w:rPr>
          <w:spacing w:val="-13"/>
        </w:rPr>
        <w:t> </w:t>
      </w:r>
      <w:r>
        <w:rPr/>
        <w:t>(although</w:t>
      </w:r>
      <w:r>
        <w:rPr>
          <w:spacing w:val="-14"/>
        </w:rPr>
        <w:t> </w:t>
      </w:r>
      <w:r>
        <w:rPr/>
        <w:t>a</w:t>
      </w:r>
      <w:r>
        <w:rPr>
          <w:spacing w:val="-13"/>
        </w:rPr>
        <w:t> </w:t>
      </w:r>
      <w:r>
        <w:rPr/>
        <w:t>majority</w:t>
      </w:r>
      <w:r>
        <w:rPr>
          <w:spacing w:val="-13"/>
        </w:rPr>
        <w:t> </w:t>
      </w:r>
      <w:r>
        <w:rPr/>
        <w:t>rate</w:t>
      </w:r>
      <w:r>
        <w:rPr>
          <w:spacing w:val="-13"/>
        </w:rPr>
        <w:t> </w:t>
      </w:r>
      <w:r>
        <w:rPr/>
        <w:t>the</w:t>
      </w:r>
      <w:r>
        <w:rPr>
          <w:spacing w:val="-15"/>
        </w:rPr>
        <w:t> </w:t>
      </w:r>
      <w:r>
        <w:rPr/>
        <w:t>conciliator</w:t>
      </w:r>
      <w:r>
        <w:rPr>
          <w:spacing w:val="-13"/>
        </w:rPr>
        <w:t> </w:t>
      </w:r>
      <w:r>
        <w:rPr/>
        <w:t>as</w:t>
      </w:r>
      <w:r>
        <w:rPr>
          <w:spacing w:val="-13"/>
        </w:rPr>
        <w:t> </w:t>
      </w:r>
      <w:r>
        <w:rPr/>
        <w:t>good</w:t>
      </w:r>
      <w:r>
        <w:rPr>
          <w:spacing w:val="-13"/>
        </w:rPr>
        <w:t> </w:t>
      </w:r>
      <w:r>
        <w:rPr/>
        <w:t>at</w:t>
      </w:r>
      <w:r>
        <w:rPr>
          <w:spacing w:val="-13"/>
        </w:rPr>
        <w:t> </w:t>
      </w:r>
      <w:r>
        <w:rPr/>
        <w:t>doing this). Scores show improvement since 2016, including significant increases for ‘relaying proposals and offers to and from employer / claimant’, ‘helping you consider the pros and cons of resolving the issue without going to hearing’, and ‘helping you understand the strengths and weaknesses of this particular claim’.</w:t>
      </w:r>
    </w:p>
    <w:p>
      <w:pPr>
        <w:pStyle w:val="BodyText"/>
        <w:spacing w:before="1"/>
      </w:pPr>
    </w:p>
    <w:p>
      <w:pPr>
        <w:pStyle w:val="BodyText"/>
        <w:ind w:left="1337" w:right="1472"/>
        <w:jc w:val="both"/>
      </w:pPr>
      <w:r>
        <w:rPr/>
        <w:t>Employer representatives are the least likely audience to rate the conciliator as very of fairly good across most factors. However, rather than being more likely to rate the conciliator as poor, this group are instead more likely to report that the conciliator</w:t>
      </w:r>
      <w:r>
        <w:rPr>
          <w:spacing w:val="-6"/>
        </w:rPr>
        <w:t> </w:t>
      </w:r>
      <w:r>
        <w:rPr/>
        <w:t>‘did</w:t>
      </w:r>
      <w:r>
        <w:rPr>
          <w:spacing w:val="-5"/>
        </w:rPr>
        <w:t> </w:t>
      </w:r>
      <w:r>
        <w:rPr/>
        <w:t>not</w:t>
      </w:r>
      <w:r>
        <w:rPr>
          <w:spacing w:val="-6"/>
        </w:rPr>
        <w:t> </w:t>
      </w:r>
      <w:r>
        <w:rPr/>
        <w:t>do</w:t>
      </w:r>
      <w:r>
        <w:rPr>
          <w:spacing w:val="-7"/>
        </w:rPr>
        <w:t> </w:t>
      </w:r>
      <w:r>
        <w:rPr/>
        <w:t>this’.</w:t>
      </w:r>
      <w:r>
        <w:rPr>
          <w:spacing w:val="-6"/>
        </w:rPr>
        <w:t> </w:t>
      </w:r>
      <w:r>
        <w:rPr/>
        <w:t>Matching</w:t>
      </w:r>
      <w:r>
        <w:rPr>
          <w:spacing w:val="-7"/>
        </w:rPr>
        <w:t> </w:t>
      </w:r>
      <w:r>
        <w:rPr/>
        <w:t>the</w:t>
      </w:r>
      <w:r>
        <w:rPr>
          <w:spacing w:val="-7"/>
        </w:rPr>
        <w:t> </w:t>
      </w:r>
      <w:r>
        <w:rPr/>
        <w:t>pattern</w:t>
      </w:r>
      <w:r>
        <w:rPr>
          <w:spacing w:val="-5"/>
        </w:rPr>
        <w:t> </w:t>
      </w:r>
      <w:r>
        <w:rPr/>
        <w:t>in</w:t>
      </w:r>
      <w:r>
        <w:rPr>
          <w:spacing w:val="-5"/>
        </w:rPr>
        <w:t> </w:t>
      </w:r>
      <w:r>
        <w:rPr/>
        <w:t>2016,</w:t>
      </w:r>
      <w:r>
        <w:rPr>
          <w:spacing w:val="-5"/>
        </w:rPr>
        <w:t> </w:t>
      </w:r>
      <w:r>
        <w:rPr/>
        <w:t>rather</w:t>
      </w:r>
      <w:r>
        <w:rPr>
          <w:spacing w:val="-6"/>
        </w:rPr>
        <w:t> </w:t>
      </w:r>
      <w:r>
        <w:rPr/>
        <w:t>than</w:t>
      </w:r>
      <w:r>
        <w:rPr>
          <w:spacing w:val="-5"/>
        </w:rPr>
        <w:t> </w:t>
      </w:r>
      <w:r>
        <w:rPr/>
        <w:t>signalling</w:t>
      </w:r>
      <w:r>
        <w:rPr>
          <w:spacing w:val="-5"/>
        </w:rPr>
        <w:t> </w:t>
      </w:r>
      <w:r>
        <w:rPr/>
        <w:t>an oversight</w:t>
      </w:r>
      <w:r>
        <w:rPr>
          <w:spacing w:val="-5"/>
        </w:rPr>
        <w:t> </w:t>
      </w:r>
      <w:r>
        <w:rPr/>
        <w:t>by</w:t>
      </w:r>
      <w:r>
        <w:rPr>
          <w:spacing w:val="-5"/>
        </w:rPr>
        <w:t> </w:t>
      </w:r>
      <w:r>
        <w:rPr/>
        <w:t>the</w:t>
      </w:r>
      <w:r>
        <w:rPr>
          <w:spacing w:val="-7"/>
        </w:rPr>
        <w:t> </w:t>
      </w:r>
      <w:r>
        <w:rPr/>
        <w:t>conciliator,</w:t>
      </w:r>
      <w:r>
        <w:rPr>
          <w:spacing w:val="-5"/>
        </w:rPr>
        <w:t> </w:t>
      </w:r>
      <w:r>
        <w:rPr/>
        <w:t>this</w:t>
      </w:r>
      <w:r>
        <w:rPr>
          <w:spacing w:val="-6"/>
        </w:rPr>
        <w:t> </w:t>
      </w:r>
      <w:r>
        <w:rPr/>
        <w:t>may</w:t>
      </w:r>
      <w:r>
        <w:rPr>
          <w:spacing w:val="-5"/>
        </w:rPr>
        <w:t> </w:t>
      </w:r>
      <w:r>
        <w:rPr/>
        <w:t>simply</w:t>
      </w:r>
      <w:r>
        <w:rPr>
          <w:spacing w:val="-5"/>
        </w:rPr>
        <w:t> </w:t>
      </w:r>
      <w:r>
        <w:rPr/>
        <w:t>reflect</w:t>
      </w:r>
      <w:r>
        <w:rPr>
          <w:spacing w:val="-5"/>
        </w:rPr>
        <w:t> </w:t>
      </w:r>
      <w:r>
        <w:rPr/>
        <w:t>the</w:t>
      </w:r>
      <w:r>
        <w:rPr>
          <w:spacing w:val="-6"/>
        </w:rPr>
        <w:t> </w:t>
      </w:r>
      <w:r>
        <w:rPr/>
        <w:t>fact</w:t>
      </w:r>
      <w:r>
        <w:rPr>
          <w:spacing w:val="-5"/>
        </w:rPr>
        <w:t> </w:t>
      </w:r>
      <w:r>
        <w:rPr/>
        <w:t>that</w:t>
      </w:r>
      <w:r>
        <w:rPr>
          <w:spacing w:val="-7"/>
        </w:rPr>
        <w:t> </w:t>
      </w:r>
      <w:r>
        <w:rPr/>
        <w:t>not</w:t>
      </w:r>
      <w:r>
        <w:rPr>
          <w:spacing w:val="-7"/>
        </w:rPr>
        <w:t> </w:t>
      </w:r>
      <w:r>
        <w:rPr/>
        <w:t>all</w:t>
      </w:r>
      <w:r>
        <w:rPr>
          <w:spacing w:val="-7"/>
        </w:rPr>
        <w:t> </w:t>
      </w:r>
      <w:r>
        <w:rPr/>
        <w:t>actions</w:t>
      </w:r>
      <w:r>
        <w:rPr>
          <w:spacing w:val="-6"/>
        </w:rPr>
        <w:t> </w:t>
      </w:r>
      <w:r>
        <w:rPr/>
        <w:t>are warranted in all cases. Given the legal background of most representatives (especially employer representatives), it is likely that they are more familiar with the tribunal process, and therefore require less assistance from conciliators than claimants or employers.</w:t>
      </w:r>
    </w:p>
    <w:p>
      <w:pPr>
        <w:spacing w:after="0"/>
        <w:jc w:val="both"/>
        <w:sectPr>
          <w:type w:val="continuous"/>
          <w:pgSz w:w="11910" w:h="16840"/>
          <w:pgMar w:header="0" w:footer="996" w:top="560" w:bottom="280" w:left="460" w:right="320"/>
        </w:sectPr>
      </w:pPr>
    </w:p>
    <w:p>
      <w:pPr>
        <w:pStyle w:val="Heading3"/>
        <w:spacing w:before="82"/>
        <w:jc w:val="left"/>
      </w:pPr>
      <w:r>
        <w:rPr/>
        <w:t>Figure</w:t>
      </w:r>
      <w:r>
        <w:rPr>
          <w:spacing w:val="-5"/>
        </w:rPr>
        <w:t> </w:t>
      </w:r>
      <w:r>
        <w:rPr/>
        <w:t>29.</w:t>
      </w:r>
      <w:r>
        <w:rPr>
          <w:spacing w:val="-4"/>
        </w:rPr>
        <w:t> </w:t>
      </w:r>
      <w:r>
        <w:rPr/>
        <w:t>Ratings</w:t>
      </w:r>
      <w:r>
        <w:rPr>
          <w:spacing w:val="-4"/>
        </w:rPr>
        <w:t> </w:t>
      </w:r>
      <w:r>
        <w:rPr/>
        <w:t>of</w:t>
      </w:r>
      <w:r>
        <w:rPr>
          <w:spacing w:val="-2"/>
        </w:rPr>
        <w:t> </w:t>
      </w:r>
      <w:r>
        <w:rPr/>
        <w:t>the</w:t>
      </w:r>
      <w:r>
        <w:rPr>
          <w:spacing w:val="-2"/>
        </w:rPr>
        <w:t> conciliator</w:t>
      </w:r>
    </w:p>
    <w:p>
      <w:pPr>
        <w:pStyle w:val="BodyText"/>
        <w:rPr>
          <w:b/>
          <w:sz w:val="25"/>
        </w:rPr>
      </w:pPr>
    </w:p>
    <w:p>
      <w:pPr>
        <w:tabs>
          <w:tab w:pos="2849" w:val="left" w:leader="none"/>
          <w:tab w:pos="3898" w:val="left" w:leader="none"/>
          <w:tab w:pos="4731" w:val="left" w:leader="none"/>
          <w:tab w:pos="5758" w:val="left" w:leader="none"/>
          <w:tab w:pos="6734" w:val="left" w:leader="none"/>
        </w:tabs>
        <w:spacing w:before="0"/>
        <w:ind w:left="1851" w:right="0" w:firstLine="0"/>
        <w:jc w:val="left"/>
        <w:rPr>
          <w:sz w:val="11"/>
        </w:rPr>
      </w:pPr>
      <w:r>
        <w:rPr/>
        <w:pict>
          <v:rect style="position:absolute;margin-left:110.975304pt;margin-top:2.2052pt;width:3.449955pt;height:3.017044pt;mso-position-horizontal-relative:page;mso-position-vertical-relative:paragraph;z-index:15775744" id="docshape162" filled="true" fillcolor="#77923b" stroked="false">
            <v:fill type="solid"/>
            <w10:wrap type="none"/>
          </v:rect>
        </w:pict>
      </w:r>
      <w:r>
        <w:rPr/>
        <w:pict>
          <v:rect style="position:absolute;margin-left:160.986053pt;margin-top:2.2052pt;width:3.018155pt;height:3.015933pt;mso-position-horizontal-relative:page;mso-position-vertical-relative:paragraph;z-index:-18079744" id="docshape163" filled="true" fillcolor="#9bba58" stroked="false">
            <v:fill type="solid"/>
            <w10:wrap type="none"/>
          </v:rect>
        </w:pict>
      </w:r>
      <w:r>
        <w:rPr/>
        <w:pict>
          <v:rect style="position:absolute;margin-left:213.583572pt;margin-top:2.2052pt;width:3.018155pt;height:3.015933pt;mso-position-horizontal-relative:page;mso-position-vertical-relative:paragraph;z-index:-18079232" id="docshape164" filled="true" fillcolor="#f1f1f1" stroked="false">
            <v:fill type="solid"/>
            <w10:wrap type="none"/>
          </v:rect>
        </w:pict>
      </w:r>
      <w:r>
        <w:rPr/>
        <w:pict>
          <v:rect style="position:absolute;margin-left:254.971786pt;margin-top:2.2052pt;width:3.449955pt;height:3.017044pt;mso-position-horizontal-relative:page;mso-position-vertical-relative:paragraph;z-index:-18078720" id="docshape165" filled="true" fillcolor="#94b3d6" stroked="false">
            <v:fill type="solid"/>
            <w10:wrap type="none"/>
          </v:rect>
        </w:pict>
      </w:r>
      <w:r>
        <w:rPr/>
        <w:pict>
          <v:rect style="position:absolute;margin-left:306.275909pt;margin-top:2.2052pt;width:3.449955pt;height:3.017044pt;mso-position-horizontal-relative:page;mso-position-vertical-relative:paragraph;z-index:-18078208" id="docshape166" filled="true" fillcolor="#0063c7" stroked="false">
            <v:fill type="solid"/>
            <w10:wrap type="none"/>
          </v:rect>
        </w:pict>
      </w:r>
      <w:r>
        <w:rPr/>
        <w:pict>
          <v:rect style="position:absolute;margin-left:355.424408pt;margin-top:2.2052pt;width:3.018155pt;height:3.015933pt;mso-position-horizontal-relative:page;mso-position-vertical-relative:paragraph;z-index:-18077696" id="docshape167" filled="true" fillcolor="#a6a6a6" stroked="false">
            <v:fill type="solid"/>
            <w10:wrap type="none"/>
          </v:rect>
        </w:pict>
      </w:r>
      <w:r>
        <w:rPr>
          <w:sz w:val="11"/>
        </w:rPr>
        <w:t>Very</w:t>
      </w:r>
      <w:r>
        <w:rPr>
          <w:spacing w:val="5"/>
          <w:sz w:val="11"/>
        </w:rPr>
        <w:t> </w:t>
      </w:r>
      <w:r>
        <w:rPr>
          <w:spacing w:val="-4"/>
          <w:sz w:val="11"/>
        </w:rPr>
        <w:t>good</w:t>
      </w:r>
      <w:r>
        <w:rPr>
          <w:sz w:val="11"/>
        </w:rPr>
        <w:tab/>
        <w:t>Fairly</w:t>
      </w:r>
      <w:r>
        <w:rPr>
          <w:spacing w:val="7"/>
          <w:sz w:val="11"/>
        </w:rPr>
        <w:t> </w:t>
      </w:r>
      <w:r>
        <w:rPr>
          <w:spacing w:val="-4"/>
          <w:sz w:val="11"/>
        </w:rPr>
        <w:t>good</w:t>
      </w:r>
      <w:r>
        <w:rPr>
          <w:sz w:val="11"/>
        </w:rPr>
        <w:tab/>
      </w:r>
      <w:r>
        <w:rPr>
          <w:spacing w:val="-2"/>
          <w:sz w:val="11"/>
        </w:rPr>
        <w:t>Neither</w:t>
      </w:r>
      <w:r>
        <w:rPr>
          <w:sz w:val="11"/>
        </w:rPr>
        <w:tab/>
        <w:t>Fairly</w:t>
      </w:r>
      <w:r>
        <w:rPr>
          <w:spacing w:val="7"/>
          <w:sz w:val="11"/>
        </w:rPr>
        <w:t> </w:t>
      </w:r>
      <w:r>
        <w:rPr>
          <w:spacing w:val="-4"/>
          <w:sz w:val="11"/>
        </w:rPr>
        <w:t>poor</w:t>
      </w:r>
      <w:r>
        <w:rPr>
          <w:sz w:val="11"/>
        </w:rPr>
        <w:tab/>
        <w:t>Very</w:t>
      </w:r>
      <w:r>
        <w:rPr>
          <w:spacing w:val="5"/>
          <w:sz w:val="11"/>
        </w:rPr>
        <w:t> </w:t>
      </w:r>
      <w:r>
        <w:rPr>
          <w:spacing w:val="-4"/>
          <w:sz w:val="11"/>
        </w:rPr>
        <w:t>poor</w:t>
      </w:r>
      <w:r>
        <w:rPr>
          <w:sz w:val="11"/>
        </w:rPr>
        <w:tab/>
        <w:t>Did</w:t>
      </w:r>
      <w:r>
        <w:rPr>
          <w:spacing w:val="7"/>
          <w:sz w:val="11"/>
        </w:rPr>
        <w:t> </w:t>
      </w:r>
      <w:r>
        <w:rPr>
          <w:sz w:val="11"/>
        </w:rPr>
        <w:t>not</w:t>
      </w:r>
      <w:r>
        <w:rPr>
          <w:spacing w:val="7"/>
          <w:sz w:val="11"/>
        </w:rPr>
        <w:t> </w:t>
      </w:r>
      <w:r>
        <w:rPr>
          <w:sz w:val="11"/>
        </w:rPr>
        <w:t>do</w:t>
      </w:r>
      <w:r>
        <w:rPr>
          <w:spacing w:val="-1"/>
          <w:sz w:val="11"/>
        </w:rPr>
        <w:t> </w:t>
      </w:r>
      <w:r>
        <w:rPr>
          <w:spacing w:val="-4"/>
          <w:sz w:val="11"/>
        </w:rPr>
        <w:t>this</w:t>
      </w:r>
    </w:p>
    <w:p>
      <w:pPr>
        <w:spacing w:line="240" w:lineRule="auto" w:before="0"/>
        <w:rPr>
          <w:sz w:val="14"/>
        </w:rPr>
      </w:pPr>
      <w:r>
        <w:rPr/>
        <w:br w:type="column"/>
      </w:r>
      <w:r>
        <w:rPr>
          <w:sz w:val="14"/>
        </w:rPr>
      </w:r>
    </w:p>
    <w:p>
      <w:pPr>
        <w:pStyle w:val="BodyText"/>
        <w:spacing w:before="11"/>
        <w:rPr>
          <w:sz w:val="15"/>
        </w:rPr>
      </w:pPr>
    </w:p>
    <w:p>
      <w:pPr>
        <w:spacing w:before="0"/>
        <w:ind w:left="358" w:right="0" w:firstLine="0"/>
        <w:jc w:val="left"/>
        <w:rPr>
          <w:sz w:val="11"/>
        </w:rPr>
      </w:pPr>
      <w:r>
        <w:rPr>
          <w:sz w:val="11"/>
        </w:rPr>
        <w:t>%</w:t>
      </w:r>
      <w:r>
        <w:rPr>
          <w:spacing w:val="5"/>
          <w:sz w:val="11"/>
        </w:rPr>
        <w:t> </w:t>
      </w:r>
      <w:r>
        <w:rPr>
          <w:spacing w:val="-4"/>
          <w:sz w:val="11"/>
        </w:rPr>
        <w:t>Very</w:t>
      </w:r>
    </w:p>
    <w:p>
      <w:pPr>
        <w:spacing w:line="247" w:lineRule="auto" w:before="4"/>
        <w:ind w:left="436" w:right="19" w:hanging="52"/>
        <w:jc w:val="left"/>
        <w:rPr>
          <w:sz w:val="11"/>
        </w:rPr>
      </w:pPr>
      <w:r>
        <w:rPr>
          <w:sz w:val="11"/>
        </w:rPr>
        <w:t>/</w:t>
      </w:r>
      <w:r>
        <w:rPr>
          <w:spacing w:val="-10"/>
          <w:sz w:val="11"/>
        </w:rPr>
        <w:t> </w:t>
      </w:r>
      <w:r>
        <w:rPr>
          <w:sz w:val="11"/>
        </w:rPr>
        <w:t>fairly</w:t>
      </w:r>
      <w:r>
        <w:rPr>
          <w:spacing w:val="40"/>
          <w:sz w:val="11"/>
        </w:rPr>
        <w:t> </w:t>
      </w:r>
      <w:r>
        <w:rPr>
          <w:spacing w:val="-4"/>
          <w:sz w:val="11"/>
        </w:rPr>
        <w:t>good</w:t>
      </w:r>
    </w:p>
    <w:p>
      <w:pPr>
        <w:spacing w:line="240" w:lineRule="auto" w:before="0"/>
        <w:rPr>
          <w:sz w:val="14"/>
        </w:rPr>
      </w:pPr>
      <w:r>
        <w:rPr/>
        <w:br w:type="column"/>
      </w:r>
      <w:r>
        <w:rPr>
          <w:sz w:val="14"/>
        </w:rPr>
      </w:r>
    </w:p>
    <w:p>
      <w:pPr>
        <w:pStyle w:val="BodyText"/>
        <w:spacing w:before="11"/>
        <w:rPr>
          <w:sz w:val="15"/>
        </w:rPr>
      </w:pPr>
    </w:p>
    <w:p>
      <w:pPr>
        <w:spacing w:before="0"/>
        <w:ind w:left="265" w:right="0" w:firstLine="0"/>
        <w:jc w:val="left"/>
        <w:rPr>
          <w:sz w:val="11"/>
        </w:rPr>
      </w:pPr>
      <w:r>
        <w:rPr>
          <w:spacing w:val="-2"/>
          <w:sz w:val="11"/>
        </w:rPr>
        <w:t>+/-</w:t>
      </w:r>
      <w:r>
        <w:rPr>
          <w:spacing w:val="-10"/>
          <w:sz w:val="11"/>
        </w:rPr>
        <w:t>%</w:t>
      </w:r>
    </w:p>
    <w:p>
      <w:pPr>
        <w:spacing w:line="247" w:lineRule="auto" w:before="4"/>
        <w:ind w:left="282" w:right="1898" w:hanging="9"/>
        <w:jc w:val="left"/>
        <w:rPr>
          <w:sz w:val="11"/>
        </w:rPr>
      </w:pPr>
      <w:r>
        <w:rPr>
          <w:spacing w:val="-2"/>
          <w:sz w:val="11"/>
        </w:rPr>
        <w:t>since</w:t>
      </w:r>
      <w:r>
        <w:rPr>
          <w:spacing w:val="40"/>
          <w:sz w:val="11"/>
        </w:rPr>
        <w:t> </w:t>
      </w:r>
      <w:r>
        <w:rPr>
          <w:spacing w:val="-4"/>
          <w:sz w:val="11"/>
        </w:rPr>
        <w:t>2016</w:t>
      </w:r>
    </w:p>
    <w:p>
      <w:pPr>
        <w:spacing w:after="0" w:line="247" w:lineRule="auto"/>
        <w:jc w:val="left"/>
        <w:rPr>
          <w:sz w:val="11"/>
        </w:rPr>
        <w:sectPr>
          <w:pgSz w:w="11910" w:h="16840"/>
          <w:pgMar w:header="0" w:footer="996" w:top="1340" w:bottom="1180" w:left="460" w:right="320"/>
          <w:cols w:num="3" w:equalWidth="0">
            <w:col w:w="7587" w:space="40"/>
            <w:col w:w="779" w:space="39"/>
            <w:col w:w="2685"/>
          </w:cols>
        </w:sectPr>
      </w:pPr>
    </w:p>
    <w:p>
      <w:pPr>
        <w:pStyle w:val="BodyText"/>
        <w:spacing w:after="1"/>
        <w:rPr>
          <w:sz w:val="12"/>
        </w:rPr>
      </w:pPr>
    </w:p>
    <w:p>
      <w:pPr>
        <w:pStyle w:val="BodyText"/>
        <w:ind w:left="1414"/>
      </w:pPr>
      <w:r>
        <w:rPr/>
        <w:pict>
          <v:group style="width:388.9pt;height:43.55pt;mso-position-horizontal-relative:char;mso-position-vertical-relative:line" id="docshapegroup168" coordorigin="0,0" coordsize="7778,871">
            <v:rect style="position:absolute;left:0;top:0;width:7778;height:871" id="docshape169" filled="true" fillcolor="#f1f1f1" stroked="false">
              <v:fill type="solid"/>
            </v:rect>
            <v:shape style="position:absolute;left:3035;top:60;width:2018;height:725" id="docshape170" coordorigin="3035,60" coordsize="2018,725" path="m4510,60l3035,60,3035,198,4510,198,4510,60xm4579,457l3035,457,3035,586,4579,586,4579,457xm5018,259l3035,259,3035,396,5018,396,5018,259xm5053,655l3035,655,3035,784,5053,784,5053,655xe" filled="true" fillcolor="#77923b" stroked="false">
              <v:path arrowok="t"/>
              <v:fill type="solid"/>
            </v:shape>
            <v:shape style="position:absolute;left:4509;top:60;width:1328;height:724" id="docshape171" coordorigin="4510,60" coordsize="1328,724" path="m5398,60l4510,60,4510,198,5398,198,5398,60xm5432,457l4579,457,4579,586,5432,586,5432,457xm5631,259l5018,259,5018,396,5631,396,5631,259xm5837,655l5053,655,5053,784,5837,784,5837,655xe" filled="true" fillcolor="#9bba58" stroked="false">
              <v:path arrowok="t"/>
              <v:fill type="solid"/>
            </v:shape>
            <v:rect style="position:absolute;left:6078;top:655;width:69;height:130" id="docshape172" filled="true" fillcolor="#94b3d6" stroked="false">
              <v:fill type="solid"/>
            </v:rect>
            <v:rect style="position:absolute;left:6147;top:655;width:35;height:130" id="docshape173" filled="true" fillcolor="#0063c7" stroked="false">
              <v:fill type="solid"/>
            </v:rect>
            <v:shape style="position:absolute;left:7544;top:68;width:78;height:475" id="docshape174" coordorigin="7545,69" coordsize="78,475" path="m7622,457l7545,457,7584,543,7622,457xm7622,147l7584,69,7545,147,7622,147xe" filled="true" fillcolor="#666666" stroked="false">
              <v:path arrowok="t"/>
              <v:fill type="solid"/>
            </v:shape>
            <v:shape style="position:absolute;left:198;top:188;width:1629;height:412" type="#_x0000_t202" id="docshape175" filled="false" stroked="false">
              <v:textbox inset="0,0,0,0">
                <w:txbxContent>
                  <w:p>
                    <w:pPr>
                      <w:spacing w:line="247" w:lineRule="auto" w:before="2"/>
                      <w:ind w:left="0" w:right="0" w:firstLine="0"/>
                      <w:jc w:val="left"/>
                      <w:rPr>
                        <w:sz w:val="11"/>
                      </w:rPr>
                    </w:pPr>
                    <w:r>
                      <w:rPr>
                        <w:sz w:val="11"/>
                      </w:rPr>
                      <w:t>Relaying</w:t>
                    </w:r>
                    <w:r>
                      <w:rPr>
                        <w:spacing w:val="40"/>
                        <w:sz w:val="11"/>
                      </w:rPr>
                      <w:t> </w:t>
                    </w:r>
                    <w:r>
                      <w:rPr>
                        <w:sz w:val="11"/>
                      </w:rPr>
                      <w:t>proposals</w:t>
                    </w:r>
                    <w:r>
                      <w:rPr>
                        <w:spacing w:val="40"/>
                        <w:sz w:val="11"/>
                      </w:rPr>
                      <w:t> </w:t>
                    </w:r>
                    <w:r>
                      <w:rPr>
                        <w:sz w:val="11"/>
                      </w:rPr>
                      <w:t>and</w:t>
                    </w:r>
                    <w:r>
                      <w:rPr>
                        <w:spacing w:val="40"/>
                        <w:sz w:val="11"/>
                      </w:rPr>
                      <w:t> </w:t>
                    </w:r>
                    <w:r>
                      <w:rPr>
                        <w:sz w:val="11"/>
                      </w:rPr>
                      <w:t>offers to</w:t>
                    </w:r>
                    <w:r>
                      <w:rPr>
                        <w:spacing w:val="-2"/>
                        <w:sz w:val="11"/>
                      </w:rPr>
                      <w:t> </w:t>
                    </w:r>
                    <w:r>
                      <w:rPr>
                        <w:sz w:val="11"/>
                      </w:rPr>
                      <w:t>and from employer</w:t>
                    </w:r>
                  </w:p>
                  <w:p>
                    <w:pPr>
                      <w:spacing w:before="0"/>
                      <w:ind w:left="0" w:right="0" w:firstLine="0"/>
                      <w:jc w:val="left"/>
                      <w:rPr>
                        <w:sz w:val="11"/>
                      </w:rPr>
                    </w:pPr>
                    <w:r>
                      <w:rPr>
                        <w:sz w:val="11"/>
                      </w:rPr>
                      <w:t>/</w:t>
                    </w:r>
                    <w:r>
                      <w:rPr>
                        <w:spacing w:val="5"/>
                        <w:sz w:val="11"/>
                      </w:rPr>
                      <w:t> </w:t>
                    </w:r>
                    <w:r>
                      <w:rPr>
                        <w:spacing w:val="-2"/>
                        <w:sz w:val="11"/>
                      </w:rPr>
                      <w:t>claimant</w:t>
                    </w:r>
                  </w:p>
                </w:txbxContent>
              </v:textbox>
              <w10:wrap type="none"/>
            </v:shape>
            <v:shape style="position:absolute;left:2216;top:71;width:718;height:695" type="#_x0000_t202" id="docshape176" filled="false" stroked="false">
              <v:textbox inset="0,0,0,0">
                <w:txbxContent>
                  <w:p>
                    <w:pPr>
                      <w:spacing w:before="5"/>
                      <w:ind w:left="0" w:right="0" w:firstLine="0"/>
                      <w:jc w:val="left"/>
                      <w:rPr>
                        <w:sz w:val="9"/>
                      </w:rPr>
                    </w:pPr>
                    <w:r>
                      <w:rPr>
                        <w:spacing w:val="-2"/>
                        <w:w w:val="105"/>
                        <w:sz w:val="9"/>
                      </w:rPr>
                      <w:t>Claimants</w:t>
                    </w:r>
                  </w:p>
                  <w:p>
                    <w:pPr>
                      <w:spacing w:line="190" w:lineRule="atLeast" w:before="3"/>
                      <w:ind w:left="0" w:right="0" w:firstLine="0"/>
                      <w:jc w:val="left"/>
                      <w:rPr>
                        <w:sz w:val="9"/>
                      </w:rPr>
                    </w:pPr>
                    <w:r>
                      <w:rPr>
                        <w:w w:val="105"/>
                        <w:sz w:val="9"/>
                      </w:rPr>
                      <w:t>Claimant</w:t>
                    </w:r>
                    <w:r>
                      <w:rPr>
                        <w:spacing w:val="-11"/>
                        <w:w w:val="105"/>
                        <w:sz w:val="9"/>
                      </w:rPr>
                      <w:t> </w:t>
                    </w:r>
                    <w:r>
                      <w:rPr>
                        <w:w w:val="105"/>
                        <w:sz w:val="9"/>
                      </w:rPr>
                      <w:t>reps</w:t>
                    </w:r>
                    <w:r>
                      <w:rPr>
                        <w:spacing w:val="40"/>
                        <w:w w:val="105"/>
                        <w:sz w:val="9"/>
                      </w:rPr>
                      <w:t> </w:t>
                    </w:r>
                    <w:r>
                      <w:rPr>
                        <w:spacing w:val="-2"/>
                        <w:w w:val="105"/>
                        <w:sz w:val="9"/>
                      </w:rPr>
                      <w:t>Employers</w:t>
                    </w:r>
                    <w:r>
                      <w:rPr>
                        <w:spacing w:val="40"/>
                        <w:w w:val="105"/>
                        <w:sz w:val="9"/>
                      </w:rPr>
                      <w:t> </w:t>
                    </w:r>
                    <w:r>
                      <w:rPr>
                        <w:w w:val="105"/>
                        <w:sz w:val="9"/>
                      </w:rPr>
                      <w:t>Employer</w:t>
                    </w:r>
                    <w:r>
                      <w:rPr>
                        <w:spacing w:val="-14"/>
                        <w:w w:val="105"/>
                        <w:sz w:val="9"/>
                      </w:rPr>
                      <w:t> </w:t>
                    </w:r>
                    <w:r>
                      <w:rPr>
                        <w:w w:val="105"/>
                        <w:sz w:val="9"/>
                      </w:rPr>
                      <w:t>reps</w:t>
                    </w:r>
                  </w:p>
                </w:txbxContent>
              </v:textbox>
              <w10:wrap type="none"/>
            </v:shape>
            <v:shape style="position:absolute;left:3705;top:59;width:161;height:137" type="#_x0000_t202" id="docshape177" filled="false" stroked="false">
              <v:textbox inset="0,0,0,0">
                <w:txbxContent>
                  <w:p>
                    <w:pPr>
                      <w:spacing w:before="2"/>
                      <w:ind w:left="0" w:right="0" w:firstLine="0"/>
                      <w:jc w:val="left"/>
                      <w:rPr>
                        <w:sz w:val="11"/>
                      </w:rPr>
                    </w:pPr>
                    <w:r>
                      <w:rPr>
                        <w:color w:val="FFFFFF"/>
                        <w:spacing w:val="-5"/>
                        <w:sz w:val="11"/>
                      </w:rPr>
                      <w:t>43</w:t>
                    </w:r>
                  </w:p>
                </w:txbxContent>
              </v:textbox>
              <w10:wrap type="none"/>
            </v:shape>
            <v:shape style="position:absolute;left:4882;top:59;width:161;height:137" type="#_x0000_t202" id="docshape178" filled="false" stroked="false">
              <v:textbox inset="0,0,0,0">
                <w:txbxContent>
                  <w:p>
                    <w:pPr>
                      <w:spacing w:before="2"/>
                      <w:ind w:left="0" w:right="0" w:firstLine="0"/>
                      <w:jc w:val="left"/>
                      <w:rPr>
                        <w:sz w:val="11"/>
                      </w:rPr>
                    </w:pPr>
                    <w:r>
                      <w:rPr>
                        <w:spacing w:val="-5"/>
                        <w:sz w:val="11"/>
                      </w:rPr>
                      <w:t>26</w:t>
                    </w:r>
                  </w:p>
                </w:txbxContent>
              </v:textbox>
              <w10:wrap type="none"/>
            </v:shape>
            <v:shape style="position:absolute;left:3961;top:256;width:161;height:137" type="#_x0000_t202" id="docshape179" filled="false" stroked="false">
              <v:textbox inset="0,0,0,0">
                <w:txbxContent>
                  <w:p>
                    <w:pPr>
                      <w:spacing w:before="2"/>
                      <w:ind w:left="0" w:right="0" w:firstLine="0"/>
                      <w:jc w:val="left"/>
                      <w:rPr>
                        <w:sz w:val="11"/>
                      </w:rPr>
                    </w:pPr>
                    <w:r>
                      <w:rPr>
                        <w:color w:val="FFFFFF"/>
                        <w:spacing w:val="-5"/>
                        <w:sz w:val="11"/>
                      </w:rPr>
                      <w:t>58</w:t>
                    </w:r>
                  </w:p>
                </w:txbxContent>
              </v:textbox>
              <w10:wrap type="none"/>
            </v:shape>
            <v:shape style="position:absolute;left:3739;top:453;width:161;height:137" type="#_x0000_t202" id="docshape180" filled="false" stroked="false">
              <v:textbox inset="0,0,0,0">
                <w:txbxContent>
                  <w:p>
                    <w:pPr>
                      <w:spacing w:before="2"/>
                      <w:ind w:left="0" w:right="0" w:firstLine="0"/>
                      <w:jc w:val="left"/>
                      <w:rPr>
                        <w:sz w:val="11"/>
                      </w:rPr>
                    </w:pPr>
                    <w:r>
                      <w:rPr>
                        <w:color w:val="FFFFFF"/>
                        <w:spacing w:val="-5"/>
                        <w:sz w:val="11"/>
                      </w:rPr>
                      <w:t>45</w:t>
                    </w:r>
                  </w:p>
                </w:txbxContent>
              </v:textbox>
              <w10:wrap type="none"/>
            </v:shape>
            <v:shape style="position:absolute;left:4934;top:59;width:1536;height:530" type="#_x0000_t202" id="docshape181" filled="false" stroked="false">
              <v:textbox inset="0,0,0,0">
                <w:txbxContent>
                  <w:p>
                    <w:pPr>
                      <w:spacing w:before="2"/>
                      <w:ind w:left="0" w:right="18" w:firstLine="0"/>
                      <w:jc w:val="right"/>
                      <w:rPr>
                        <w:sz w:val="11"/>
                      </w:rPr>
                    </w:pPr>
                    <w:r>
                      <w:rPr>
                        <w:sz w:val="11"/>
                      </w:rPr>
                      <w:t>8</w:t>
                    </w:r>
                    <w:r>
                      <w:rPr>
                        <w:spacing w:val="54"/>
                        <w:sz w:val="11"/>
                      </w:rPr>
                      <w:t> </w:t>
                    </w:r>
                    <w:r>
                      <w:rPr>
                        <w:color w:val="000000"/>
                        <w:spacing w:val="15"/>
                        <w:sz w:val="11"/>
                        <w:shd w:fill="94B3D6" w:color="auto" w:val="clear"/>
                      </w:rPr>
                      <w:t> </w:t>
                    </w:r>
                    <w:r>
                      <w:rPr>
                        <w:color w:val="000000"/>
                        <w:sz w:val="11"/>
                        <w:shd w:fill="94B3D6" w:color="auto" w:val="clear"/>
                      </w:rPr>
                      <w:t>5</w:t>
                    </w:r>
                    <w:r>
                      <w:rPr>
                        <w:color w:val="FFFFFF"/>
                        <w:spacing w:val="35"/>
                        <w:sz w:val="11"/>
                        <w:shd w:fill="94B3D6" w:color="auto" w:val="clear"/>
                      </w:rPr>
                      <w:t>  </w:t>
                    </w:r>
                    <w:r>
                      <w:rPr>
                        <w:color w:val="FFFFFF"/>
                        <w:sz w:val="11"/>
                        <w:shd w:fill="94B3D6" w:color="auto" w:val="clear"/>
                      </w:rPr>
                      <w:t>8</w:t>
                    </w:r>
                    <w:r>
                      <w:rPr>
                        <w:color w:val="000000"/>
                        <w:spacing w:val="61"/>
                        <w:sz w:val="11"/>
                        <w:shd w:fill="94B3D6" w:color="auto" w:val="clear"/>
                      </w:rPr>
                      <w:t>  </w:t>
                    </w:r>
                    <w:r>
                      <w:rPr>
                        <w:color w:val="000000"/>
                        <w:spacing w:val="-5"/>
                        <w:sz w:val="11"/>
                        <w:shd w:fill="94B3D6" w:color="auto" w:val="clear"/>
                      </w:rPr>
                      <w:t>10</w:t>
                    </w:r>
                    <w:r>
                      <w:rPr>
                        <w:color w:val="000000"/>
                        <w:spacing w:val="80"/>
                        <w:sz w:val="11"/>
                        <w:shd w:fill="94B3D6" w:color="auto" w:val="clear"/>
                      </w:rPr>
                      <w:t> </w:t>
                    </w:r>
                  </w:p>
                  <w:p>
                    <w:pPr>
                      <w:tabs>
                        <w:tab w:pos="409" w:val="left" w:leader="none"/>
                      </w:tabs>
                      <w:spacing w:before="63"/>
                      <w:ind w:left="0" w:right="18" w:firstLine="0"/>
                      <w:jc w:val="right"/>
                      <w:rPr>
                        <w:sz w:val="11"/>
                      </w:rPr>
                    </w:pPr>
                    <w:r>
                      <w:rPr>
                        <w:spacing w:val="-5"/>
                        <w:sz w:val="11"/>
                      </w:rPr>
                      <w:t>18</w:t>
                    </w:r>
                    <w:r>
                      <w:rPr>
                        <w:sz w:val="11"/>
                      </w:rPr>
                      <w:tab/>
                      <w:t>4</w:t>
                    </w:r>
                    <w:r>
                      <w:rPr>
                        <w:spacing w:val="-10"/>
                        <w:sz w:val="11"/>
                      </w:rPr>
                      <w:t> </w:t>
                    </w:r>
                    <w:r>
                      <w:rPr>
                        <w:color w:val="000000"/>
                        <w:spacing w:val="-20"/>
                        <w:sz w:val="11"/>
                        <w:shd w:fill="94B3D6" w:color="auto" w:val="clear"/>
                      </w:rPr>
                      <w:t> </w:t>
                    </w:r>
                    <w:r>
                      <w:rPr>
                        <w:color w:val="000000"/>
                        <w:sz w:val="11"/>
                        <w:shd w:fill="94B3D6" w:color="auto" w:val="clear"/>
                      </w:rPr>
                      <w:t>3</w:t>
                    </w:r>
                    <w:r>
                      <w:rPr>
                        <w:color w:val="000000"/>
                        <w:spacing w:val="-25"/>
                        <w:sz w:val="11"/>
                      </w:rPr>
                      <w:t> </w:t>
                    </w:r>
                    <w:r>
                      <w:rPr>
                        <w:color w:val="FFFFFF"/>
                        <w:sz w:val="11"/>
                        <w:shd w:fill="0063C7" w:color="auto" w:val="clear"/>
                      </w:rPr>
                      <w:t>2</w:t>
                    </w:r>
                    <w:r>
                      <w:rPr>
                        <w:color w:val="000000"/>
                        <w:spacing w:val="53"/>
                        <w:sz w:val="11"/>
                        <w:shd w:fill="0063C7" w:color="auto" w:val="clear"/>
                      </w:rPr>
                      <w:t>  </w:t>
                    </w:r>
                    <w:r>
                      <w:rPr>
                        <w:color w:val="000000"/>
                        <w:spacing w:val="-5"/>
                        <w:sz w:val="11"/>
                        <w:shd w:fill="0063C7" w:color="auto" w:val="clear"/>
                      </w:rPr>
                      <w:t>15</w:t>
                    </w:r>
                    <w:r>
                      <w:rPr>
                        <w:color w:val="000000"/>
                        <w:spacing w:val="80"/>
                        <w:sz w:val="11"/>
                        <w:shd w:fill="0063C7" w:color="auto" w:val="clear"/>
                      </w:rPr>
                      <w:t> </w:t>
                    </w:r>
                  </w:p>
                  <w:p>
                    <w:pPr>
                      <w:tabs>
                        <w:tab w:pos="614" w:val="left" w:leader="none"/>
                      </w:tabs>
                      <w:spacing w:before="63"/>
                      <w:ind w:left="0" w:right="18" w:firstLine="0"/>
                      <w:jc w:val="right"/>
                      <w:rPr>
                        <w:sz w:val="11"/>
                      </w:rPr>
                    </w:pPr>
                    <w:r>
                      <w:rPr>
                        <w:spacing w:val="-5"/>
                        <w:sz w:val="11"/>
                      </w:rPr>
                      <w:t>25</w:t>
                    </w:r>
                    <w:r>
                      <w:rPr>
                        <w:sz w:val="11"/>
                      </w:rPr>
                      <w:tab/>
                      <w:t>11</w:t>
                    </w:r>
                    <w:r>
                      <w:rPr>
                        <w:spacing w:val="74"/>
                        <w:w w:val="101"/>
                        <w:sz w:val="11"/>
                      </w:rPr>
                      <w:t> </w:t>
                    </w:r>
                    <w:r>
                      <w:rPr>
                        <w:color w:val="000000"/>
                        <w:spacing w:val="-4"/>
                        <w:w w:val="101"/>
                        <w:sz w:val="11"/>
                        <w:shd w:fill="94B3D6" w:color="auto" w:val="clear"/>
                      </w:rPr>
                      <w:t> </w:t>
                    </w:r>
                    <w:r>
                      <w:rPr>
                        <w:color w:val="000000"/>
                        <w:sz w:val="11"/>
                        <w:shd w:fill="94B3D6" w:color="auto" w:val="clear"/>
                      </w:rPr>
                      <w:t>4</w:t>
                    </w:r>
                    <w:r>
                      <w:rPr>
                        <w:color w:val="FFFFFF"/>
                        <w:spacing w:val="35"/>
                        <w:sz w:val="11"/>
                        <w:shd w:fill="94B3D6" w:color="auto" w:val="clear"/>
                      </w:rPr>
                      <w:t>  </w:t>
                    </w:r>
                    <w:r>
                      <w:rPr>
                        <w:color w:val="FFFFFF"/>
                        <w:sz w:val="11"/>
                        <w:shd w:fill="94B3D6" w:color="auto" w:val="clear"/>
                      </w:rPr>
                      <w:t>9</w:t>
                    </w:r>
                    <w:r>
                      <w:rPr>
                        <w:color w:val="000000"/>
                        <w:spacing w:val="53"/>
                        <w:sz w:val="11"/>
                        <w:shd w:fill="94B3D6" w:color="auto" w:val="clear"/>
                      </w:rPr>
                      <w:t>  </w:t>
                    </w:r>
                    <w:r>
                      <w:rPr>
                        <w:color w:val="000000"/>
                        <w:spacing w:val="-10"/>
                        <w:sz w:val="11"/>
                        <w:shd w:fill="94B3D6" w:color="auto" w:val="clear"/>
                      </w:rPr>
                      <w:t>6</w:t>
                    </w:r>
                    <w:r>
                      <w:rPr>
                        <w:color w:val="000000"/>
                        <w:spacing w:val="80"/>
                        <w:sz w:val="11"/>
                        <w:shd w:fill="94B3D6" w:color="auto" w:val="clear"/>
                      </w:rPr>
                      <w:t> </w:t>
                    </w:r>
                  </w:p>
                </w:txbxContent>
              </v:textbox>
              <w10:wrap type="none"/>
            </v:shape>
            <v:shape style="position:absolute;left:3978;top:650;width:161;height:137" type="#_x0000_t202" id="docshape182" filled="false" stroked="false">
              <v:textbox inset="0,0,0,0">
                <w:txbxContent>
                  <w:p>
                    <w:pPr>
                      <w:spacing w:before="2"/>
                      <w:ind w:left="0" w:right="0" w:firstLine="0"/>
                      <w:jc w:val="left"/>
                      <w:rPr>
                        <w:sz w:val="11"/>
                      </w:rPr>
                    </w:pPr>
                    <w:r>
                      <w:rPr>
                        <w:color w:val="FFFFFF"/>
                        <w:spacing w:val="-5"/>
                        <w:sz w:val="11"/>
                      </w:rPr>
                      <w:t>59</w:t>
                    </w:r>
                  </w:p>
                </w:txbxContent>
              </v:textbox>
              <w10:wrap type="none"/>
            </v:shape>
            <v:shape style="position:absolute;left:5377;top:650;width:161;height:137" type="#_x0000_t202" id="docshape183" filled="false" stroked="false">
              <v:textbox inset="0,0,0,0">
                <w:txbxContent>
                  <w:p>
                    <w:pPr>
                      <w:spacing w:before="2"/>
                      <w:ind w:left="0" w:right="0" w:firstLine="0"/>
                      <w:jc w:val="left"/>
                      <w:rPr>
                        <w:sz w:val="11"/>
                      </w:rPr>
                    </w:pPr>
                    <w:r>
                      <w:rPr>
                        <w:spacing w:val="-5"/>
                        <w:sz w:val="11"/>
                      </w:rPr>
                      <w:t>23</w:t>
                    </w:r>
                  </w:p>
                </w:txbxContent>
              </v:textbox>
              <w10:wrap type="none"/>
            </v:shape>
            <v:shape style="position:absolute;left:5924;top:650;width:546;height:137" type="#_x0000_t202" id="docshape184" filled="false" stroked="false">
              <v:textbox inset="0,0,0,0">
                <w:txbxContent>
                  <w:p>
                    <w:pPr>
                      <w:spacing w:before="2"/>
                      <w:ind w:left="0" w:right="0" w:firstLine="0"/>
                      <w:jc w:val="left"/>
                      <w:rPr>
                        <w:sz w:val="11"/>
                      </w:rPr>
                    </w:pPr>
                    <w:r>
                      <w:rPr>
                        <w:sz w:val="11"/>
                      </w:rPr>
                      <w:t>7</w:t>
                    </w:r>
                    <w:r>
                      <w:rPr>
                        <w:spacing w:val="25"/>
                        <w:sz w:val="11"/>
                      </w:rPr>
                      <w:t> </w:t>
                    </w:r>
                    <w:r>
                      <w:rPr>
                        <w:sz w:val="11"/>
                      </w:rPr>
                      <w:t>2</w:t>
                    </w:r>
                    <w:r>
                      <w:rPr>
                        <w:color w:val="FFFFFF"/>
                        <w:sz w:val="11"/>
                      </w:rPr>
                      <w:t>1</w:t>
                    </w:r>
                    <w:r>
                      <w:rPr>
                        <w:color w:val="000000"/>
                        <w:spacing w:val="40"/>
                        <w:sz w:val="11"/>
                        <w:shd w:fill="A6A6A6" w:color="auto" w:val="clear"/>
                      </w:rPr>
                      <w:t> </w:t>
                    </w:r>
                    <w:r>
                      <w:rPr>
                        <w:color w:val="000000"/>
                        <w:spacing w:val="-10"/>
                        <w:sz w:val="11"/>
                        <w:shd w:fill="A6A6A6" w:color="auto" w:val="clear"/>
                      </w:rPr>
                      <w:t>8</w:t>
                    </w:r>
                    <w:r>
                      <w:rPr>
                        <w:color w:val="000000"/>
                        <w:spacing w:val="80"/>
                        <w:sz w:val="11"/>
                        <w:shd w:fill="A6A6A6" w:color="auto" w:val="clear"/>
                      </w:rPr>
                      <w:t> </w:t>
                    </w:r>
                  </w:p>
                </w:txbxContent>
              </v:textbox>
              <w10:wrap type="none"/>
            </v:shape>
            <v:shape style="position:absolute;left:6692;top:51;width:141;height:716" type="#_x0000_t202" id="docshape185" filled="false" stroked="false">
              <v:textbox inset="0,0,0,0">
                <w:txbxContent>
                  <w:p>
                    <w:pPr>
                      <w:spacing w:before="5"/>
                      <w:ind w:left="0" w:right="0" w:firstLine="0"/>
                      <w:jc w:val="left"/>
                      <w:rPr>
                        <w:sz w:val="9"/>
                      </w:rPr>
                    </w:pPr>
                    <w:r>
                      <w:rPr>
                        <w:spacing w:val="-5"/>
                        <w:w w:val="105"/>
                        <w:sz w:val="9"/>
                      </w:rPr>
                      <w:t>70</w:t>
                    </w:r>
                  </w:p>
                  <w:p>
                    <w:pPr>
                      <w:spacing w:before="90"/>
                      <w:ind w:left="0" w:right="0" w:firstLine="0"/>
                      <w:jc w:val="left"/>
                      <w:rPr>
                        <w:sz w:val="9"/>
                      </w:rPr>
                    </w:pPr>
                    <w:r>
                      <w:rPr>
                        <w:spacing w:val="-5"/>
                        <w:w w:val="105"/>
                        <w:sz w:val="9"/>
                      </w:rPr>
                      <w:t>76</w:t>
                    </w:r>
                  </w:p>
                  <w:p>
                    <w:pPr>
                      <w:spacing w:before="91"/>
                      <w:ind w:left="0" w:right="0" w:firstLine="0"/>
                      <w:jc w:val="left"/>
                      <w:rPr>
                        <w:sz w:val="9"/>
                      </w:rPr>
                    </w:pPr>
                    <w:r>
                      <w:rPr>
                        <w:spacing w:val="-5"/>
                        <w:w w:val="105"/>
                        <w:sz w:val="9"/>
                      </w:rPr>
                      <w:t>70</w:t>
                    </w:r>
                  </w:p>
                  <w:p>
                    <w:pPr>
                      <w:spacing w:before="91"/>
                      <w:ind w:left="0" w:right="0" w:firstLine="0"/>
                      <w:jc w:val="left"/>
                      <w:rPr>
                        <w:sz w:val="9"/>
                      </w:rPr>
                    </w:pPr>
                    <w:r>
                      <w:rPr>
                        <w:spacing w:val="-5"/>
                        <w:w w:val="105"/>
                        <w:sz w:val="9"/>
                      </w:rPr>
                      <w:t>82</w:t>
                    </w:r>
                  </w:p>
                </w:txbxContent>
              </v:textbox>
              <w10:wrap type="none"/>
            </v:shape>
            <v:shape style="position:absolute;left:7282;top:51;width:219;height:716" type="#_x0000_t202" id="docshape186" filled="false" stroked="false">
              <v:textbox inset="0,0,0,0">
                <w:txbxContent>
                  <w:p>
                    <w:pPr>
                      <w:spacing w:before="5"/>
                      <w:ind w:left="0" w:right="0" w:firstLine="0"/>
                      <w:jc w:val="left"/>
                      <w:rPr>
                        <w:sz w:val="9"/>
                      </w:rPr>
                    </w:pPr>
                    <w:r>
                      <w:rPr>
                        <w:spacing w:val="-5"/>
                        <w:w w:val="105"/>
                        <w:sz w:val="9"/>
                      </w:rPr>
                      <w:t>+12</w:t>
                    </w:r>
                  </w:p>
                  <w:p>
                    <w:pPr>
                      <w:spacing w:before="90"/>
                      <w:ind w:left="34" w:right="0" w:firstLine="0"/>
                      <w:jc w:val="left"/>
                      <w:rPr>
                        <w:sz w:val="9"/>
                      </w:rPr>
                    </w:pPr>
                    <w:r>
                      <w:rPr>
                        <w:spacing w:val="-5"/>
                        <w:w w:val="105"/>
                        <w:sz w:val="9"/>
                      </w:rPr>
                      <w:t>+3</w:t>
                    </w:r>
                  </w:p>
                  <w:p>
                    <w:pPr>
                      <w:spacing w:before="91"/>
                      <w:ind w:left="17" w:right="0" w:firstLine="0"/>
                      <w:jc w:val="left"/>
                      <w:rPr>
                        <w:sz w:val="9"/>
                      </w:rPr>
                    </w:pPr>
                    <w:r>
                      <w:rPr>
                        <w:w w:val="105"/>
                        <w:sz w:val="9"/>
                      </w:rPr>
                      <w:t>-</w:t>
                    </w:r>
                    <w:r>
                      <w:rPr>
                        <w:spacing w:val="-5"/>
                        <w:w w:val="105"/>
                        <w:sz w:val="9"/>
                      </w:rPr>
                      <w:t>15</w:t>
                    </w:r>
                  </w:p>
                  <w:p>
                    <w:pPr>
                      <w:spacing w:before="91"/>
                      <w:ind w:left="51" w:right="0" w:firstLine="0"/>
                      <w:jc w:val="left"/>
                      <w:rPr>
                        <w:sz w:val="9"/>
                      </w:rPr>
                    </w:pPr>
                    <w:r>
                      <w:rPr>
                        <w:w w:val="105"/>
                        <w:sz w:val="9"/>
                      </w:rPr>
                      <w:t>-</w:t>
                    </w:r>
                    <w:r>
                      <w:rPr>
                        <w:spacing w:val="-10"/>
                        <w:w w:val="105"/>
                        <w:sz w:val="9"/>
                      </w:rPr>
                      <w:t>2</w:t>
                    </w:r>
                  </w:p>
                </w:txbxContent>
              </v:textbox>
              <w10:wrap type="none"/>
            </v:shape>
          </v:group>
        </w:pict>
      </w:r>
      <w:r>
        <w:rPr/>
      </w:r>
    </w:p>
    <w:p>
      <w:pPr>
        <w:pStyle w:val="BodyText"/>
        <w:spacing w:before="9"/>
        <w:rPr>
          <w:sz w:val="5"/>
        </w:rPr>
      </w:pPr>
    </w:p>
    <w:p>
      <w:pPr>
        <w:spacing w:after="0"/>
        <w:rPr>
          <w:sz w:val="5"/>
        </w:rPr>
        <w:sectPr>
          <w:type w:val="continuous"/>
          <w:pgSz w:w="11910" w:h="16840"/>
          <w:pgMar w:header="0" w:footer="996" w:top="560" w:bottom="280" w:left="460" w:right="320"/>
        </w:sectPr>
      </w:pPr>
    </w:p>
    <w:p>
      <w:pPr>
        <w:pStyle w:val="BodyText"/>
        <w:spacing w:before="4"/>
        <w:rPr>
          <w:sz w:val="10"/>
        </w:rPr>
      </w:pPr>
    </w:p>
    <w:p>
      <w:pPr>
        <w:spacing w:line="247" w:lineRule="auto" w:before="0"/>
        <w:ind w:left="1613" w:right="0" w:firstLine="0"/>
        <w:jc w:val="left"/>
        <w:rPr>
          <w:sz w:val="11"/>
        </w:rPr>
      </w:pPr>
      <w:r>
        <w:rPr>
          <w:sz w:val="11"/>
        </w:rPr>
        <w:t>Helping</w:t>
      </w:r>
      <w:r>
        <w:rPr>
          <w:spacing w:val="40"/>
          <w:sz w:val="11"/>
        </w:rPr>
        <w:t> </w:t>
      </w:r>
      <w:r>
        <w:rPr>
          <w:sz w:val="11"/>
        </w:rPr>
        <w:t>you consider the</w:t>
      </w:r>
      <w:r>
        <w:rPr>
          <w:spacing w:val="40"/>
          <w:sz w:val="11"/>
        </w:rPr>
        <w:t> </w:t>
      </w:r>
      <w:r>
        <w:rPr>
          <w:sz w:val="11"/>
        </w:rPr>
        <w:t>pros and cons of</w:t>
      </w:r>
      <w:r>
        <w:rPr>
          <w:spacing w:val="-2"/>
          <w:sz w:val="11"/>
        </w:rPr>
        <w:t> </w:t>
      </w:r>
      <w:r>
        <w:rPr>
          <w:sz w:val="11"/>
        </w:rPr>
        <w:t>resolving</w:t>
      </w:r>
      <w:r>
        <w:rPr>
          <w:spacing w:val="40"/>
          <w:sz w:val="11"/>
        </w:rPr>
        <w:t> </w:t>
      </w:r>
      <w:r>
        <w:rPr>
          <w:sz w:val="11"/>
        </w:rPr>
        <w:t>the</w:t>
      </w:r>
      <w:r>
        <w:rPr>
          <w:spacing w:val="-4"/>
          <w:sz w:val="11"/>
        </w:rPr>
        <w:t> </w:t>
      </w:r>
      <w:r>
        <w:rPr>
          <w:sz w:val="11"/>
        </w:rPr>
        <w:t>issue without going</w:t>
      </w:r>
      <w:r>
        <w:rPr>
          <w:spacing w:val="17"/>
          <w:sz w:val="11"/>
        </w:rPr>
        <w:t> </w:t>
      </w:r>
      <w:r>
        <w:rPr>
          <w:sz w:val="11"/>
        </w:rPr>
        <w:t>to</w:t>
      </w:r>
      <w:r>
        <w:rPr>
          <w:spacing w:val="40"/>
          <w:sz w:val="11"/>
        </w:rPr>
        <w:t> </w:t>
      </w:r>
      <w:r>
        <w:rPr>
          <w:spacing w:val="-2"/>
          <w:sz w:val="11"/>
        </w:rPr>
        <w:t>hearing</w:t>
      </w:r>
    </w:p>
    <w:p>
      <w:pPr>
        <w:spacing w:before="72"/>
        <w:ind w:left="461" w:right="0" w:firstLine="0"/>
        <w:jc w:val="left"/>
        <w:rPr>
          <w:sz w:val="9"/>
        </w:rPr>
      </w:pPr>
      <w:r>
        <w:rPr/>
        <w:br w:type="column"/>
      </w:r>
      <w:r>
        <w:rPr>
          <w:spacing w:val="-2"/>
          <w:w w:val="105"/>
          <w:sz w:val="9"/>
        </w:rPr>
        <w:t>Claimants</w:t>
      </w:r>
    </w:p>
    <w:p>
      <w:pPr>
        <w:spacing w:line="424" w:lineRule="auto" w:before="83"/>
        <w:ind w:left="461" w:right="0" w:firstLine="0"/>
        <w:jc w:val="left"/>
        <w:rPr>
          <w:sz w:val="9"/>
        </w:rPr>
      </w:pPr>
      <w:r>
        <w:rPr>
          <w:w w:val="105"/>
          <w:sz w:val="9"/>
        </w:rPr>
        <w:t>Claimant</w:t>
      </w:r>
      <w:r>
        <w:rPr>
          <w:spacing w:val="-11"/>
          <w:w w:val="105"/>
          <w:sz w:val="9"/>
        </w:rPr>
        <w:t> </w:t>
      </w:r>
      <w:r>
        <w:rPr>
          <w:w w:val="105"/>
          <w:sz w:val="9"/>
        </w:rPr>
        <w:t>reps</w:t>
      </w:r>
      <w:r>
        <w:rPr>
          <w:spacing w:val="40"/>
          <w:w w:val="105"/>
          <w:sz w:val="9"/>
        </w:rPr>
        <w:t> </w:t>
      </w:r>
      <w:r>
        <w:rPr>
          <w:spacing w:val="-2"/>
          <w:w w:val="105"/>
          <w:sz w:val="9"/>
        </w:rPr>
        <w:t>Employers</w:t>
      </w:r>
      <w:r>
        <w:rPr>
          <w:spacing w:val="40"/>
          <w:w w:val="105"/>
          <w:sz w:val="9"/>
        </w:rPr>
        <w:t> </w:t>
      </w:r>
      <w:r>
        <w:rPr>
          <w:w w:val="105"/>
          <w:sz w:val="9"/>
        </w:rPr>
        <w:t>Employer</w:t>
      </w:r>
      <w:r>
        <w:rPr>
          <w:spacing w:val="-14"/>
          <w:w w:val="105"/>
          <w:sz w:val="9"/>
        </w:rPr>
        <w:t> </w:t>
      </w:r>
      <w:r>
        <w:rPr>
          <w:w w:val="105"/>
          <w:sz w:val="9"/>
        </w:rPr>
        <w:t>reps</w:t>
      </w:r>
    </w:p>
    <w:p>
      <w:pPr>
        <w:tabs>
          <w:tab w:pos="2203" w:val="left" w:leader="none"/>
        </w:tabs>
        <w:spacing w:before="77"/>
        <w:ind w:left="1613" w:right="0" w:firstLine="0"/>
        <w:jc w:val="left"/>
        <w:rPr>
          <w:sz w:val="9"/>
        </w:rPr>
      </w:pPr>
      <w:r>
        <w:rPr/>
        <w:br w:type="column"/>
      </w:r>
      <w:r>
        <w:rPr>
          <w:spacing w:val="-5"/>
          <w:w w:val="105"/>
          <w:sz w:val="9"/>
        </w:rPr>
        <w:t>66</w:t>
      </w:r>
      <w:r>
        <w:rPr>
          <w:sz w:val="9"/>
        </w:rPr>
        <w:tab/>
      </w:r>
      <w:r>
        <w:rPr>
          <w:spacing w:val="-5"/>
          <w:w w:val="105"/>
          <w:sz w:val="9"/>
        </w:rPr>
        <w:t>+11</w:t>
      </w:r>
    </w:p>
    <w:p>
      <w:pPr>
        <w:tabs>
          <w:tab w:pos="2203" w:val="left" w:leader="none"/>
        </w:tabs>
        <w:spacing w:before="91"/>
        <w:ind w:left="1613" w:right="0" w:firstLine="0"/>
        <w:jc w:val="left"/>
        <w:rPr>
          <w:sz w:val="9"/>
        </w:rPr>
      </w:pPr>
      <w:r>
        <w:rPr/>
        <w:pict>
          <v:group style="position:absolute;margin-left:245.486984pt;margin-top:-6.101494pt;width:170.75pt;height:16.75pt;mso-position-horizontal-relative:page;mso-position-vertical-relative:paragraph;z-index:15774208" id="docshapegroup187" coordorigin="4910,-122" coordsize="3415,335">
            <v:shape style="position:absolute;left:4909;top:-115;width:1639;height:328" id="docshape188" coordorigin="4910,-115" coordsize="1639,328" path="m6350,-115l4910,-115,4910,15,6350,15,6350,-115xm6548,84l4910,84,4910,213,6548,213,6548,84xe" filled="true" fillcolor="#77923b" stroked="false">
              <v:path arrowok="t"/>
              <v:fill type="solid"/>
            </v:shape>
            <v:shape style="position:absolute;left:6349;top:-115;width:820;height:328" id="docshape189" coordorigin="6350,-115" coordsize="820,328" path="m7134,84l6548,84,6548,213,7134,213,7134,84xm7169,-115l6350,-115,6350,15,7169,15,7169,-115xe" filled="true" fillcolor="#9bba58" stroked="false">
              <v:path arrowok="t"/>
              <v:fill type="solid"/>
            </v:shape>
            <v:shape style="position:absolute;left:7134;top:-115;width:371;height:328" id="docshape190" coordorigin="7134,-115" coordsize="371,328" path="m7402,84l7134,84,7134,213,7402,213,7402,84xm7505,-115l7169,-115,7169,15,7505,15,7505,-115xe" filled="true" fillcolor="#f1f1f1" stroked="false">
              <v:path arrowok="t"/>
              <v:fill type="solid"/>
            </v:shape>
            <v:shape style="position:absolute;left:7401;top:-115;width:518;height:328" id="docshape191" coordorigin="7402,-115" coordsize="518,328" path="m7471,84l7402,84,7402,213,7471,213,7471,84xm7919,-115l7505,-115,7505,15,7919,15,7919,-115xe" filled="true" fillcolor="#94b3d6" stroked="false">
              <v:path arrowok="t"/>
              <v:fill type="solid"/>
            </v:shape>
            <v:rect style="position:absolute;left:7919;top:-115;width:242;height:130" id="docshape192" filled="true" fillcolor="#0063c7" stroked="false">
              <v:fill type="solid"/>
            </v:rect>
            <v:shape style="position:absolute;left:7470;top:-115;width:854;height:328" id="docshape193" coordorigin="7471,-115" coordsize="854,328" path="m8324,84l7471,84,7471,213,8324,213,8324,84xm8324,-115l8160,-115,8160,15,8324,15,8324,-115xe" filled="true" fillcolor="#a6a6a6" stroked="false">
              <v:path arrowok="t"/>
              <v:fill type="solid"/>
            </v:shape>
            <v:shape style="position:absolute;left:5562;top:-123;width:263;height:334" type="#_x0000_t202" id="docshape194" filled="false" stroked="false">
              <v:textbox inset="0,0,0,0">
                <w:txbxContent>
                  <w:p>
                    <w:pPr>
                      <w:spacing w:before="2"/>
                      <w:ind w:left="0" w:right="0" w:firstLine="0"/>
                      <w:jc w:val="left"/>
                      <w:rPr>
                        <w:sz w:val="11"/>
                      </w:rPr>
                    </w:pPr>
                    <w:r>
                      <w:rPr>
                        <w:color w:val="FFFFFF"/>
                        <w:spacing w:val="-5"/>
                        <w:sz w:val="11"/>
                      </w:rPr>
                      <w:t>42</w:t>
                    </w:r>
                  </w:p>
                  <w:p>
                    <w:pPr>
                      <w:spacing w:before="63"/>
                      <w:ind w:left="102" w:right="0" w:firstLine="0"/>
                      <w:jc w:val="left"/>
                      <w:rPr>
                        <w:sz w:val="11"/>
                      </w:rPr>
                    </w:pPr>
                    <w:r>
                      <w:rPr>
                        <w:color w:val="FFFFFF"/>
                        <w:spacing w:val="-5"/>
                        <w:sz w:val="11"/>
                      </w:rPr>
                      <w:t>48</w:t>
                    </w:r>
                  </w:p>
                </w:txbxContent>
              </v:textbox>
              <w10:wrap type="none"/>
            </v:shape>
            <v:shape style="position:absolute;left:6689;top:-123;width:246;height:334" type="#_x0000_t202" id="docshape195" filled="false" stroked="false">
              <v:textbox inset="0,0,0,0">
                <w:txbxContent>
                  <w:p>
                    <w:pPr>
                      <w:spacing w:before="2"/>
                      <w:ind w:left="0" w:right="0" w:firstLine="0"/>
                      <w:jc w:val="left"/>
                      <w:rPr>
                        <w:sz w:val="11"/>
                      </w:rPr>
                    </w:pPr>
                    <w:r>
                      <w:rPr>
                        <w:spacing w:val="-5"/>
                        <w:sz w:val="11"/>
                      </w:rPr>
                      <w:t>24</w:t>
                    </w:r>
                  </w:p>
                  <w:p>
                    <w:pPr>
                      <w:spacing w:before="63"/>
                      <w:ind w:left="85" w:right="0" w:firstLine="0"/>
                      <w:jc w:val="left"/>
                      <w:rPr>
                        <w:sz w:val="11"/>
                      </w:rPr>
                    </w:pPr>
                    <w:r>
                      <w:rPr>
                        <w:spacing w:val="-5"/>
                        <w:sz w:val="11"/>
                      </w:rPr>
                      <w:t>17</w:t>
                    </w:r>
                  </w:p>
                </w:txbxContent>
              </v:textbox>
              <w10:wrap type="none"/>
            </v:shape>
            <v:shape style="position:absolute;left:7269;top:-123;width:1045;height:137" type="#_x0000_t202" id="docshape196" filled="false" stroked="false">
              <v:textbox inset="0,0,0,0">
                <w:txbxContent>
                  <w:p>
                    <w:pPr>
                      <w:tabs>
                        <w:tab w:pos="375" w:val="left" w:leader="none"/>
                        <w:tab w:pos="734" w:val="left" w:leader="none"/>
                      </w:tabs>
                      <w:spacing w:before="2"/>
                      <w:ind w:left="0" w:right="0" w:firstLine="0"/>
                      <w:jc w:val="left"/>
                      <w:rPr>
                        <w:sz w:val="11"/>
                      </w:rPr>
                    </w:pPr>
                    <w:r>
                      <w:rPr>
                        <w:spacing w:val="-5"/>
                        <w:sz w:val="11"/>
                      </w:rPr>
                      <w:t>10</w:t>
                    </w:r>
                    <w:r>
                      <w:rPr>
                        <w:sz w:val="11"/>
                      </w:rPr>
                      <w:tab/>
                    </w:r>
                    <w:r>
                      <w:rPr>
                        <w:spacing w:val="-5"/>
                        <w:sz w:val="11"/>
                      </w:rPr>
                      <w:t>12</w:t>
                    </w:r>
                    <w:r>
                      <w:rPr>
                        <w:sz w:val="11"/>
                      </w:rPr>
                      <w:tab/>
                    </w:r>
                    <w:r>
                      <w:rPr>
                        <w:color w:val="FFFFFF"/>
                        <w:sz w:val="11"/>
                      </w:rPr>
                      <w:t>7</w:t>
                    </w:r>
                    <w:r>
                      <w:rPr>
                        <w:color w:val="FFFFFF"/>
                        <w:spacing w:val="35"/>
                        <w:sz w:val="11"/>
                      </w:rPr>
                      <w:t>  </w:t>
                    </w:r>
                    <w:r>
                      <w:rPr>
                        <w:spacing w:val="-10"/>
                        <w:sz w:val="11"/>
                      </w:rPr>
                      <w:t>6</w:t>
                    </w:r>
                  </w:p>
                </w:txbxContent>
              </v:textbox>
              <w10:wrap type="none"/>
            </v:shape>
            <v:shape style="position:absolute;left:7235;top:74;width:262;height:137" type="#_x0000_t202" id="docshape197" filled="false" stroked="false">
              <v:textbox inset="0,0,0,0">
                <w:txbxContent>
                  <w:p>
                    <w:pPr>
                      <w:spacing w:before="2"/>
                      <w:ind w:left="0" w:right="0" w:firstLine="0"/>
                      <w:jc w:val="left"/>
                      <w:rPr>
                        <w:sz w:val="11"/>
                      </w:rPr>
                    </w:pPr>
                    <w:r>
                      <w:rPr>
                        <w:sz w:val="11"/>
                      </w:rPr>
                      <w:t>8</w:t>
                    </w:r>
                    <w:r>
                      <w:rPr>
                        <w:spacing w:val="60"/>
                        <w:sz w:val="11"/>
                      </w:rPr>
                      <w:t> </w:t>
                    </w:r>
                    <w:r>
                      <w:rPr>
                        <w:spacing w:val="-10"/>
                        <w:sz w:val="11"/>
                      </w:rPr>
                      <w:t>2</w:t>
                    </w:r>
                  </w:p>
                </w:txbxContent>
              </v:textbox>
              <w10:wrap type="none"/>
            </v:shape>
            <v:shape style="position:absolute;left:7832;top:74;width:161;height:137" type="#_x0000_t202" id="docshape198" filled="false" stroked="false">
              <v:textbox inset="0,0,0,0">
                <w:txbxContent>
                  <w:p>
                    <w:pPr>
                      <w:spacing w:before="2"/>
                      <w:ind w:left="0" w:right="0" w:firstLine="0"/>
                      <w:jc w:val="left"/>
                      <w:rPr>
                        <w:sz w:val="11"/>
                      </w:rPr>
                    </w:pPr>
                    <w:r>
                      <w:rPr>
                        <w:spacing w:val="-5"/>
                        <w:sz w:val="11"/>
                      </w:rPr>
                      <w:t>25</w:t>
                    </w:r>
                  </w:p>
                </w:txbxContent>
              </v:textbox>
              <w10:wrap type="none"/>
            </v:shape>
            <w10:wrap type="none"/>
          </v:group>
        </w:pict>
      </w:r>
      <w:r>
        <w:rPr/>
        <w:pict>
          <v:shape style="position:absolute;margin-left:470.966492pt;margin-top:-5.729724pt;width:3.9pt;height:4.350pt;mso-position-horizontal-relative:page;mso-position-vertical-relative:paragraph;z-index:15778816" id="docshape199" coordorigin="9419,-115" coordsize="78,87" path="m9497,-28l9419,-28,9458,-115,9497,-28xe" filled="true" fillcolor="#666666" stroked="false">
            <v:path arrowok="t"/>
            <v:fill type="solid"/>
            <w10:wrap type="none"/>
          </v:shape>
        </w:pict>
      </w:r>
      <w:r>
        <w:rPr/>
        <w:pict>
          <v:shape style="position:absolute;margin-left:470.966492pt;margin-top:4.613294pt;width:3.9pt;height:3.9pt;mso-position-horizontal-relative:page;mso-position-vertical-relative:paragraph;z-index:15779328" id="docshape200" coordorigin="9419,92" coordsize="78,78" path="m9497,170l9419,170,9458,92,9497,170xe" filled="true" fillcolor="#666666" stroked="false">
            <v:path arrowok="t"/>
            <v:fill type="solid"/>
            <w10:wrap type="none"/>
          </v:shape>
        </w:pict>
      </w:r>
      <w:r>
        <w:rPr>
          <w:spacing w:val="-5"/>
          <w:w w:val="105"/>
          <w:sz w:val="9"/>
        </w:rPr>
        <w:t>65</w:t>
      </w:r>
      <w:r>
        <w:rPr>
          <w:sz w:val="9"/>
        </w:rPr>
        <w:tab/>
      </w:r>
      <w:r>
        <w:rPr>
          <w:spacing w:val="-5"/>
          <w:w w:val="105"/>
          <w:sz w:val="9"/>
        </w:rPr>
        <w:t>+26</w:t>
      </w:r>
    </w:p>
    <w:p>
      <w:pPr>
        <w:tabs>
          <w:tab w:pos="2255" w:val="left" w:leader="none"/>
        </w:tabs>
        <w:spacing w:before="90"/>
        <w:ind w:left="1613" w:right="0" w:firstLine="0"/>
        <w:jc w:val="left"/>
        <w:rPr>
          <w:sz w:val="9"/>
        </w:rPr>
      </w:pPr>
      <w:r>
        <w:rPr/>
        <w:pict>
          <v:shape style="position:absolute;margin-left:242.486984pt;margin-top:3.605477pt;width:176.75pt;height:6.85pt;mso-position-horizontal-relative:page;mso-position-vertical-relative:paragraph;z-index:15779840" type="#_x0000_t202" id="docshape20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6"/>
                    <w:gridCol w:w="681"/>
                    <w:gridCol w:w="586"/>
                    <w:gridCol w:w="232"/>
                    <w:gridCol w:w="448"/>
                    <w:gridCol w:w="439"/>
                  </w:tblGrid>
                  <w:tr>
                    <w:trPr>
                      <w:trHeight w:val="137" w:hRule="atLeast"/>
                    </w:trPr>
                    <w:tc>
                      <w:tcPr>
                        <w:tcW w:w="1026" w:type="dxa"/>
                        <w:shd w:val="clear" w:color="auto" w:fill="77923B"/>
                      </w:tcPr>
                      <w:p>
                        <w:pPr>
                          <w:pStyle w:val="TableParagraph"/>
                          <w:spacing w:line="117" w:lineRule="exact"/>
                          <w:ind w:left="433" w:right="423"/>
                          <w:jc w:val="center"/>
                          <w:rPr>
                            <w:sz w:val="11"/>
                          </w:rPr>
                        </w:pPr>
                        <w:r>
                          <w:rPr>
                            <w:color w:val="FFFFFF"/>
                            <w:spacing w:val="-5"/>
                            <w:sz w:val="11"/>
                          </w:rPr>
                          <w:t>30</w:t>
                        </w:r>
                      </w:p>
                    </w:tc>
                    <w:tc>
                      <w:tcPr>
                        <w:tcW w:w="681" w:type="dxa"/>
                        <w:shd w:val="clear" w:color="auto" w:fill="9BBA58"/>
                      </w:tcPr>
                      <w:p>
                        <w:pPr>
                          <w:pStyle w:val="TableParagraph"/>
                          <w:spacing w:line="117" w:lineRule="exact"/>
                          <w:ind w:left="260" w:right="250"/>
                          <w:jc w:val="center"/>
                          <w:rPr>
                            <w:sz w:val="11"/>
                          </w:rPr>
                        </w:pPr>
                        <w:r>
                          <w:rPr>
                            <w:spacing w:val="-5"/>
                            <w:sz w:val="11"/>
                          </w:rPr>
                          <w:t>20</w:t>
                        </w:r>
                      </w:p>
                    </w:tc>
                    <w:tc>
                      <w:tcPr>
                        <w:tcW w:w="586" w:type="dxa"/>
                        <w:shd w:val="clear" w:color="auto" w:fill="F1F1F1"/>
                      </w:tcPr>
                      <w:p>
                        <w:pPr>
                          <w:pStyle w:val="TableParagraph"/>
                          <w:spacing w:line="117" w:lineRule="exact"/>
                          <w:ind w:left="211" w:right="205"/>
                          <w:jc w:val="center"/>
                          <w:rPr>
                            <w:sz w:val="11"/>
                          </w:rPr>
                        </w:pPr>
                        <w:r>
                          <w:rPr>
                            <w:spacing w:val="-5"/>
                            <w:sz w:val="11"/>
                          </w:rPr>
                          <w:t>17</w:t>
                        </w:r>
                      </w:p>
                    </w:tc>
                    <w:tc>
                      <w:tcPr>
                        <w:tcW w:w="232" w:type="dxa"/>
                        <w:shd w:val="clear" w:color="auto" w:fill="94B3D6"/>
                      </w:tcPr>
                      <w:p>
                        <w:pPr>
                          <w:pStyle w:val="TableParagraph"/>
                          <w:spacing w:line="117" w:lineRule="exact"/>
                          <w:ind w:left="84"/>
                          <w:rPr>
                            <w:sz w:val="11"/>
                          </w:rPr>
                        </w:pPr>
                        <w:r>
                          <w:rPr>
                            <w:w w:val="101"/>
                            <w:sz w:val="11"/>
                          </w:rPr>
                          <w:t>7</w:t>
                        </w:r>
                      </w:p>
                    </w:tc>
                    <w:tc>
                      <w:tcPr>
                        <w:tcW w:w="448" w:type="dxa"/>
                        <w:shd w:val="clear" w:color="auto" w:fill="0063C7"/>
                      </w:tcPr>
                      <w:p>
                        <w:pPr>
                          <w:pStyle w:val="TableParagraph"/>
                          <w:spacing w:line="117" w:lineRule="exact"/>
                          <w:ind w:left="159"/>
                          <w:rPr>
                            <w:sz w:val="11"/>
                          </w:rPr>
                        </w:pPr>
                        <w:r>
                          <w:rPr>
                            <w:color w:val="FFFFFF"/>
                            <w:spacing w:val="-5"/>
                            <w:sz w:val="11"/>
                          </w:rPr>
                          <w:t>13</w:t>
                        </w:r>
                      </w:p>
                    </w:tc>
                    <w:tc>
                      <w:tcPr>
                        <w:tcW w:w="439" w:type="dxa"/>
                        <w:shd w:val="clear" w:color="auto" w:fill="A6A6A6"/>
                      </w:tcPr>
                      <w:p>
                        <w:pPr>
                          <w:pStyle w:val="TableParagraph"/>
                          <w:spacing w:line="117" w:lineRule="exact"/>
                          <w:ind w:left="171"/>
                          <w:rPr>
                            <w:sz w:val="11"/>
                          </w:rPr>
                        </w:pPr>
                        <w:r>
                          <w:rPr>
                            <w:spacing w:val="-5"/>
                            <w:sz w:val="11"/>
                          </w:rPr>
                          <w:t>14</w:t>
                        </w:r>
                      </w:p>
                    </w:tc>
                  </w:tr>
                </w:tbl>
                <w:p>
                  <w:pPr>
                    <w:pStyle w:val="BodyText"/>
                  </w:pPr>
                </w:p>
              </w:txbxContent>
            </v:textbox>
            <w10:wrap type="none"/>
          </v:shape>
        </w:pict>
      </w:r>
      <w:r>
        <w:rPr>
          <w:spacing w:val="-5"/>
          <w:w w:val="105"/>
          <w:sz w:val="9"/>
        </w:rPr>
        <w:t>49</w:t>
      </w:r>
      <w:r>
        <w:rPr>
          <w:sz w:val="9"/>
        </w:rPr>
        <w:tab/>
      </w:r>
      <w:r>
        <w:rPr>
          <w:w w:val="105"/>
          <w:sz w:val="9"/>
        </w:rPr>
        <w:t>-</w:t>
      </w:r>
      <w:r>
        <w:rPr>
          <w:spacing w:val="-10"/>
          <w:w w:val="105"/>
          <w:sz w:val="9"/>
        </w:rPr>
        <w:t>6</w:t>
      </w:r>
    </w:p>
    <w:p>
      <w:pPr>
        <w:tabs>
          <w:tab w:pos="2238" w:val="left" w:leader="none"/>
        </w:tabs>
        <w:spacing w:before="91"/>
        <w:ind w:left="1613" w:right="0" w:firstLine="0"/>
        <w:jc w:val="left"/>
        <w:rPr>
          <w:sz w:val="9"/>
        </w:rPr>
      </w:pPr>
      <w:r>
        <w:rPr/>
        <w:pict>
          <v:group style="position:absolute;margin-left:245.486984pt;margin-top:3.415248pt;width:170.75pt;height:6.85pt;mso-position-horizontal-relative:page;mso-position-vertical-relative:paragraph;z-index:15774720" id="docshapegroup202" coordorigin="4910,68" coordsize="3415,137">
            <v:rect style="position:absolute;left:4909;top:71;width:854;height:130" id="docshape203" filled="true" fillcolor="#77923b" stroked="false">
              <v:fill type="solid"/>
            </v:rect>
            <v:rect style="position:absolute;left:5763;top:71;width:552;height:130" id="docshape204" filled="true" fillcolor="#9bba58" stroked="false">
              <v:fill type="solid"/>
            </v:rect>
            <v:rect style="position:absolute;left:6315;top:71;width:647;height:130" id="docshape205" filled="true" fillcolor="#f1f1f1" stroked="false">
              <v:fill type="solid"/>
            </v:rect>
            <v:rect style="position:absolute;left:6961;top:71;width:69;height:130" id="docshape206" filled="true" fillcolor="#94b3d6" stroked="false">
              <v:fill type="solid"/>
            </v:rect>
            <v:rect style="position:absolute;left:7030;top:71;width:69;height:130" id="docshape207" filled="true" fillcolor="#0063c7" stroked="false">
              <v:fill type="solid"/>
            </v:rect>
            <v:rect style="position:absolute;left:7099;top:71;width:1225;height:130" id="docshape208" filled="true" fillcolor="#a6a6a6" stroked="false">
              <v:fill type="solid"/>
            </v:rect>
            <v:shape style="position:absolute;left:5272;top:68;width:161;height:137" type="#_x0000_t202" id="docshape209" filled="false" stroked="false">
              <v:textbox inset="0,0,0,0">
                <w:txbxContent>
                  <w:p>
                    <w:pPr>
                      <w:spacing w:before="2"/>
                      <w:ind w:left="0" w:right="0" w:firstLine="0"/>
                      <w:jc w:val="left"/>
                      <w:rPr>
                        <w:sz w:val="11"/>
                      </w:rPr>
                    </w:pPr>
                    <w:r>
                      <w:rPr>
                        <w:color w:val="FFFFFF"/>
                        <w:spacing w:val="-5"/>
                        <w:sz w:val="11"/>
                      </w:rPr>
                      <w:t>25</w:t>
                    </w:r>
                  </w:p>
                </w:txbxContent>
              </v:textbox>
              <w10:wrap type="none"/>
            </v:shape>
            <v:shape style="position:absolute;left:5972;top:68;width:161;height:137" type="#_x0000_t202" id="docshape210" filled="false" stroked="false">
              <v:textbox inset="0,0,0,0">
                <w:txbxContent>
                  <w:p>
                    <w:pPr>
                      <w:spacing w:before="2"/>
                      <w:ind w:left="0" w:right="0" w:firstLine="0"/>
                      <w:jc w:val="left"/>
                      <w:rPr>
                        <w:sz w:val="11"/>
                      </w:rPr>
                    </w:pPr>
                    <w:r>
                      <w:rPr>
                        <w:spacing w:val="-5"/>
                        <w:sz w:val="11"/>
                      </w:rPr>
                      <w:t>16</w:t>
                    </w:r>
                  </w:p>
                </w:txbxContent>
              </v:textbox>
              <w10:wrap type="none"/>
            </v:shape>
            <v:shape style="position:absolute;left:6569;top:68;width:553;height:137" type="#_x0000_t202" id="docshape211" filled="false" stroked="false">
              <v:textbox inset="0,0,0,0">
                <w:txbxContent>
                  <w:p>
                    <w:pPr>
                      <w:tabs>
                        <w:tab w:pos="392" w:val="left" w:leader="none"/>
                      </w:tabs>
                      <w:spacing w:before="2"/>
                      <w:ind w:left="0" w:right="0" w:firstLine="0"/>
                      <w:jc w:val="left"/>
                      <w:rPr>
                        <w:sz w:val="11"/>
                      </w:rPr>
                    </w:pPr>
                    <w:r>
                      <w:rPr>
                        <w:spacing w:val="-5"/>
                        <w:sz w:val="11"/>
                      </w:rPr>
                      <w:t>19</w:t>
                    </w:r>
                    <w:r>
                      <w:rPr>
                        <w:sz w:val="11"/>
                      </w:rPr>
                      <w:tab/>
                    </w:r>
                    <w:r>
                      <w:rPr>
                        <w:spacing w:val="-5"/>
                        <w:sz w:val="11"/>
                      </w:rPr>
                      <w:t>2</w:t>
                    </w:r>
                    <w:r>
                      <w:rPr>
                        <w:color w:val="FFFFFF"/>
                        <w:spacing w:val="-5"/>
                        <w:sz w:val="11"/>
                      </w:rPr>
                      <w:t>2</w:t>
                    </w:r>
                  </w:p>
                </w:txbxContent>
              </v:textbox>
              <w10:wrap type="none"/>
            </v:shape>
            <v:shape style="position:absolute;left:7662;top:68;width:161;height:137" type="#_x0000_t202" id="docshape212" filled="false" stroked="false">
              <v:textbox inset="0,0,0,0">
                <w:txbxContent>
                  <w:p>
                    <w:pPr>
                      <w:spacing w:before="2"/>
                      <w:ind w:left="0" w:right="0" w:firstLine="0"/>
                      <w:jc w:val="left"/>
                      <w:rPr>
                        <w:sz w:val="11"/>
                      </w:rPr>
                    </w:pPr>
                    <w:r>
                      <w:rPr>
                        <w:spacing w:val="-5"/>
                        <w:sz w:val="11"/>
                      </w:rPr>
                      <w:t>37</w:t>
                    </w:r>
                  </w:p>
                </w:txbxContent>
              </v:textbox>
              <w10:wrap type="none"/>
            </v:shape>
            <w10:wrap type="none"/>
          </v:group>
        </w:pict>
      </w:r>
      <w:r>
        <w:rPr>
          <w:spacing w:val="-5"/>
          <w:w w:val="105"/>
          <w:sz w:val="9"/>
        </w:rPr>
        <w:t>41</w:t>
      </w:r>
      <w:r>
        <w:rPr>
          <w:sz w:val="9"/>
        </w:rPr>
        <w:tab/>
      </w:r>
      <w:r>
        <w:rPr>
          <w:spacing w:val="-7"/>
          <w:w w:val="105"/>
          <w:sz w:val="9"/>
        </w:rPr>
        <w:t>+7</w:t>
      </w:r>
    </w:p>
    <w:p>
      <w:pPr>
        <w:spacing w:after="0"/>
        <w:jc w:val="left"/>
        <w:rPr>
          <w:sz w:val="9"/>
        </w:rPr>
        <w:sectPr>
          <w:type w:val="continuous"/>
          <w:pgSz w:w="11910" w:h="16840"/>
          <w:pgMar w:header="0" w:footer="996" w:top="560" w:bottom="280" w:left="460" w:right="320"/>
          <w:cols w:num="3" w:equalWidth="0">
            <w:col w:w="3131" w:space="40"/>
            <w:col w:w="1199" w:space="2124"/>
            <w:col w:w="4636"/>
          </w:cols>
        </w:sectPr>
      </w:pPr>
    </w:p>
    <w:p>
      <w:pPr>
        <w:pStyle w:val="BodyText"/>
        <w:spacing w:before="10"/>
        <w:rPr>
          <w:sz w:val="10"/>
        </w:rPr>
      </w:pPr>
    </w:p>
    <w:p>
      <w:pPr>
        <w:pStyle w:val="BodyText"/>
        <w:ind w:left="1414"/>
      </w:pPr>
      <w:r>
        <w:rPr/>
        <w:pict>
          <v:group style="width:388.9pt;height:43.55pt;mso-position-horizontal-relative:char;mso-position-vertical-relative:line" id="docshapegroup213" coordorigin="0,0" coordsize="7778,871">
            <v:rect style="position:absolute;left:0;top:0;width:7778;height:871" id="docshape214" filled="true" fillcolor="#f1f1f1" stroked="false">
              <v:fill type="solid"/>
            </v:rect>
            <v:shape style="position:absolute;left:3035;top:77;width:1604;height:526" id="docshape215" coordorigin="3035,78" coordsize="1604,526" path="m3992,474l3035,474,3035,603,3992,603,3992,474xm4337,276l3035,276,3035,405,4337,405,4337,276xm4639,78l3035,78,3035,207,4639,207,4639,78xe" filled="true" fillcolor="#77923b" stroked="false">
              <v:path arrowok="t"/>
              <v:fill type="solid"/>
            </v:shape>
            <v:shape style="position:absolute;left:3992;top:77;width:1440;height:526" id="docshape216" coordorigin="3992,78" coordsize="1440,526" path="m4639,474l3992,474,3992,603,4639,603,4639,474xm4777,276l4337,276,4337,405,4777,405,4777,276xm5432,78l4639,78,4639,207,5432,207,5432,78xe" filled="true" fillcolor="#9bba58" stroked="false">
              <v:path arrowok="t"/>
              <v:fill type="solid"/>
            </v:shape>
            <v:shape style="position:absolute;left:198;top:269;width:1289;height:275" type="#_x0000_t202" id="docshape217" filled="false" stroked="false">
              <v:textbox inset="0,0,0,0">
                <w:txbxContent>
                  <w:p>
                    <w:pPr>
                      <w:spacing w:line="247" w:lineRule="auto" w:before="0"/>
                      <w:ind w:left="0" w:right="0" w:firstLine="0"/>
                      <w:jc w:val="left"/>
                      <w:rPr>
                        <w:sz w:val="11"/>
                      </w:rPr>
                    </w:pPr>
                    <w:r>
                      <w:rPr>
                        <w:sz w:val="11"/>
                      </w:rPr>
                      <w:t>Outlining</w:t>
                    </w:r>
                    <w:r>
                      <w:rPr>
                        <w:spacing w:val="17"/>
                        <w:sz w:val="11"/>
                      </w:rPr>
                      <w:t> </w:t>
                    </w:r>
                    <w:r>
                      <w:rPr>
                        <w:sz w:val="11"/>
                      </w:rPr>
                      <w:t>the</w:t>
                    </w:r>
                    <w:r>
                      <w:rPr>
                        <w:spacing w:val="-1"/>
                        <w:sz w:val="11"/>
                      </w:rPr>
                      <w:t> </w:t>
                    </w:r>
                    <w:r>
                      <w:rPr>
                        <w:sz w:val="11"/>
                      </w:rPr>
                      <w:t>law as</w:t>
                    </w:r>
                    <w:r>
                      <w:rPr>
                        <w:spacing w:val="-1"/>
                        <w:sz w:val="11"/>
                      </w:rPr>
                      <w:t> </w:t>
                    </w:r>
                    <w:r>
                      <w:rPr>
                        <w:sz w:val="11"/>
                      </w:rPr>
                      <w:t>it</w:t>
                    </w:r>
                    <w:r>
                      <w:rPr>
                        <w:spacing w:val="40"/>
                        <w:sz w:val="11"/>
                      </w:rPr>
                      <w:t> </w:t>
                    </w:r>
                    <w:r>
                      <w:rPr>
                        <w:sz w:val="11"/>
                      </w:rPr>
                      <w:t>applied</w:t>
                    </w:r>
                    <w:r>
                      <w:rPr>
                        <w:spacing w:val="40"/>
                        <w:sz w:val="11"/>
                      </w:rPr>
                      <w:t> </w:t>
                    </w:r>
                    <w:r>
                      <w:rPr>
                        <w:sz w:val="11"/>
                      </w:rPr>
                      <w:t>to your case</w:t>
                    </w:r>
                  </w:p>
                </w:txbxContent>
              </v:textbox>
              <w10:wrap type="none"/>
            </v:shape>
            <v:shape style="position:absolute;left:2216;top:82;width:691;height:502" type="#_x0000_t202" id="docshape218" filled="false" stroked="false">
              <v:textbox inset="0,0,0,0">
                <w:txbxContent>
                  <w:p>
                    <w:pPr>
                      <w:spacing w:before="5"/>
                      <w:ind w:left="0" w:right="0" w:firstLine="0"/>
                      <w:jc w:val="left"/>
                      <w:rPr>
                        <w:sz w:val="9"/>
                      </w:rPr>
                    </w:pPr>
                    <w:r>
                      <w:rPr>
                        <w:spacing w:val="-2"/>
                        <w:w w:val="105"/>
                        <w:sz w:val="9"/>
                      </w:rPr>
                      <w:t>Claimants</w:t>
                    </w:r>
                  </w:p>
                  <w:p>
                    <w:pPr>
                      <w:spacing w:line="190" w:lineRule="atLeast" w:before="3"/>
                      <w:ind w:left="0" w:right="0" w:firstLine="0"/>
                      <w:jc w:val="left"/>
                      <w:rPr>
                        <w:sz w:val="9"/>
                      </w:rPr>
                    </w:pPr>
                    <w:r>
                      <w:rPr>
                        <w:w w:val="105"/>
                        <w:sz w:val="9"/>
                      </w:rPr>
                      <w:t>Claimant</w:t>
                    </w:r>
                    <w:r>
                      <w:rPr>
                        <w:spacing w:val="-11"/>
                        <w:w w:val="105"/>
                        <w:sz w:val="9"/>
                      </w:rPr>
                      <w:t> </w:t>
                    </w:r>
                    <w:r>
                      <w:rPr>
                        <w:w w:val="105"/>
                        <w:sz w:val="9"/>
                      </w:rPr>
                      <w:t>reps</w:t>
                    </w:r>
                    <w:r>
                      <w:rPr>
                        <w:spacing w:val="40"/>
                        <w:w w:val="105"/>
                        <w:sz w:val="9"/>
                      </w:rPr>
                      <w:t> </w:t>
                    </w:r>
                    <w:r>
                      <w:rPr>
                        <w:spacing w:val="-2"/>
                        <w:w w:val="105"/>
                        <w:sz w:val="9"/>
                      </w:rPr>
                      <w:t>Employers</w:t>
                    </w:r>
                  </w:p>
                </w:txbxContent>
              </v:textbox>
              <w10:wrap type="none"/>
            </v:shape>
            <v:shape style="position:absolute;left:3773;top:72;width:161;height:137" type="#_x0000_t202" id="docshape219" filled="false" stroked="false">
              <v:textbox inset="0,0,0,0">
                <w:txbxContent>
                  <w:p>
                    <w:pPr>
                      <w:spacing w:before="2"/>
                      <w:ind w:left="0" w:right="0" w:firstLine="0"/>
                      <w:jc w:val="left"/>
                      <w:rPr>
                        <w:sz w:val="11"/>
                      </w:rPr>
                    </w:pPr>
                    <w:r>
                      <w:rPr>
                        <w:color w:val="FFFFFF"/>
                        <w:spacing w:val="-5"/>
                        <w:sz w:val="11"/>
                      </w:rPr>
                      <w:t>47</w:t>
                    </w:r>
                  </w:p>
                </w:txbxContent>
              </v:textbox>
              <w10:wrap type="none"/>
            </v:shape>
            <v:shape style="position:absolute;left:4968;top:72;width:161;height:137" type="#_x0000_t202" id="docshape220" filled="false" stroked="false">
              <v:textbox inset="0,0,0,0">
                <w:txbxContent>
                  <w:p>
                    <w:pPr>
                      <w:spacing w:before="2"/>
                      <w:ind w:left="0" w:right="0" w:firstLine="0"/>
                      <w:jc w:val="left"/>
                      <w:rPr>
                        <w:sz w:val="11"/>
                      </w:rPr>
                    </w:pPr>
                    <w:r>
                      <w:rPr>
                        <w:spacing w:val="-5"/>
                        <w:sz w:val="11"/>
                      </w:rPr>
                      <w:t>23</w:t>
                    </w:r>
                  </w:p>
                </w:txbxContent>
              </v:textbox>
              <w10:wrap type="none"/>
            </v:shape>
            <v:shape style="position:absolute;left:5549;top:72;width:921;height:137" type="#_x0000_t202" id="docshape221" filled="false" stroked="false">
              <v:textbox inset="0,0,0,0">
                <w:txbxContent>
                  <w:p>
                    <w:pPr>
                      <w:spacing w:before="2"/>
                      <w:ind w:left="0" w:right="0" w:firstLine="0"/>
                      <w:jc w:val="left"/>
                      <w:rPr>
                        <w:sz w:val="11"/>
                      </w:rPr>
                    </w:pPr>
                    <w:r>
                      <w:rPr>
                        <w:sz w:val="11"/>
                      </w:rPr>
                      <w:t>9</w:t>
                    </w:r>
                    <w:r>
                      <w:rPr>
                        <w:spacing w:val="74"/>
                        <w:sz w:val="11"/>
                      </w:rPr>
                      <w:t> </w:t>
                    </w:r>
                    <w:r>
                      <w:rPr>
                        <w:color w:val="000000"/>
                        <w:spacing w:val="48"/>
                        <w:sz w:val="11"/>
                        <w:shd w:fill="94B3D6" w:color="auto" w:val="clear"/>
                      </w:rPr>
                      <w:t> </w:t>
                    </w:r>
                    <w:r>
                      <w:rPr>
                        <w:color w:val="000000"/>
                        <w:sz w:val="11"/>
                        <w:shd w:fill="94B3D6" w:color="auto" w:val="clear"/>
                      </w:rPr>
                      <w:t>7</w:t>
                    </w:r>
                    <w:r>
                      <w:rPr>
                        <w:color w:val="FFFFFF"/>
                        <w:spacing w:val="44"/>
                        <w:sz w:val="11"/>
                        <w:shd w:fill="94B3D6" w:color="auto" w:val="clear"/>
                      </w:rPr>
                      <w:t>  </w:t>
                    </w:r>
                    <w:r>
                      <w:rPr>
                        <w:color w:val="FFFFFF"/>
                        <w:sz w:val="11"/>
                        <w:shd w:fill="94B3D6" w:color="auto" w:val="clear"/>
                      </w:rPr>
                      <w:t>7</w:t>
                    </w:r>
                    <w:r>
                      <w:rPr>
                        <w:color w:val="000000"/>
                        <w:spacing w:val="44"/>
                        <w:sz w:val="11"/>
                        <w:shd w:fill="94B3D6" w:color="auto" w:val="clear"/>
                      </w:rPr>
                      <w:t>  </w:t>
                    </w:r>
                    <w:r>
                      <w:rPr>
                        <w:color w:val="000000"/>
                        <w:spacing w:val="-10"/>
                        <w:sz w:val="11"/>
                        <w:shd w:fill="94B3D6" w:color="auto" w:val="clear"/>
                      </w:rPr>
                      <w:t>7</w:t>
                    </w:r>
                    <w:r>
                      <w:rPr>
                        <w:color w:val="000000"/>
                        <w:spacing w:val="80"/>
                        <w:sz w:val="11"/>
                        <w:shd w:fill="94B3D6" w:color="auto" w:val="clear"/>
                      </w:rPr>
                      <w:t> </w:t>
                    </w:r>
                  </w:p>
                </w:txbxContent>
              </v:textbox>
              <w10:wrap type="none"/>
            </v:shape>
            <v:shape style="position:absolute;left:3619;top:268;width:161;height:137" type="#_x0000_t202" id="docshape222" filled="false" stroked="false">
              <v:textbox inset="0,0,0,0">
                <w:txbxContent>
                  <w:p>
                    <w:pPr>
                      <w:spacing w:before="2"/>
                      <w:ind w:left="0" w:right="0" w:firstLine="0"/>
                      <w:jc w:val="left"/>
                      <w:rPr>
                        <w:sz w:val="11"/>
                      </w:rPr>
                    </w:pPr>
                    <w:r>
                      <w:rPr>
                        <w:color w:val="FFFFFF"/>
                        <w:spacing w:val="-5"/>
                        <w:sz w:val="11"/>
                      </w:rPr>
                      <w:t>38</w:t>
                    </w:r>
                  </w:p>
                </w:txbxContent>
              </v:textbox>
              <w10:wrap type="none"/>
            </v:shape>
            <v:shape style="position:absolute;left:3449;top:465;width:161;height:137" type="#_x0000_t202" id="docshape223" filled="false" stroked="false">
              <v:textbox inset="0,0,0,0">
                <w:txbxContent>
                  <w:p>
                    <w:pPr>
                      <w:spacing w:before="2"/>
                      <w:ind w:left="0" w:right="0" w:firstLine="0"/>
                      <w:jc w:val="left"/>
                      <w:rPr>
                        <w:sz w:val="11"/>
                      </w:rPr>
                    </w:pPr>
                    <w:r>
                      <w:rPr>
                        <w:color w:val="FFFFFF"/>
                        <w:spacing w:val="-5"/>
                        <w:sz w:val="11"/>
                      </w:rPr>
                      <w:t>28</w:t>
                    </w:r>
                  </w:p>
                </w:txbxContent>
              </v:textbox>
              <w10:wrap type="none"/>
            </v:shape>
            <v:shape style="position:absolute;left:4251;top:465;width:161;height:137" type="#_x0000_t202" id="docshape224" filled="false" stroked="false">
              <v:textbox inset="0,0,0,0">
                <w:txbxContent>
                  <w:p>
                    <w:pPr>
                      <w:spacing w:before="2"/>
                      <w:ind w:left="0" w:right="0" w:firstLine="0"/>
                      <w:jc w:val="left"/>
                      <w:rPr>
                        <w:sz w:val="11"/>
                      </w:rPr>
                    </w:pPr>
                    <w:r>
                      <w:rPr>
                        <w:spacing w:val="-5"/>
                        <w:sz w:val="11"/>
                      </w:rPr>
                      <w:t>19</w:t>
                    </w:r>
                  </w:p>
                </w:txbxContent>
              </v:textbox>
              <w10:wrap type="none"/>
            </v:shape>
            <v:shape style="position:absolute;left:4490;top:268;width:1980;height:334" type="#_x0000_t202" id="docshape225" filled="false" stroked="false">
              <v:textbox inset="0,0,0,0">
                <w:txbxContent>
                  <w:p>
                    <w:pPr>
                      <w:tabs>
                        <w:tab w:pos="409" w:val="left" w:leader="none"/>
                        <w:tab w:pos="1279" w:val="left" w:leader="none"/>
                        <w:tab w:pos="1959" w:val="left" w:leader="none"/>
                      </w:tabs>
                      <w:spacing w:before="2"/>
                      <w:ind w:left="0" w:right="18" w:firstLine="0"/>
                      <w:jc w:val="right"/>
                      <w:rPr>
                        <w:sz w:val="11"/>
                      </w:rPr>
                    </w:pPr>
                    <w:r>
                      <w:rPr>
                        <w:spacing w:val="-5"/>
                        <w:sz w:val="11"/>
                      </w:rPr>
                      <w:t>13</w:t>
                    </w:r>
                    <w:r>
                      <w:rPr>
                        <w:sz w:val="11"/>
                      </w:rPr>
                      <w:tab/>
                      <w:t>9</w:t>
                    </w:r>
                    <w:r>
                      <w:rPr>
                        <w:spacing w:val="76"/>
                        <w:w w:val="101"/>
                        <w:sz w:val="11"/>
                      </w:rPr>
                      <w:t> </w:t>
                    </w:r>
                    <w:r>
                      <w:rPr>
                        <w:color w:val="000000"/>
                        <w:spacing w:val="-22"/>
                        <w:w w:val="101"/>
                        <w:sz w:val="11"/>
                        <w:shd w:fill="94B3D6" w:color="auto" w:val="clear"/>
                      </w:rPr>
                      <w:t> </w:t>
                    </w:r>
                    <w:r>
                      <w:rPr>
                        <w:color w:val="000000"/>
                        <w:sz w:val="11"/>
                        <w:shd w:fill="94B3D6" w:color="auto" w:val="clear"/>
                      </w:rPr>
                      <w:t>3</w:t>
                    </w:r>
                    <w:r>
                      <w:rPr>
                        <w:color w:val="000000"/>
                        <w:spacing w:val="-25"/>
                        <w:sz w:val="11"/>
                      </w:rPr>
                      <w:t> </w:t>
                    </w:r>
                    <w:r>
                      <w:rPr>
                        <w:color w:val="000000"/>
                        <w:sz w:val="11"/>
                        <w:shd w:fill="A6A6A6" w:color="auto" w:val="clear"/>
                      </w:rPr>
                      <w:tab/>
                    </w:r>
                    <w:r>
                      <w:rPr>
                        <w:color w:val="000000"/>
                        <w:spacing w:val="-5"/>
                        <w:sz w:val="11"/>
                        <w:shd w:fill="A6A6A6" w:color="auto" w:val="clear"/>
                      </w:rPr>
                      <w:t>38</w:t>
                    </w:r>
                    <w:r>
                      <w:rPr>
                        <w:color w:val="000000"/>
                        <w:sz w:val="11"/>
                        <w:shd w:fill="A6A6A6" w:color="auto" w:val="clear"/>
                      </w:rPr>
                      <w:tab/>
                    </w:r>
                  </w:p>
                  <w:p>
                    <w:pPr>
                      <w:tabs>
                        <w:tab w:pos="1279" w:val="left" w:leader="none"/>
                        <w:tab w:pos="1669" w:val="left" w:leader="none"/>
                      </w:tabs>
                      <w:spacing w:before="63"/>
                      <w:ind w:left="0" w:right="18" w:firstLine="0"/>
                      <w:jc w:val="right"/>
                      <w:rPr>
                        <w:sz w:val="11"/>
                      </w:rPr>
                    </w:pPr>
                    <w:r>
                      <w:rPr>
                        <w:sz w:val="11"/>
                      </w:rPr>
                      <w:t>12</w:t>
                    </w:r>
                    <w:r>
                      <w:rPr>
                        <w:spacing w:val="72"/>
                        <w:w w:val="150"/>
                        <w:sz w:val="11"/>
                      </w:rPr>
                      <w:t> </w:t>
                    </w:r>
                    <w:r>
                      <w:rPr>
                        <w:color w:val="000000"/>
                        <w:spacing w:val="60"/>
                        <w:w w:val="150"/>
                        <w:sz w:val="11"/>
                        <w:shd w:fill="94B3D6" w:color="auto" w:val="clear"/>
                      </w:rPr>
                      <w:t> </w:t>
                    </w:r>
                    <w:r>
                      <w:rPr>
                        <w:color w:val="000000"/>
                        <w:sz w:val="11"/>
                        <w:shd w:fill="94B3D6" w:color="auto" w:val="clear"/>
                      </w:rPr>
                      <w:t>11</w:t>
                    </w:r>
                    <w:r>
                      <w:rPr>
                        <w:color w:val="FFFFFF"/>
                        <w:spacing w:val="76"/>
                        <w:sz w:val="11"/>
                        <w:shd w:fill="94B3D6" w:color="auto" w:val="clear"/>
                      </w:rPr>
                      <w:t>  </w:t>
                    </w:r>
                    <w:r>
                      <w:rPr>
                        <w:color w:val="FFFFFF"/>
                        <w:spacing w:val="-5"/>
                        <w:sz w:val="11"/>
                        <w:shd w:fill="94B3D6" w:color="auto" w:val="clear"/>
                      </w:rPr>
                      <w:t>11</w:t>
                    </w:r>
                    <w:r>
                      <w:rPr>
                        <w:color w:val="000000"/>
                        <w:sz w:val="11"/>
                        <w:shd w:fill="94B3D6" w:color="auto" w:val="clear"/>
                      </w:rPr>
                      <w:tab/>
                    </w:r>
                    <w:r>
                      <w:rPr>
                        <w:color w:val="000000"/>
                        <w:spacing w:val="-5"/>
                        <w:sz w:val="11"/>
                        <w:shd w:fill="94B3D6" w:color="auto" w:val="clear"/>
                      </w:rPr>
                      <w:t>19</w:t>
                    </w:r>
                    <w:r>
                      <w:rPr>
                        <w:color w:val="000000"/>
                        <w:sz w:val="11"/>
                        <w:shd w:fill="94B3D6" w:color="auto" w:val="clear"/>
                      </w:rPr>
                      <w:tab/>
                    </w:r>
                  </w:p>
                </w:txbxContent>
              </v:textbox>
              <w10:wrap type="none"/>
            </v:shape>
            <v:shape style="position:absolute;left:2216;top:661;width:4254;height:138" type="#_x0000_t202" id="docshape226" filled="false" stroked="false">
              <v:textbox inset="0,0,0,0">
                <w:txbxContent>
                  <w:p>
                    <w:pPr>
                      <w:tabs>
                        <w:tab w:pos="1370" w:val="left" w:leader="none"/>
                        <w:tab w:pos="3195" w:val="left" w:leader="none"/>
                        <w:tab w:pos="4232" w:val="left" w:leader="none"/>
                      </w:tabs>
                      <w:spacing w:before="3"/>
                      <w:ind w:left="0" w:right="0" w:firstLine="0"/>
                      <w:jc w:val="left"/>
                      <w:rPr>
                        <w:sz w:val="11"/>
                      </w:rPr>
                    </w:pPr>
                    <w:r>
                      <w:rPr>
                        <w:position w:val="2"/>
                        <w:sz w:val="9"/>
                      </w:rPr>
                      <w:t>Employer</w:t>
                    </w:r>
                    <w:r>
                      <w:rPr>
                        <w:spacing w:val="-10"/>
                        <w:position w:val="2"/>
                        <w:sz w:val="9"/>
                      </w:rPr>
                      <w:t> </w:t>
                    </w:r>
                    <w:r>
                      <w:rPr>
                        <w:position w:val="2"/>
                        <w:sz w:val="9"/>
                      </w:rPr>
                      <w:t>reps</w:t>
                    </w:r>
                    <w:r>
                      <w:rPr>
                        <w:spacing w:val="37"/>
                        <w:position w:val="2"/>
                        <w:sz w:val="9"/>
                      </w:rPr>
                      <w:t>  </w:t>
                    </w:r>
                    <w:r>
                      <w:rPr>
                        <w:color w:val="FFFFFF"/>
                        <w:spacing w:val="79"/>
                        <w:sz w:val="11"/>
                        <w:shd w:fill="77923B" w:color="auto" w:val="clear"/>
                      </w:rPr>
                      <w:t>  </w:t>
                    </w:r>
                    <w:r>
                      <w:rPr>
                        <w:color w:val="FFFFFF"/>
                        <w:spacing w:val="-5"/>
                        <w:sz w:val="11"/>
                        <w:shd w:fill="77923B" w:color="auto" w:val="clear"/>
                      </w:rPr>
                      <w:t>16</w:t>
                    </w:r>
                    <w:r>
                      <w:rPr>
                        <w:color w:val="FFFFFF"/>
                        <w:sz w:val="11"/>
                        <w:shd w:fill="77923B" w:color="auto" w:val="clear"/>
                      </w:rPr>
                      <w:tab/>
                    </w:r>
                    <w:r>
                      <w:rPr>
                        <w:color w:val="000000"/>
                        <w:spacing w:val="80"/>
                        <w:sz w:val="11"/>
                        <w:shd w:fill="77923B" w:color="auto" w:val="clear"/>
                      </w:rPr>
                      <w:t> </w:t>
                    </w:r>
                    <w:r>
                      <w:rPr>
                        <w:color w:val="000000"/>
                        <w:sz w:val="11"/>
                        <w:shd w:fill="77923B" w:color="auto" w:val="clear"/>
                      </w:rPr>
                      <w:t>8</w:t>
                    </w:r>
                    <w:r>
                      <w:rPr>
                        <w:color w:val="000000"/>
                        <w:spacing w:val="67"/>
                        <w:sz w:val="11"/>
                        <w:shd w:fill="77923B" w:color="auto" w:val="clear"/>
                      </w:rPr>
                      <w:t> </w:t>
                    </w:r>
                    <w:r>
                      <w:rPr>
                        <w:color w:val="000000"/>
                        <w:spacing w:val="80"/>
                        <w:w w:val="150"/>
                        <w:sz w:val="11"/>
                      </w:rPr>
                      <w:t> </w:t>
                    </w:r>
                    <w:r>
                      <w:rPr>
                        <w:color w:val="000000"/>
                        <w:sz w:val="11"/>
                      </w:rPr>
                      <w:t>12</w:t>
                    </w:r>
                    <w:r>
                      <w:rPr>
                        <w:color w:val="000000"/>
                        <w:spacing w:val="80"/>
                        <w:w w:val="150"/>
                        <w:sz w:val="11"/>
                      </w:rPr>
                      <w:t> </w:t>
                    </w:r>
                    <w:r>
                      <w:rPr>
                        <w:color w:val="000000"/>
                        <w:spacing w:val="-38"/>
                        <w:w w:val="150"/>
                        <w:sz w:val="11"/>
                        <w:shd w:fill="94B3D6" w:color="auto" w:val="clear"/>
                      </w:rPr>
                      <w:t> </w:t>
                    </w:r>
                    <w:r>
                      <w:rPr>
                        <w:color w:val="000000"/>
                        <w:sz w:val="11"/>
                        <w:shd w:fill="94B3D6" w:color="auto" w:val="clear"/>
                      </w:rPr>
                      <w:t>3</w:t>
                    </w:r>
                    <w:r>
                      <w:rPr>
                        <w:color w:val="000000"/>
                        <w:spacing w:val="-23"/>
                        <w:sz w:val="11"/>
                      </w:rPr>
                      <w:t> </w:t>
                    </w:r>
                    <w:r>
                      <w:rPr>
                        <w:color w:val="FFFFFF"/>
                        <w:sz w:val="11"/>
                        <w:shd w:fill="0063C7" w:color="auto" w:val="clear"/>
                      </w:rPr>
                      <w:t> 4</w:t>
                    </w:r>
                    <w:r>
                      <w:rPr>
                        <w:color w:val="000000"/>
                        <w:sz w:val="11"/>
                        <w:shd w:fill="0063C7" w:color="auto" w:val="clear"/>
                      </w:rPr>
                      <w:tab/>
                    </w:r>
                    <w:r>
                      <w:rPr>
                        <w:color w:val="000000"/>
                        <w:spacing w:val="-5"/>
                        <w:sz w:val="11"/>
                        <w:shd w:fill="0063C7" w:color="auto" w:val="clear"/>
                      </w:rPr>
                      <w:t>57</w:t>
                    </w:r>
                    <w:r>
                      <w:rPr>
                        <w:color w:val="000000"/>
                        <w:sz w:val="11"/>
                        <w:shd w:fill="0063C7" w:color="auto" w:val="clear"/>
                      </w:rPr>
                      <w:tab/>
                    </w:r>
                  </w:p>
                </w:txbxContent>
              </v:textbox>
              <w10:wrap type="none"/>
            </v:shape>
            <v:shape style="position:absolute;left:6692;top:96;width:141;height:716" type="#_x0000_t202" id="docshape227" filled="false" stroked="false">
              <v:textbox inset="0,0,0,0">
                <w:txbxContent>
                  <w:p>
                    <w:pPr>
                      <w:spacing w:before="5"/>
                      <w:ind w:left="0" w:right="0" w:firstLine="0"/>
                      <w:jc w:val="left"/>
                      <w:rPr>
                        <w:sz w:val="9"/>
                      </w:rPr>
                    </w:pPr>
                    <w:r>
                      <w:rPr>
                        <w:spacing w:val="-5"/>
                        <w:w w:val="105"/>
                        <w:sz w:val="9"/>
                      </w:rPr>
                      <w:t>70</w:t>
                    </w:r>
                  </w:p>
                  <w:p>
                    <w:pPr>
                      <w:spacing w:before="90"/>
                      <w:ind w:left="0" w:right="0" w:firstLine="0"/>
                      <w:jc w:val="left"/>
                      <w:rPr>
                        <w:sz w:val="9"/>
                      </w:rPr>
                    </w:pPr>
                    <w:r>
                      <w:rPr>
                        <w:spacing w:val="-5"/>
                        <w:w w:val="105"/>
                        <w:sz w:val="9"/>
                      </w:rPr>
                      <w:t>50</w:t>
                    </w:r>
                  </w:p>
                  <w:p>
                    <w:pPr>
                      <w:spacing w:before="91"/>
                      <w:ind w:left="0" w:right="0" w:firstLine="0"/>
                      <w:jc w:val="left"/>
                      <w:rPr>
                        <w:sz w:val="9"/>
                      </w:rPr>
                    </w:pPr>
                    <w:r>
                      <w:rPr>
                        <w:spacing w:val="-5"/>
                        <w:w w:val="105"/>
                        <w:sz w:val="9"/>
                      </w:rPr>
                      <w:t>47</w:t>
                    </w:r>
                  </w:p>
                  <w:p>
                    <w:pPr>
                      <w:spacing w:before="91"/>
                      <w:ind w:left="0" w:right="0" w:firstLine="0"/>
                      <w:jc w:val="left"/>
                      <w:rPr>
                        <w:sz w:val="9"/>
                      </w:rPr>
                    </w:pPr>
                    <w:r>
                      <w:rPr>
                        <w:spacing w:val="-5"/>
                        <w:w w:val="105"/>
                        <w:sz w:val="9"/>
                      </w:rPr>
                      <w:t>24</w:t>
                    </w:r>
                  </w:p>
                </w:txbxContent>
              </v:textbox>
              <w10:wrap type="none"/>
            </v:shape>
            <v:shape style="position:absolute;left:7282;top:96;width:219;height:716" type="#_x0000_t202" id="docshape228" filled="false" stroked="false">
              <v:textbox inset="0,0,0,0">
                <w:txbxContent>
                  <w:p>
                    <w:pPr>
                      <w:spacing w:before="5"/>
                      <w:ind w:left="34" w:right="0" w:firstLine="0"/>
                      <w:jc w:val="left"/>
                      <w:rPr>
                        <w:sz w:val="9"/>
                      </w:rPr>
                    </w:pPr>
                    <w:r>
                      <w:rPr>
                        <w:spacing w:val="-5"/>
                        <w:w w:val="105"/>
                        <w:sz w:val="9"/>
                      </w:rPr>
                      <w:t>+6</w:t>
                    </w:r>
                  </w:p>
                  <w:p>
                    <w:pPr>
                      <w:spacing w:before="90"/>
                      <w:ind w:left="0" w:right="0" w:firstLine="0"/>
                      <w:jc w:val="left"/>
                      <w:rPr>
                        <w:sz w:val="9"/>
                      </w:rPr>
                    </w:pPr>
                    <w:r>
                      <w:rPr>
                        <w:spacing w:val="-5"/>
                        <w:w w:val="105"/>
                        <w:sz w:val="9"/>
                      </w:rPr>
                      <w:t>+13</w:t>
                    </w:r>
                  </w:p>
                  <w:p>
                    <w:pPr>
                      <w:spacing w:before="91"/>
                      <w:ind w:left="51" w:right="0" w:firstLine="0"/>
                      <w:jc w:val="left"/>
                      <w:rPr>
                        <w:sz w:val="9"/>
                      </w:rPr>
                    </w:pPr>
                    <w:r>
                      <w:rPr>
                        <w:w w:val="105"/>
                        <w:sz w:val="9"/>
                      </w:rPr>
                      <w:t>-</w:t>
                    </w:r>
                    <w:r>
                      <w:rPr>
                        <w:spacing w:val="-10"/>
                        <w:w w:val="105"/>
                        <w:sz w:val="9"/>
                      </w:rPr>
                      <w:t>2</w:t>
                    </w:r>
                  </w:p>
                  <w:p>
                    <w:pPr>
                      <w:spacing w:before="91"/>
                      <w:ind w:left="51" w:right="0" w:firstLine="0"/>
                      <w:jc w:val="left"/>
                      <w:rPr>
                        <w:sz w:val="9"/>
                      </w:rPr>
                    </w:pPr>
                    <w:r>
                      <w:rPr>
                        <w:w w:val="105"/>
                        <w:sz w:val="9"/>
                      </w:rPr>
                      <w:t>-</w:t>
                    </w:r>
                    <w:r>
                      <w:rPr>
                        <w:spacing w:val="-10"/>
                        <w:w w:val="105"/>
                        <w:sz w:val="9"/>
                      </w:rPr>
                      <w:t>1</w:t>
                    </w:r>
                  </w:p>
                </w:txbxContent>
              </v:textbox>
              <w10:wrap type="none"/>
            </v:shape>
          </v:group>
        </w:pict>
      </w:r>
      <w:r>
        <w:rPr/>
      </w:r>
    </w:p>
    <w:p>
      <w:pPr>
        <w:pStyle w:val="BodyText"/>
        <w:spacing w:before="9"/>
        <w:rPr>
          <w:sz w:val="5"/>
        </w:rPr>
      </w:pPr>
    </w:p>
    <w:p>
      <w:pPr>
        <w:spacing w:after="0"/>
        <w:rPr>
          <w:sz w:val="5"/>
        </w:rPr>
        <w:sectPr>
          <w:type w:val="continuous"/>
          <w:pgSz w:w="11910" w:h="16840"/>
          <w:pgMar w:header="0" w:footer="996" w:top="560" w:bottom="280" w:left="460" w:right="320"/>
        </w:sectPr>
      </w:pPr>
    </w:p>
    <w:p>
      <w:pPr>
        <w:pStyle w:val="BodyText"/>
        <w:rPr>
          <w:sz w:val="14"/>
        </w:rPr>
      </w:pPr>
    </w:p>
    <w:p>
      <w:pPr>
        <w:spacing w:line="247" w:lineRule="auto" w:before="106"/>
        <w:ind w:left="1613" w:right="0" w:firstLine="0"/>
        <w:jc w:val="left"/>
        <w:rPr>
          <w:sz w:val="11"/>
        </w:rPr>
      </w:pPr>
      <w:r>
        <w:rPr/>
        <w:pict>
          <v:shape style="position:absolute;margin-left:164.108597pt;margin-top:14.978127pt;width:316.6pt;height:39.25pt;mso-position-horizontal-relative:page;mso-position-vertical-relative:paragraph;z-index:15780352" type="#_x0000_t202" id="docshape22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3"/>
                    <w:gridCol w:w="476"/>
                    <w:gridCol w:w="631"/>
                  </w:tblGrid>
                  <w:tr>
                    <w:trPr>
                      <w:trHeight w:val="179" w:hRule="atLeast"/>
                    </w:trPr>
                    <w:tc>
                      <w:tcPr>
                        <w:tcW w:w="5103" w:type="dxa"/>
                      </w:tcPr>
                      <w:p>
                        <w:pPr>
                          <w:pStyle w:val="TableParagraph"/>
                          <w:tabs>
                            <w:tab w:pos="818" w:val="left" w:leader="none"/>
                            <w:tab w:pos="1232" w:val="left" w:leader="none"/>
                            <w:tab w:pos="1775" w:val="left" w:leader="none"/>
                            <w:tab w:pos="2120" w:val="left" w:leader="none"/>
                            <w:tab w:pos="2594" w:val="left" w:leader="none"/>
                            <w:tab w:pos="3826" w:val="left" w:leader="none"/>
                            <w:tab w:pos="4232" w:val="left" w:leader="none"/>
                          </w:tabs>
                          <w:spacing w:line="136" w:lineRule="exact"/>
                          <w:ind w:right="118"/>
                          <w:jc w:val="right"/>
                          <w:rPr>
                            <w:sz w:val="11"/>
                          </w:rPr>
                        </w:pPr>
                        <w:r>
                          <w:rPr>
                            <w:spacing w:val="-2"/>
                            <w:position w:val="3"/>
                            <w:sz w:val="9"/>
                          </w:rPr>
                          <w:t>Employers</w:t>
                        </w:r>
                        <w:r>
                          <w:rPr>
                            <w:position w:val="3"/>
                            <w:sz w:val="9"/>
                          </w:rPr>
                          <w:tab/>
                        </w:r>
                        <w:r>
                          <w:rPr>
                            <w:color w:val="FFFFFF"/>
                            <w:sz w:val="11"/>
                            <w:shd w:fill="77923B" w:color="auto" w:val="clear"/>
                          </w:rPr>
                          <w:tab/>
                        </w:r>
                        <w:r>
                          <w:rPr>
                            <w:color w:val="FFFFFF"/>
                            <w:spacing w:val="-5"/>
                            <w:sz w:val="11"/>
                            <w:shd w:fill="77923B" w:color="auto" w:val="clear"/>
                          </w:rPr>
                          <w:t>28</w:t>
                        </w:r>
                        <w:r>
                          <w:rPr>
                            <w:color w:val="FFFFFF"/>
                            <w:sz w:val="11"/>
                            <w:shd w:fill="77923B" w:color="auto" w:val="clear"/>
                          </w:rPr>
                          <w:tab/>
                        </w:r>
                        <w:r>
                          <w:rPr>
                            <w:color w:val="000000"/>
                            <w:sz w:val="11"/>
                            <w:shd w:fill="77923B" w:color="auto" w:val="clear"/>
                          </w:rPr>
                          <w:tab/>
                        </w:r>
                        <w:r>
                          <w:rPr>
                            <w:color w:val="000000"/>
                            <w:spacing w:val="-5"/>
                            <w:sz w:val="11"/>
                            <w:shd w:fill="77923B" w:color="auto" w:val="clear"/>
                          </w:rPr>
                          <w:t>24</w:t>
                        </w:r>
                        <w:r>
                          <w:rPr>
                            <w:color w:val="000000"/>
                            <w:sz w:val="11"/>
                            <w:shd w:fill="77923B" w:color="auto" w:val="clear"/>
                          </w:rPr>
                          <w:tab/>
                        </w:r>
                        <w:r>
                          <w:rPr>
                            <w:color w:val="000000"/>
                            <w:spacing w:val="80"/>
                            <w:w w:val="150"/>
                            <w:sz w:val="11"/>
                            <w:shd w:fill="77923B" w:color="auto" w:val="clear"/>
                          </w:rPr>
                          <w:t> </w:t>
                        </w:r>
                        <w:r>
                          <w:rPr>
                            <w:color w:val="000000"/>
                            <w:sz w:val="11"/>
                            <w:shd w:fill="77923B" w:color="auto" w:val="clear"/>
                          </w:rPr>
                          <w:t>12</w:t>
                        </w:r>
                        <w:r>
                          <w:rPr>
                            <w:color w:val="000000"/>
                            <w:spacing w:val="80"/>
                            <w:sz w:val="11"/>
                            <w:shd w:fill="77923B" w:color="auto" w:val="clear"/>
                          </w:rPr>
                          <w:t>  </w:t>
                        </w:r>
                        <w:r>
                          <w:rPr>
                            <w:color w:val="000000"/>
                            <w:sz w:val="11"/>
                            <w:shd w:fill="77923B" w:color="auto" w:val="clear"/>
                          </w:rPr>
                          <w:t>9</w:t>
                        </w:r>
                        <w:r>
                          <w:rPr>
                            <w:color w:val="FFFFFF"/>
                            <w:spacing w:val="77"/>
                            <w:sz w:val="11"/>
                            <w:shd w:fill="77923B" w:color="auto" w:val="clear"/>
                          </w:rPr>
                          <w:t>  </w:t>
                        </w:r>
                        <w:r>
                          <w:rPr>
                            <w:color w:val="FFFFFF"/>
                            <w:sz w:val="11"/>
                            <w:shd w:fill="77923B" w:color="auto" w:val="clear"/>
                          </w:rPr>
                          <w:t>7</w:t>
                        </w:r>
                        <w:r>
                          <w:rPr>
                            <w:color w:val="000000"/>
                            <w:sz w:val="11"/>
                            <w:shd w:fill="77923B" w:color="auto" w:val="clear"/>
                          </w:rPr>
                          <w:tab/>
                        </w:r>
                        <w:r>
                          <w:rPr>
                            <w:color w:val="000000"/>
                            <w:spacing w:val="-5"/>
                            <w:sz w:val="11"/>
                            <w:shd w:fill="77923B" w:color="auto" w:val="clear"/>
                          </w:rPr>
                          <w:t>20</w:t>
                        </w:r>
                        <w:r>
                          <w:rPr>
                            <w:color w:val="000000"/>
                            <w:sz w:val="11"/>
                            <w:shd w:fill="77923B" w:color="auto" w:val="clear"/>
                          </w:rPr>
                          <w:tab/>
                        </w:r>
                      </w:p>
                    </w:tc>
                    <w:tc>
                      <w:tcPr>
                        <w:tcW w:w="476" w:type="dxa"/>
                      </w:tcPr>
                      <w:p>
                        <w:pPr>
                          <w:pStyle w:val="TableParagraph"/>
                          <w:spacing w:line="108" w:lineRule="exact" w:before="52"/>
                          <w:ind w:left="121"/>
                          <w:rPr>
                            <w:sz w:val="9"/>
                          </w:rPr>
                        </w:pPr>
                        <w:r>
                          <w:rPr>
                            <w:spacing w:val="-5"/>
                            <w:w w:val="105"/>
                            <w:sz w:val="9"/>
                          </w:rPr>
                          <w:t>52</w:t>
                        </w:r>
                      </w:p>
                    </w:tc>
                    <w:tc>
                      <w:tcPr>
                        <w:tcW w:w="631" w:type="dxa"/>
                      </w:tcPr>
                      <w:p>
                        <w:pPr>
                          <w:pStyle w:val="TableParagraph"/>
                          <w:spacing w:line="108" w:lineRule="exact" w:before="52"/>
                          <w:ind w:left="223" w:right="176"/>
                          <w:jc w:val="center"/>
                          <w:rPr>
                            <w:sz w:val="9"/>
                          </w:rPr>
                        </w:pPr>
                        <w:r>
                          <w:rPr>
                            <w:spacing w:val="-5"/>
                            <w:w w:val="105"/>
                            <w:sz w:val="9"/>
                          </w:rPr>
                          <w:t>+2</w:t>
                        </w:r>
                      </w:p>
                    </w:tc>
                  </w:tr>
                  <w:tr>
                    <w:trPr>
                      <w:trHeight w:val="296" w:hRule="atLeast"/>
                    </w:trPr>
                    <w:tc>
                      <w:tcPr>
                        <w:tcW w:w="5103" w:type="dxa"/>
                      </w:tcPr>
                      <w:p>
                        <w:pPr>
                          <w:pStyle w:val="TableParagraph"/>
                          <w:tabs>
                            <w:tab w:pos="3178" w:val="left" w:leader="none"/>
                            <w:tab w:pos="4232" w:val="left" w:leader="none"/>
                          </w:tabs>
                          <w:spacing w:line="153" w:lineRule="exact"/>
                          <w:ind w:right="118"/>
                          <w:jc w:val="right"/>
                          <w:rPr>
                            <w:sz w:val="11"/>
                          </w:rPr>
                        </w:pPr>
                        <w:r>
                          <w:rPr>
                            <w:position w:val="4"/>
                            <w:sz w:val="9"/>
                          </w:rPr>
                          <w:t>Employer</w:t>
                        </w:r>
                        <w:r>
                          <w:rPr>
                            <w:spacing w:val="-12"/>
                            <w:position w:val="4"/>
                            <w:sz w:val="9"/>
                          </w:rPr>
                          <w:t> </w:t>
                        </w:r>
                        <w:r>
                          <w:rPr>
                            <w:position w:val="4"/>
                            <w:sz w:val="9"/>
                          </w:rPr>
                          <w:t>reps</w:t>
                        </w:r>
                        <w:r>
                          <w:rPr>
                            <w:spacing w:val="79"/>
                            <w:w w:val="150"/>
                            <w:position w:val="4"/>
                            <w:sz w:val="9"/>
                          </w:rPr>
                          <w:t> </w:t>
                        </w:r>
                        <w:r>
                          <w:rPr>
                            <w:color w:val="FFFFFF"/>
                            <w:spacing w:val="41"/>
                            <w:w w:val="150"/>
                            <w:sz w:val="11"/>
                            <w:shd w:fill="77923B" w:color="auto" w:val="clear"/>
                          </w:rPr>
                          <w:t>  </w:t>
                        </w:r>
                        <w:r>
                          <w:rPr>
                            <w:color w:val="FFFFFF"/>
                            <w:sz w:val="11"/>
                            <w:shd w:fill="77923B" w:color="auto" w:val="clear"/>
                          </w:rPr>
                          <w:t>15</w:t>
                        </w:r>
                        <w:r>
                          <w:rPr>
                            <w:color w:val="000000"/>
                            <w:spacing w:val="60"/>
                            <w:sz w:val="11"/>
                            <w:shd w:fill="77923B" w:color="auto" w:val="clear"/>
                          </w:rPr>
                          <w:t>   </w:t>
                        </w:r>
                        <w:r>
                          <w:rPr>
                            <w:color w:val="000000"/>
                            <w:sz w:val="11"/>
                            <w:shd w:fill="77923B" w:color="auto" w:val="clear"/>
                          </w:rPr>
                          <w:t>10</w:t>
                        </w:r>
                        <w:r>
                          <w:rPr>
                            <w:color w:val="000000"/>
                            <w:spacing w:val="71"/>
                            <w:w w:val="150"/>
                            <w:sz w:val="11"/>
                            <w:shd w:fill="77923B" w:color="auto" w:val="clear"/>
                          </w:rPr>
                          <w:t>  </w:t>
                        </w:r>
                        <w:r>
                          <w:rPr>
                            <w:color w:val="000000"/>
                            <w:sz w:val="11"/>
                            <w:shd w:fill="77923B" w:color="auto" w:val="clear"/>
                          </w:rPr>
                          <w:t>13</w:t>
                        </w:r>
                        <w:r>
                          <w:rPr>
                            <w:color w:val="000000"/>
                            <w:spacing w:val="31"/>
                            <w:sz w:val="11"/>
                            <w:shd w:fill="77923B" w:color="auto" w:val="clear"/>
                          </w:rPr>
                          <w:t>  </w:t>
                        </w:r>
                        <w:r>
                          <w:rPr>
                            <w:color w:val="000000"/>
                            <w:spacing w:val="-5"/>
                            <w:sz w:val="11"/>
                          </w:rPr>
                          <w:t>1</w:t>
                        </w:r>
                        <w:r>
                          <w:rPr>
                            <w:color w:val="FFFFFF"/>
                            <w:spacing w:val="-5"/>
                            <w:sz w:val="11"/>
                          </w:rPr>
                          <w:t>2</w:t>
                        </w:r>
                        <w:r>
                          <w:rPr>
                            <w:color w:val="000000"/>
                            <w:sz w:val="11"/>
                            <w:shd w:fill="A6A6A6" w:color="auto" w:val="clear"/>
                          </w:rPr>
                          <w:tab/>
                        </w:r>
                        <w:r>
                          <w:rPr>
                            <w:color w:val="000000"/>
                            <w:spacing w:val="-5"/>
                            <w:sz w:val="11"/>
                            <w:shd w:fill="A6A6A6" w:color="auto" w:val="clear"/>
                          </w:rPr>
                          <w:t>60</w:t>
                        </w:r>
                        <w:r>
                          <w:rPr>
                            <w:color w:val="000000"/>
                            <w:sz w:val="11"/>
                            <w:shd w:fill="A6A6A6" w:color="auto" w:val="clear"/>
                          </w:rPr>
                          <w:tab/>
                        </w:r>
                      </w:p>
                    </w:tc>
                    <w:tc>
                      <w:tcPr>
                        <w:tcW w:w="476" w:type="dxa"/>
                      </w:tcPr>
                      <w:p>
                        <w:pPr>
                          <w:pStyle w:val="TableParagraph"/>
                          <w:spacing w:before="72"/>
                          <w:ind w:left="121"/>
                          <w:rPr>
                            <w:sz w:val="9"/>
                          </w:rPr>
                        </w:pPr>
                        <w:r>
                          <w:rPr>
                            <w:spacing w:val="-5"/>
                            <w:w w:val="105"/>
                            <w:sz w:val="9"/>
                          </w:rPr>
                          <w:t>25</w:t>
                        </w:r>
                      </w:p>
                    </w:tc>
                    <w:tc>
                      <w:tcPr>
                        <w:tcW w:w="631" w:type="dxa"/>
                      </w:tcPr>
                      <w:p>
                        <w:pPr>
                          <w:pStyle w:val="TableParagraph"/>
                          <w:spacing w:before="72"/>
                          <w:ind w:left="223" w:right="184"/>
                          <w:jc w:val="center"/>
                          <w:rPr>
                            <w:sz w:val="9"/>
                          </w:rPr>
                        </w:pPr>
                        <w:r>
                          <w:rPr>
                            <w:spacing w:val="-5"/>
                            <w:w w:val="105"/>
                            <w:sz w:val="9"/>
                          </w:rPr>
                          <w:t>+10</w:t>
                        </w:r>
                      </w:p>
                    </w:tc>
                  </w:tr>
                  <w:tr>
                    <w:trPr>
                      <w:trHeight w:val="310" w:hRule="atLeast"/>
                    </w:trPr>
                    <w:tc>
                      <w:tcPr>
                        <w:tcW w:w="5103" w:type="dxa"/>
                        <w:shd w:val="clear" w:color="auto" w:fill="F1F1F1"/>
                      </w:tcPr>
                      <w:p>
                        <w:pPr>
                          <w:pStyle w:val="TableParagraph"/>
                          <w:tabs>
                            <w:tab w:pos="818" w:val="left" w:leader="none"/>
                            <w:tab w:pos="1386" w:val="left" w:leader="none"/>
                            <w:tab w:pos="2085" w:val="left" w:leader="none"/>
                            <w:tab w:pos="2410" w:val="left" w:leader="none"/>
                            <w:tab w:pos="2870" w:val="left" w:leader="none"/>
                          </w:tabs>
                          <w:spacing w:before="120"/>
                          <w:ind w:right="153"/>
                          <w:jc w:val="right"/>
                          <w:rPr>
                            <w:sz w:val="11"/>
                          </w:rPr>
                        </w:pPr>
                        <w:r>
                          <w:rPr>
                            <w:spacing w:val="-2"/>
                            <w:sz w:val="9"/>
                          </w:rPr>
                          <w:t>Claimants</w:t>
                        </w:r>
                        <w:r>
                          <w:rPr>
                            <w:sz w:val="9"/>
                          </w:rPr>
                          <w:tab/>
                        </w:r>
                        <w:r>
                          <w:rPr>
                            <w:color w:val="FFFFFF"/>
                            <w:position w:val="1"/>
                            <w:sz w:val="11"/>
                            <w:shd w:fill="77923B" w:color="auto" w:val="clear"/>
                          </w:rPr>
                          <w:tab/>
                        </w:r>
                        <w:r>
                          <w:rPr>
                            <w:color w:val="FFFFFF"/>
                            <w:spacing w:val="-5"/>
                            <w:position w:val="1"/>
                            <w:sz w:val="11"/>
                            <w:shd w:fill="77923B" w:color="auto" w:val="clear"/>
                          </w:rPr>
                          <w:t>37</w:t>
                        </w:r>
                        <w:r>
                          <w:rPr>
                            <w:color w:val="FFFFFF"/>
                            <w:position w:val="1"/>
                            <w:sz w:val="11"/>
                            <w:shd w:fill="77923B" w:color="auto" w:val="clear"/>
                          </w:rPr>
                          <w:tab/>
                        </w:r>
                        <w:r>
                          <w:rPr>
                            <w:color w:val="000000"/>
                            <w:position w:val="1"/>
                            <w:sz w:val="11"/>
                            <w:shd w:fill="77923B" w:color="auto" w:val="clear"/>
                          </w:rPr>
                          <w:tab/>
                        </w:r>
                        <w:r>
                          <w:rPr>
                            <w:color w:val="000000"/>
                            <w:spacing w:val="-5"/>
                            <w:position w:val="1"/>
                            <w:sz w:val="11"/>
                            <w:shd w:fill="77923B" w:color="auto" w:val="clear"/>
                          </w:rPr>
                          <w:t>23</w:t>
                        </w:r>
                        <w:r>
                          <w:rPr>
                            <w:color w:val="000000"/>
                            <w:position w:val="1"/>
                            <w:sz w:val="11"/>
                            <w:shd w:fill="77923B" w:color="auto" w:val="clear"/>
                          </w:rPr>
                          <w:tab/>
                        </w:r>
                        <w:r>
                          <w:rPr>
                            <w:color w:val="000000"/>
                            <w:spacing w:val="80"/>
                            <w:position w:val="1"/>
                            <w:sz w:val="11"/>
                          </w:rPr>
                          <w:t> </w:t>
                        </w:r>
                        <w:r>
                          <w:rPr>
                            <w:color w:val="000000"/>
                            <w:position w:val="1"/>
                            <w:sz w:val="11"/>
                          </w:rPr>
                          <w:t>11</w:t>
                        </w:r>
                        <w:r>
                          <w:rPr>
                            <w:color w:val="000000"/>
                            <w:spacing w:val="71"/>
                            <w:position w:val="1"/>
                            <w:sz w:val="11"/>
                          </w:rPr>
                          <w:t> </w:t>
                        </w:r>
                        <w:r>
                          <w:rPr>
                            <w:color w:val="000000"/>
                            <w:spacing w:val="71"/>
                            <w:position w:val="1"/>
                            <w:sz w:val="11"/>
                            <w:shd w:fill="94B3D6" w:color="auto" w:val="clear"/>
                          </w:rPr>
                          <w:t> </w:t>
                        </w:r>
                        <w:r>
                          <w:rPr>
                            <w:color w:val="000000"/>
                            <w:position w:val="1"/>
                            <w:sz w:val="11"/>
                            <w:shd w:fill="94B3D6" w:color="auto" w:val="clear"/>
                          </w:rPr>
                          <w:t>10</w:t>
                        </w:r>
                        <w:r>
                          <w:rPr>
                            <w:color w:val="FFFFFF"/>
                            <w:spacing w:val="70"/>
                            <w:position w:val="1"/>
                            <w:sz w:val="11"/>
                            <w:shd w:fill="94B3D6" w:color="auto" w:val="clear"/>
                          </w:rPr>
                          <w:t>  </w:t>
                        </w:r>
                        <w:r>
                          <w:rPr>
                            <w:color w:val="FFFFFF"/>
                            <w:position w:val="1"/>
                            <w:sz w:val="11"/>
                            <w:shd w:fill="94B3D6" w:color="auto" w:val="clear"/>
                          </w:rPr>
                          <w:t>10</w:t>
                        </w:r>
                        <w:r>
                          <w:rPr>
                            <w:color w:val="000000"/>
                            <w:spacing w:val="70"/>
                            <w:position w:val="1"/>
                            <w:sz w:val="11"/>
                            <w:shd w:fill="94B3D6" w:color="auto" w:val="clear"/>
                          </w:rPr>
                          <w:t>  </w:t>
                        </w:r>
                        <w:r>
                          <w:rPr>
                            <w:color w:val="000000"/>
                            <w:position w:val="1"/>
                            <w:sz w:val="11"/>
                            <w:shd w:fill="94B3D6" w:color="auto" w:val="clear"/>
                          </w:rPr>
                          <w:t>8</w:t>
                        </w:r>
                        <w:r>
                          <w:rPr>
                            <w:color w:val="000000"/>
                            <w:spacing w:val="80"/>
                            <w:position w:val="1"/>
                            <w:sz w:val="11"/>
                            <w:shd w:fill="94B3D6" w:color="auto" w:val="clear"/>
                          </w:rPr>
                          <w:t> </w:t>
                        </w:r>
                      </w:p>
                    </w:tc>
                    <w:tc>
                      <w:tcPr>
                        <w:tcW w:w="476" w:type="dxa"/>
                        <w:shd w:val="clear" w:color="auto" w:fill="F1F1F1"/>
                      </w:tcPr>
                      <w:p>
                        <w:pPr>
                          <w:pStyle w:val="TableParagraph"/>
                          <w:spacing w:before="5"/>
                          <w:rPr>
                            <w:sz w:val="14"/>
                          </w:rPr>
                        </w:pPr>
                      </w:p>
                      <w:p>
                        <w:pPr>
                          <w:pStyle w:val="TableParagraph"/>
                          <w:spacing w:before="1"/>
                          <w:ind w:left="121"/>
                          <w:rPr>
                            <w:sz w:val="9"/>
                          </w:rPr>
                        </w:pPr>
                        <w:r>
                          <w:rPr>
                            <w:spacing w:val="-5"/>
                            <w:w w:val="105"/>
                            <w:sz w:val="9"/>
                          </w:rPr>
                          <w:t>61</w:t>
                        </w:r>
                      </w:p>
                    </w:tc>
                    <w:tc>
                      <w:tcPr>
                        <w:tcW w:w="631" w:type="dxa"/>
                        <w:shd w:val="clear" w:color="auto" w:fill="F1F1F1"/>
                      </w:tcPr>
                      <w:p>
                        <w:pPr>
                          <w:pStyle w:val="TableParagraph"/>
                          <w:spacing w:before="5"/>
                          <w:rPr>
                            <w:sz w:val="14"/>
                          </w:rPr>
                        </w:pPr>
                      </w:p>
                      <w:p>
                        <w:pPr>
                          <w:pStyle w:val="TableParagraph"/>
                          <w:spacing w:before="1"/>
                          <w:ind w:left="223" w:right="184"/>
                          <w:jc w:val="center"/>
                          <w:rPr>
                            <w:sz w:val="9"/>
                          </w:rPr>
                        </w:pPr>
                        <w:r>
                          <w:rPr>
                            <w:spacing w:val="-5"/>
                            <w:w w:val="105"/>
                            <w:sz w:val="9"/>
                          </w:rPr>
                          <w:t>+11</w:t>
                        </w:r>
                      </w:p>
                    </w:tc>
                  </w:tr>
                </w:tbl>
                <w:p>
                  <w:pPr>
                    <w:pStyle w:val="BodyText"/>
                  </w:pPr>
                </w:p>
              </w:txbxContent>
            </v:textbox>
            <w10:wrap type="none"/>
          </v:shape>
        </w:pict>
      </w:r>
      <w:r>
        <w:rPr/>
        <w:pict>
          <v:shape style="position:absolute;margin-left:470.966492pt;margin-top:48.052624pt;width:3.9pt;height:3.9pt;mso-position-horizontal-relative:page;mso-position-vertical-relative:paragraph;z-index:15781376" id="docshape230" coordorigin="9419,961" coordsize="78,78" path="m9497,1039l9419,1039,9458,961,9497,1039xe" filled="true" fillcolor="#666666" stroked="false">
            <v:path arrowok="t"/>
            <v:fill type="solid"/>
            <w10:wrap type="none"/>
          </v:shape>
        </w:pict>
      </w:r>
      <w:r>
        <w:rPr>
          <w:sz w:val="11"/>
        </w:rPr>
        <w:t>Explaining</w:t>
      </w:r>
      <w:r>
        <w:rPr>
          <w:spacing w:val="16"/>
          <w:sz w:val="11"/>
        </w:rPr>
        <w:t> </w:t>
      </w:r>
      <w:r>
        <w:rPr>
          <w:sz w:val="11"/>
        </w:rPr>
        <w:t>the</w:t>
      </w:r>
      <w:r>
        <w:rPr>
          <w:spacing w:val="-10"/>
          <w:sz w:val="11"/>
        </w:rPr>
        <w:t> </w:t>
      </w:r>
      <w:r>
        <w:rPr>
          <w:sz w:val="11"/>
        </w:rPr>
        <w:t>tribunal</w:t>
      </w:r>
      <w:r>
        <w:rPr>
          <w:spacing w:val="40"/>
          <w:sz w:val="11"/>
        </w:rPr>
        <w:t> </w:t>
      </w:r>
      <w:r>
        <w:rPr>
          <w:spacing w:val="-2"/>
          <w:sz w:val="11"/>
        </w:rPr>
        <w:t>proc</w:t>
      </w:r>
      <w:r>
        <w:rPr>
          <w:spacing w:val="-29"/>
          <w:sz w:val="11"/>
        </w:rPr>
        <w:t> </w:t>
      </w:r>
      <w:r>
        <w:rPr>
          <w:spacing w:val="-2"/>
          <w:sz w:val="11"/>
        </w:rPr>
        <w:t>ess</w:t>
      </w:r>
    </w:p>
    <w:p>
      <w:pPr>
        <w:spacing w:before="73"/>
        <w:ind w:left="688" w:right="0" w:firstLine="0"/>
        <w:jc w:val="left"/>
        <w:rPr>
          <w:sz w:val="9"/>
        </w:rPr>
      </w:pPr>
      <w:r>
        <w:rPr/>
        <w:br w:type="column"/>
      </w:r>
      <w:r>
        <w:rPr>
          <w:spacing w:val="-2"/>
          <w:w w:val="105"/>
          <w:sz w:val="9"/>
        </w:rPr>
        <w:t>Claimants</w:t>
      </w:r>
    </w:p>
    <w:p>
      <w:pPr>
        <w:spacing w:before="83"/>
        <w:ind w:left="688" w:right="0" w:firstLine="0"/>
        <w:jc w:val="left"/>
        <w:rPr>
          <w:sz w:val="9"/>
        </w:rPr>
      </w:pPr>
      <w:r>
        <w:rPr/>
        <w:pict>
          <v:shape style="position:absolute;margin-left:239.986984pt;margin-top:-5.319923pt;width:233.3pt;height:17.75pt;mso-position-horizontal-relative:page;mso-position-vertical-relative:paragraph;z-index:15780864" type="#_x0000_t202" id="docshape23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6"/>
                    <w:gridCol w:w="477"/>
                    <w:gridCol w:w="483"/>
                  </w:tblGrid>
                  <w:tr>
                    <w:trPr>
                      <w:trHeight w:val="176" w:hRule="atLeast"/>
                    </w:trPr>
                    <w:tc>
                      <w:tcPr>
                        <w:tcW w:w="3586" w:type="dxa"/>
                      </w:tcPr>
                      <w:p>
                        <w:pPr>
                          <w:pStyle w:val="TableParagraph"/>
                          <w:tabs>
                            <w:tab w:pos="822" w:val="left" w:leader="none"/>
                            <w:tab w:pos="1722" w:val="left" w:leader="none"/>
                            <w:tab w:pos="2051" w:val="left" w:leader="none"/>
                            <w:tab w:pos="2507" w:val="left" w:leader="none"/>
                          </w:tabs>
                          <w:spacing w:before="2"/>
                          <w:ind w:left="50"/>
                          <w:rPr>
                            <w:sz w:val="11"/>
                          </w:rPr>
                        </w:pPr>
                        <w:r>
                          <w:rPr>
                            <w:color w:val="FFFFFF"/>
                            <w:sz w:val="11"/>
                            <w:shd w:fill="77923B" w:color="auto" w:val="clear"/>
                          </w:rPr>
                          <w:tab/>
                        </w:r>
                        <w:r>
                          <w:rPr>
                            <w:color w:val="FFFFFF"/>
                            <w:spacing w:val="-5"/>
                            <w:sz w:val="11"/>
                            <w:shd w:fill="77923B" w:color="auto" w:val="clear"/>
                          </w:rPr>
                          <w:t>49</w:t>
                        </w:r>
                        <w:r>
                          <w:rPr>
                            <w:color w:val="FFFFFF"/>
                            <w:sz w:val="11"/>
                            <w:shd w:fill="77923B" w:color="auto" w:val="clear"/>
                          </w:rPr>
                          <w:tab/>
                        </w:r>
                        <w:r>
                          <w:rPr>
                            <w:color w:val="000000"/>
                            <w:sz w:val="11"/>
                            <w:shd w:fill="77923B" w:color="auto" w:val="clear"/>
                          </w:rPr>
                          <w:tab/>
                        </w:r>
                        <w:r>
                          <w:rPr>
                            <w:color w:val="000000"/>
                            <w:spacing w:val="-5"/>
                            <w:sz w:val="11"/>
                            <w:shd w:fill="77923B" w:color="auto" w:val="clear"/>
                          </w:rPr>
                          <w:t>23</w:t>
                        </w:r>
                        <w:r>
                          <w:rPr>
                            <w:color w:val="000000"/>
                            <w:sz w:val="11"/>
                            <w:shd w:fill="77923B" w:color="auto" w:val="clear"/>
                          </w:rPr>
                          <w:tab/>
                        </w:r>
                        <w:r>
                          <w:rPr>
                            <w:color w:val="000000"/>
                            <w:spacing w:val="78"/>
                            <w:sz w:val="11"/>
                            <w:shd w:fill="77923B" w:color="auto" w:val="clear"/>
                          </w:rPr>
                          <w:t> </w:t>
                        </w:r>
                        <w:r>
                          <w:rPr>
                            <w:color w:val="000000"/>
                            <w:sz w:val="11"/>
                            <w:shd w:fill="77923B" w:color="auto" w:val="clear"/>
                          </w:rPr>
                          <w:t>8</w:t>
                        </w:r>
                        <w:r>
                          <w:rPr>
                            <w:color w:val="000000"/>
                            <w:spacing w:val="40"/>
                            <w:sz w:val="11"/>
                            <w:shd w:fill="77923B" w:color="auto" w:val="clear"/>
                          </w:rPr>
                          <w:t>  </w:t>
                        </w:r>
                        <w:r>
                          <w:rPr>
                            <w:color w:val="000000"/>
                            <w:sz w:val="11"/>
                            <w:shd w:fill="77923B" w:color="auto" w:val="clear"/>
                          </w:rPr>
                          <w:t>6</w:t>
                        </w:r>
                        <w:r>
                          <w:rPr>
                            <w:color w:val="FFFFFF"/>
                            <w:spacing w:val="40"/>
                            <w:sz w:val="11"/>
                            <w:shd w:fill="77923B" w:color="auto" w:val="clear"/>
                          </w:rPr>
                          <w:t>  </w:t>
                        </w:r>
                        <w:r>
                          <w:rPr>
                            <w:color w:val="FFFFFF"/>
                            <w:sz w:val="11"/>
                            <w:shd w:fill="77923B" w:color="auto" w:val="clear"/>
                          </w:rPr>
                          <w:t>8</w:t>
                        </w:r>
                        <w:r>
                          <w:rPr>
                            <w:color w:val="000000"/>
                            <w:spacing w:val="40"/>
                            <w:sz w:val="11"/>
                            <w:shd w:fill="77923B" w:color="auto" w:val="clear"/>
                          </w:rPr>
                          <w:t>  </w:t>
                        </w:r>
                        <w:r>
                          <w:rPr>
                            <w:color w:val="000000"/>
                            <w:sz w:val="11"/>
                            <w:shd w:fill="77923B" w:color="auto" w:val="clear"/>
                          </w:rPr>
                          <w:t>6</w:t>
                        </w:r>
                        <w:r>
                          <w:rPr>
                            <w:color w:val="000000"/>
                            <w:spacing w:val="80"/>
                            <w:sz w:val="11"/>
                            <w:shd w:fill="77923B" w:color="auto" w:val="clear"/>
                          </w:rPr>
                          <w:t> </w:t>
                        </w:r>
                      </w:p>
                    </w:tc>
                    <w:tc>
                      <w:tcPr>
                        <w:tcW w:w="477" w:type="dxa"/>
                      </w:tcPr>
                      <w:p>
                        <w:pPr>
                          <w:pStyle w:val="TableParagraph"/>
                          <w:spacing w:before="45"/>
                          <w:ind w:left="121"/>
                          <w:rPr>
                            <w:sz w:val="9"/>
                          </w:rPr>
                        </w:pPr>
                        <w:r>
                          <w:rPr>
                            <w:spacing w:val="-5"/>
                            <w:w w:val="105"/>
                            <w:sz w:val="9"/>
                          </w:rPr>
                          <w:t>72</w:t>
                        </w:r>
                      </w:p>
                    </w:tc>
                    <w:tc>
                      <w:tcPr>
                        <w:tcW w:w="483" w:type="dxa"/>
                      </w:tcPr>
                      <w:p>
                        <w:pPr>
                          <w:pStyle w:val="TableParagraph"/>
                          <w:spacing w:before="45"/>
                          <w:ind w:right="74"/>
                          <w:jc w:val="right"/>
                          <w:rPr>
                            <w:sz w:val="9"/>
                          </w:rPr>
                        </w:pPr>
                        <w:r>
                          <w:rPr>
                            <w:spacing w:val="-5"/>
                            <w:w w:val="105"/>
                            <w:sz w:val="9"/>
                          </w:rPr>
                          <w:t>+4</w:t>
                        </w:r>
                      </w:p>
                    </w:tc>
                  </w:tr>
                  <w:tr>
                    <w:trPr>
                      <w:trHeight w:val="179" w:hRule="atLeast"/>
                    </w:trPr>
                    <w:tc>
                      <w:tcPr>
                        <w:tcW w:w="3586" w:type="dxa"/>
                      </w:tcPr>
                      <w:p>
                        <w:pPr>
                          <w:pStyle w:val="TableParagraph"/>
                          <w:tabs>
                            <w:tab w:pos="634" w:val="left" w:leader="none"/>
                            <w:tab w:pos="1351" w:val="left" w:leader="none"/>
                            <w:tab w:pos="2699" w:val="left" w:leader="none"/>
                            <w:tab w:pos="3464" w:val="left" w:leader="none"/>
                          </w:tabs>
                          <w:spacing w:before="22"/>
                          <w:ind w:left="50"/>
                          <w:rPr>
                            <w:sz w:val="11"/>
                          </w:rPr>
                        </w:pPr>
                        <w:r>
                          <w:rPr>
                            <w:color w:val="FFFFFF"/>
                            <w:sz w:val="11"/>
                            <w:shd w:fill="77923B" w:color="auto" w:val="clear"/>
                          </w:rPr>
                          <w:tab/>
                        </w:r>
                        <w:r>
                          <w:rPr>
                            <w:color w:val="FFFFFF"/>
                            <w:spacing w:val="-5"/>
                            <w:sz w:val="11"/>
                            <w:shd w:fill="77923B" w:color="auto" w:val="clear"/>
                          </w:rPr>
                          <w:t>38</w:t>
                        </w:r>
                        <w:r>
                          <w:rPr>
                            <w:color w:val="FFFFFF"/>
                            <w:sz w:val="11"/>
                            <w:shd w:fill="77923B" w:color="auto" w:val="clear"/>
                          </w:rPr>
                          <w:tab/>
                        </w:r>
                        <w:r>
                          <w:rPr>
                            <w:color w:val="000000"/>
                            <w:spacing w:val="40"/>
                            <w:sz w:val="11"/>
                            <w:shd w:fill="77923B" w:color="auto" w:val="clear"/>
                          </w:rPr>
                          <w:t> </w:t>
                        </w:r>
                        <w:r>
                          <w:rPr>
                            <w:color w:val="000000"/>
                            <w:sz w:val="11"/>
                            <w:shd w:fill="77923B" w:color="auto" w:val="clear"/>
                          </w:rPr>
                          <w:t>7</w:t>
                        </w:r>
                        <w:r>
                          <w:rPr>
                            <w:color w:val="000000"/>
                            <w:spacing w:val="61"/>
                            <w:sz w:val="11"/>
                            <w:shd w:fill="77923B" w:color="auto" w:val="clear"/>
                          </w:rPr>
                          <w:t>  </w:t>
                        </w:r>
                        <w:r>
                          <w:rPr>
                            <w:color w:val="000000"/>
                            <w:sz w:val="11"/>
                            <w:shd w:fill="77923B" w:color="auto" w:val="clear"/>
                          </w:rPr>
                          <w:t>10</w:t>
                        </w:r>
                        <w:r>
                          <w:rPr>
                            <w:color w:val="000000"/>
                            <w:spacing w:val="80"/>
                            <w:w w:val="150"/>
                            <w:sz w:val="11"/>
                            <w:shd w:fill="77923B" w:color="auto" w:val="clear"/>
                          </w:rPr>
                          <w:t> </w:t>
                        </w:r>
                        <w:r>
                          <w:rPr>
                            <w:color w:val="000000"/>
                            <w:sz w:val="11"/>
                            <w:shd w:fill="77923B" w:color="auto" w:val="clear"/>
                          </w:rPr>
                          <w:t>4</w:t>
                        </w:r>
                        <w:r>
                          <w:rPr>
                            <w:color w:val="000000"/>
                            <w:sz w:val="11"/>
                            <w:shd w:fill="77923B" w:color="auto" w:val="clear"/>
                          </w:rPr>
                          <w:tab/>
                        </w:r>
                        <w:r>
                          <w:rPr>
                            <w:color w:val="000000"/>
                            <w:spacing w:val="-5"/>
                            <w:sz w:val="11"/>
                            <w:shd w:fill="77923B" w:color="auto" w:val="clear"/>
                          </w:rPr>
                          <w:t>41</w:t>
                        </w:r>
                        <w:r>
                          <w:rPr>
                            <w:color w:val="000000"/>
                            <w:sz w:val="11"/>
                            <w:shd w:fill="77923B" w:color="auto" w:val="clear"/>
                          </w:rPr>
                          <w:tab/>
                        </w:r>
                      </w:p>
                    </w:tc>
                    <w:tc>
                      <w:tcPr>
                        <w:tcW w:w="477" w:type="dxa"/>
                      </w:tcPr>
                      <w:p>
                        <w:pPr>
                          <w:pStyle w:val="TableParagraph"/>
                          <w:spacing w:line="90" w:lineRule="exact" w:before="69"/>
                          <w:ind w:left="121"/>
                          <w:rPr>
                            <w:sz w:val="9"/>
                          </w:rPr>
                        </w:pPr>
                        <w:r>
                          <w:rPr>
                            <w:spacing w:val="-5"/>
                            <w:w w:val="105"/>
                            <w:sz w:val="9"/>
                          </w:rPr>
                          <w:t>45</w:t>
                        </w:r>
                      </w:p>
                    </w:tc>
                    <w:tc>
                      <w:tcPr>
                        <w:tcW w:w="483" w:type="dxa"/>
                      </w:tcPr>
                      <w:p>
                        <w:pPr>
                          <w:pStyle w:val="TableParagraph"/>
                          <w:spacing w:line="90" w:lineRule="exact" w:before="69"/>
                          <w:ind w:right="48"/>
                          <w:jc w:val="right"/>
                          <w:rPr>
                            <w:sz w:val="9"/>
                          </w:rPr>
                        </w:pPr>
                        <w:r>
                          <w:rPr>
                            <w:spacing w:val="-5"/>
                            <w:w w:val="105"/>
                            <w:sz w:val="9"/>
                          </w:rPr>
                          <w:t>+11</w:t>
                        </w:r>
                      </w:p>
                    </w:tc>
                  </w:tr>
                </w:tbl>
                <w:p>
                  <w:pPr>
                    <w:pStyle w:val="BodyText"/>
                  </w:pPr>
                </w:p>
              </w:txbxContent>
            </v:textbox>
            <w10:wrap type="none"/>
          </v:shape>
        </w:pict>
      </w:r>
      <w:r>
        <w:rPr>
          <w:w w:val="105"/>
          <w:sz w:val="9"/>
        </w:rPr>
        <w:t>Claimant</w:t>
      </w:r>
      <w:r>
        <w:rPr>
          <w:spacing w:val="-3"/>
          <w:w w:val="105"/>
          <w:sz w:val="9"/>
        </w:rPr>
        <w:t> </w:t>
      </w:r>
      <w:r>
        <w:rPr>
          <w:spacing w:val="-4"/>
          <w:w w:val="105"/>
          <w:sz w:val="9"/>
        </w:rPr>
        <w:t>reps</w:t>
      </w:r>
    </w:p>
    <w:p>
      <w:pPr>
        <w:spacing w:after="0"/>
        <w:jc w:val="left"/>
        <w:rPr>
          <w:sz w:val="9"/>
        </w:rPr>
        <w:sectPr>
          <w:type w:val="continuous"/>
          <w:pgSz w:w="11910" w:h="16840"/>
          <w:pgMar w:header="0" w:footer="996" w:top="560" w:bottom="280" w:left="460" w:right="320"/>
          <w:cols w:num="2" w:equalWidth="0">
            <w:col w:w="2903" w:space="40"/>
            <w:col w:w="8187"/>
          </w:cols>
        </w:sectPr>
      </w:pPr>
    </w:p>
    <w:p>
      <w:pPr>
        <w:pStyle w:val="BodyText"/>
        <w:spacing w:before="2"/>
        <w:rPr>
          <w:sz w:val="10"/>
        </w:rPr>
      </w:pPr>
    </w:p>
    <w:p>
      <w:pPr>
        <w:tabs>
          <w:tab w:pos="8959" w:val="left" w:leader="none"/>
        </w:tabs>
        <w:spacing w:line="137" w:lineRule="exact"/>
        <w:ind w:left="5751" w:right="0" w:firstLine="0"/>
        <w:rPr>
          <w:sz w:val="7"/>
        </w:rPr>
      </w:pPr>
      <w:r>
        <w:rPr>
          <w:position w:val="-1"/>
          <w:sz w:val="12"/>
        </w:rPr>
        <w:pict>
          <v:group style="width:5.2pt;height:6.5pt;mso-position-horizontal-relative:char;mso-position-vertical-relative:line" id="docshapegroup232" coordorigin="0,0" coordsize="104,130">
            <v:rect style="position:absolute;left:0;top:0;width:35;height:130" id="docshape233" filled="true" fillcolor="#94b3d6" stroked="false">
              <v:fill type="solid"/>
            </v:rect>
            <v:rect style="position:absolute;left:34;top:0;width:69;height:130" id="docshape234" filled="true" fillcolor="#0063c7" stroked="false">
              <v:fill type="solid"/>
            </v:rect>
          </v:group>
        </w:pict>
      </w:r>
      <w:r>
        <w:rPr>
          <w:position w:val="-1"/>
          <w:sz w:val="12"/>
        </w:rPr>
      </w:r>
      <w:r>
        <w:rPr>
          <w:position w:val="-1"/>
          <w:sz w:val="12"/>
        </w:rPr>
        <w:tab/>
      </w:r>
      <w:r>
        <w:rPr>
          <w:position w:val="-2"/>
          <w:sz w:val="7"/>
        </w:rPr>
        <w:pict>
          <v:group style="width:3.9pt;height:3.9pt;mso-position-horizontal-relative:char;mso-position-vertical-relative:line" id="docshapegroup235" coordorigin="0,0" coordsize="78,78">
            <v:shape style="position:absolute;left:0;top:0;width:78;height:78" id="docshape236" coordorigin="0,0" coordsize="78,78" path="m78,78l0,78,39,0,78,78xe" filled="true" fillcolor="#666666" stroked="false">
              <v:path arrowok="t"/>
              <v:fill type="solid"/>
            </v:shape>
          </v:group>
        </w:pict>
      </w:r>
      <w:r>
        <w:rPr>
          <w:position w:val="-2"/>
          <w:sz w:val="7"/>
        </w:rPr>
      </w:r>
    </w:p>
    <w:p>
      <w:pPr>
        <w:pStyle w:val="BodyText"/>
      </w:pPr>
    </w:p>
    <w:p>
      <w:pPr>
        <w:pStyle w:val="BodyText"/>
        <w:spacing w:before="8"/>
        <w:rPr>
          <w:sz w:val="16"/>
        </w:rPr>
      </w:pPr>
    </w:p>
    <w:tbl>
      <w:tblPr>
        <w:tblW w:w="0" w:type="auto"/>
        <w:jc w:val="left"/>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5"/>
        <w:gridCol w:w="3597"/>
        <w:gridCol w:w="477"/>
        <w:gridCol w:w="730"/>
      </w:tblGrid>
      <w:tr>
        <w:trPr>
          <w:trHeight w:val="186" w:hRule="atLeast"/>
        </w:trPr>
        <w:tc>
          <w:tcPr>
            <w:tcW w:w="2975" w:type="dxa"/>
            <w:shd w:val="clear" w:color="auto" w:fill="F1F1F1"/>
          </w:tcPr>
          <w:p>
            <w:pPr>
              <w:pStyle w:val="TableParagraph"/>
              <w:spacing w:line="51" w:lineRule="exact"/>
              <w:ind w:left="198"/>
              <w:rPr>
                <w:sz w:val="11"/>
              </w:rPr>
            </w:pPr>
            <w:r>
              <w:rPr>
                <w:sz w:val="11"/>
              </w:rPr>
              <w:t>Helping</w:t>
            </w:r>
            <w:r>
              <w:rPr>
                <w:spacing w:val="26"/>
                <w:sz w:val="11"/>
              </w:rPr>
              <w:t> </w:t>
            </w:r>
            <w:r>
              <w:rPr>
                <w:sz w:val="11"/>
              </w:rPr>
              <w:t>you</w:t>
            </w:r>
            <w:r>
              <w:rPr>
                <w:spacing w:val="1"/>
                <w:sz w:val="11"/>
              </w:rPr>
              <w:t> </w:t>
            </w:r>
            <w:r>
              <w:rPr>
                <w:sz w:val="11"/>
              </w:rPr>
              <w:t>understand</w:t>
            </w:r>
            <w:r>
              <w:rPr>
                <w:spacing w:val="18"/>
                <w:sz w:val="11"/>
              </w:rPr>
              <w:t> </w:t>
            </w:r>
            <w:r>
              <w:rPr>
                <w:spacing w:val="-5"/>
                <w:sz w:val="11"/>
              </w:rPr>
              <w:t>the</w:t>
            </w:r>
          </w:p>
          <w:p>
            <w:pPr>
              <w:pStyle w:val="TableParagraph"/>
              <w:spacing w:line="92" w:lineRule="exact"/>
              <w:ind w:left="2216"/>
              <w:rPr>
                <w:sz w:val="9"/>
              </w:rPr>
            </w:pPr>
            <w:r>
              <w:rPr>
                <w:w w:val="105"/>
                <w:sz w:val="9"/>
              </w:rPr>
              <w:t>Claimant</w:t>
            </w:r>
            <w:r>
              <w:rPr>
                <w:spacing w:val="-3"/>
                <w:w w:val="105"/>
                <w:sz w:val="9"/>
              </w:rPr>
              <w:t> </w:t>
            </w:r>
            <w:r>
              <w:rPr>
                <w:spacing w:val="-4"/>
                <w:w w:val="105"/>
                <w:sz w:val="9"/>
              </w:rPr>
              <w:t>reps</w:t>
            </w:r>
          </w:p>
        </w:tc>
        <w:tc>
          <w:tcPr>
            <w:tcW w:w="3597" w:type="dxa"/>
            <w:shd w:val="clear" w:color="auto" w:fill="F1F1F1"/>
          </w:tcPr>
          <w:p>
            <w:pPr>
              <w:pStyle w:val="TableParagraph"/>
              <w:tabs>
                <w:tab w:pos="508" w:val="left" w:leader="none"/>
                <w:tab w:pos="1086" w:val="left" w:leader="none"/>
                <w:tab w:pos="1344" w:val="left" w:leader="none"/>
                <w:tab w:pos="1732" w:val="left" w:leader="none"/>
                <w:tab w:pos="2829" w:val="left" w:leader="none"/>
                <w:tab w:pos="3474" w:val="left" w:leader="none"/>
              </w:tabs>
              <w:spacing w:before="2"/>
              <w:ind w:left="60"/>
              <w:rPr>
                <w:sz w:val="11"/>
              </w:rPr>
            </w:pPr>
            <w:r>
              <w:rPr>
                <w:color w:val="FFFFFF"/>
                <w:sz w:val="11"/>
                <w:shd w:fill="77923B" w:color="auto" w:val="clear"/>
              </w:rPr>
              <w:tab/>
            </w:r>
            <w:r>
              <w:rPr>
                <w:color w:val="FFFFFF"/>
                <w:spacing w:val="-5"/>
                <w:sz w:val="11"/>
                <w:shd w:fill="77923B" w:color="auto" w:val="clear"/>
              </w:rPr>
              <w:t>30</w:t>
            </w:r>
            <w:r>
              <w:rPr>
                <w:color w:val="FFFFFF"/>
                <w:sz w:val="11"/>
                <w:shd w:fill="77923B" w:color="auto" w:val="clear"/>
              </w:rPr>
              <w:tab/>
            </w:r>
            <w:r>
              <w:rPr>
                <w:color w:val="000000"/>
                <w:sz w:val="11"/>
                <w:shd w:fill="77923B" w:color="auto" w:val="clear"/>
              </w:rPr>
              <w:tab/>
            </w:r>
            <w:r>
              <w:rPr>
                <w:color w:val="000000"/>
                <w:spacing w:val="-5"/>
                <w:sz w:val="11"/>
                <w:shd w:fill="77923B" w:color="auto" w:val="clear"/>
              </w:rPr>
              <w:t>19</w:t>
            </w:r>
            <w:r>
              <w:rPr>
                <w:color w:val="000000"/>
                <w:sz w:val="11"/>
                <w:shd w:fill="77923B" w:color="auto" w:val="clear"/>
              </w:rPr>
              <w:tab/>
            </w:r>
            <w:r>
              <w:rPr>
                <w:color w:val="000000"/>
                <w:spacing w:val="80"/>
                <w:sz w:val="11"/>
              </w:rPr>
              <w:t> </w:t>
            </w:r>
            <w:r>
              <w:rPr>
                <w:color w:val="000000"/>
                <w:sz w:val="11"/>
              </w:rPr>
              <w:t>11</w:t>
            </w:r>
            <w:r>
              <w:rPr>
                <w:color w:val="000000"/>
                <w:spacing w:val="76"/>
                <w:sz w:val="11"/>
              </w:rPr>
              <w:t> </w:t>
            </w:r>
            <w:r>
              <w:rPr>
                <w:color w:val="000000"/>
                <w:spacing w:val="26"/>
                <w:sz w:val="11"/>
                <w:shd w:fill="94B3D6" w:color="auto" w:val="clear"/>
              </w:rPr>
              <w:t> </w:t>
            </w:r>
            <w:r>
              <w:rPr>
                <w:color w:val="000000"/>
                <w:sz w:val="11"/>
                <w:shd w:fill="94B3D6" w:color="auto" w:val="clear"/>
              </w:rPr>
              <w:t>5</w:t>
            </w:r>
            <w:r>
              <w:rPr>
                <w:color w:val="000000"/>
                <w:sz w:val="11"/>
                <w:shd w:fill="94B3D6" w:color="auto" w:val="clear"/>
              </w:rPr>
              <w:tab/>
            </w:r>
            <w:r>
              <w:rPr>
                <w:color w:val="000000"/>
                <w:spacing w:val="-5"/>
                <w:sz w:val="11"/>
                <w:shd w:fill="94B3D6" w:color="auto" w:val="clear"/>
              </w:rPr>
              <w:t>36</w:t>
            </w:r>
            <w:r>
              <w:rPr>
                <w:color w:val="000000"/>
                <w:sz w:val="11"/>
                <w:shd w:fill="94B3D6" w:color="auto" w:val="clear"/>
              </w:rPr>
              <w:tab/>
            </w:r>
          </w:p>
        </w:tc>
        <w:tc>
          <w:tcPr>
            <w:tcW w:w="477" w:type="dxa"/>
            <w:shd w:val="clear" w:color="auto" w:fill="F1F1F1"/>
          </w:tcPr>
          <w:p>
            <w:pPr>
              <w:pStyle w:val="TableParagraph"/>
              <w:spacing w:line="101" w:lineRule="exact" w:before="65"/>
              <w:ind w:left="120"/>
              <w:rPr>
                <w:sz w:val="9"/>
              </w:rPr>
            </w:pPr>
            <w:r>
              <w:rPr>
                <w:spacing w:val="-5"/>
                <w:w w:val="105"/>
                <w:sz w:val="9"/>
              </w:rPr>
              <w:t>48</w:t>
            </w:r>
          </w:p>
        </w:tc>
        <w:tc>
          <w:tcPr>
            <w:tcW w:w="730" w:type="dxa"/>
            <w:shd w:val="clear" w:color="auto" w:fill="F1F1F1"/>
          </w:tcPr>
          <w:p>
            <w:pPr>
              <w:pStyle w:val="TableParagraph"/>
              <w:spacing w:line="101" w:lineRule="exact" w:before="65"/>
              <w:ind w:right="296"/>
              <w:jc w:val="right"/>
              <w:rPr>
                <w:sz w:val="9"/>
              </w:rPr>
            </w:pPr>
            <w:r>
              <w:rPr>
                <w:spacing w:val="-5"/>
                <w:w w:val="105"/>
                <w:sz w:val="9"/>
              </w:rPr>
              <w:t>+17</w:t>
            </w:r>
          </w:p>
        </w:tc>
      </w:tr>
      <w:tr>
        <w:trPr>
          <w:trHeight w:val="198" w:hRule="atLeast"/>
        </w:trPr>
        <w:tc>
          <w:tcPr>
            <w:tcW w:w="2975" w:type="dxa"/>
            <w:shd w:val="clear" w:color="auto" w:fill="F1F1F1"/>
          </w:tcPr>
          <w:p>
            <w:pPr>
              <w:pStyle w:val="TableParagraph"/>
              <w:tabs>
                <w:tab w:pos="2216" w:val="left" w:leader="none"/>
              </w:tabs>
              <w:spacing w:before="24"/>
              <w:ind w:left="198"/>
              <w:rPr>
                <w:sz w:val="9"/>
              </w:rPr>
            </w:pPr>
            <w:r>
              <w:rPr>
                <w:sz w:val="11"/>
              </w:rPr>
              <w:t>of</w:t>
            </w:r>
            <w:r>
              <w:rPr>
                <w:spacing w:val="3"/>
                <w:sz w:val="11"/>
              </w:rPr>
              <w:t> </w:t>
            </w:r>
            <w:r>
              <w:rPr>
                <w:sz w:val="11"/>
              </w:rPr>
              <w:t>this</w:t>
            </w:r>
            <w:r>
              <w:rPr>
                <w:spacing w:val="22"/>
                <w:sz w:val="11"/>
              </w:rPr>
              <w:t> </w:t>
            </w:r>
            <w:r>
              <w:rPr>
                <w:sz w:val="11"/>
              </w:rPr>
              <w:t>potential</w:t>
            </w:r>
            <w:r>
              <w:rPr>
                <w:spacing w:val="4"/>
                <w:sz w:val="11"/>
              </w:rPr>
              <w:t> </w:t>
            </w:r>
            <w:r>
              <w:rPr>
                <w:spacing w:val="-2"/>
                <w:sz w:val="11"/>
              </w:rPr>
              <w:t>claim</w:t>
            </w:r>
            <w:r>
              <w:rPr>
                <w:sz w:val="11"/>
              </w:rPr>
              <w:tab/>
            </w:r>
            <w:r>
              <w:rPr>
                <w:spacing w:val="-2"/>
                <w:sz w:val="9"/>
              </w:rPr>
              <w:t>Employers</w:t>
            </w:r>
          </w:p>
        </w:tc>
        <w:tc>
          <w:tcPr>
            <w:tcW w:w="3597" w:type="dxa"/>
            <w:shd w:val="clear" w:color="auto" w:fill="F1F1F1"/>
          </w:tcPr>
          <w:p>
            <w:pPr>
              <w:pStyle w:val="TableParagraph"/>
              <w:tabs>
                <w:tab w:pos="474" w:val="left" w:leader="none"/>
                <w:tab w:pos="1017" w:val="left" w:leader="none"/>
                <w:tab w:pos="1603" w:val="left" w:leader="none"/>
                <w:tab w:pos="1805" w:val="left" w:leader="none"/>
                <w:tab w:pos="2146" w:val="left" w:leader="none"/>
                <w:tab w:pos="3085" w:val="left" w:leader="none"/>
                <w:tab w:pos="3474" w:val="left" w:leader="none"/>
              </w:tabs>
              <w:spacing w:before="12"/>
              <w:ind w:left="60"/>
              <w:rPr>
                <w:sz w:val="11"/>
              </w:rPr>
            </w:pPr>
            <w:r>
              <w:rPr>
                <w:color w:val="FFFFFF"/>
                <w:sz w:val="11"/>
                <w:shd w:fill="77923B" w:color="auto" w:val="clear"/>
              </w:rPr>
              <w:tab/>
            </w:r>
            <w:r>
              <w:rPr>
                <w:color w:val="FFFFFF"/>
                <w:spacing w:val="-5"/>
                <w:sz w:val="11"/>
                <w:shd w:fill="77923B" w:color="auto" w:val="clear"/>
              </w:rPr>
              <w:t>28</w:t>
            </w:r>
            <w:r>
              <w:rPr>
                <w:color w:val="FFFFFF"/>
                <w:sz w:val="11"/>
                <w:shd w:fill="77923B" w:color="auto" w:val="clear"/>
              </w:rPr>
              <w:tab/>
            </w:r>
            <w:r>
              <w:rPr>
                <w:color w:val="000000"/>
                <w:spacing w:val="40"/>
                <w:sz w:val="11"/>
                <w:shd w:fill="77923B" w:color="auto" w:val="clear"/>
              </w:rPr>
              <w:t>  </w:t>
            </w:r>
            <w:r>
              <w:rPr>
                <w:color w:val="000000"/>
                <w:sz w:val="11"/>
                <w:shd w:fill="77923B" w:color="auto" w:val="clear"/>
              </w:rPr>
              <w:t>17</w:t>
              <w:tab/>
            </w:r>
            <w:r>
              <w:rPr>
                <w:color w:val="000000"/>
                <w:sz w:val="11"/>
              </w:rPr>
              <w:tab/>
            </w:r>
            <w:r>
              <w:rPr>
                <w:color w:val="000000"/>
                <w:spacing w:val="-5"/>
                <w:sz w:val="11"/>
              </w:rPr>
              <w:t>16</w:t>
            </w:r>
            <w:r>
              <w:rPr>
                <w:color w:val="000000"/>
                <w:sz w:val="11"/>
              </w:rPr>
              <w:tab/>
            </w:r>
            <w:r>
              <w:rPr>
                <w:color w:val="000000"/>
                <w:spacing w:val="80"/>
                <w:sz w:val="11"/>
                <w:shd w:fill="94B3D6" w:color="auto" w:val="clear"/>
              </w:rPr>
              <w:t> </w:t>
            </w:r>
            <w:r>
              <w:rPr>
                <w:color w:val="000000"/>
                <w:sz w:val="11"/>
                <w:shd w:fill="94B3D6" w:color="auto" w:val="clear"/>
              </w:rPr>
              <w:t>8</w:t>
            </w:r>
            <w:r>
              <w:rPr>
                <w:color w:val="FFFFFF"/>
                <w:spacing w:val="80"/>
                <w:sz w:val="11"/>
                <w:shd w:fill="94B3D6" w:color="auto" w:val="clear"/>
              </w:rPr>
              <w:t>  </w:t>
            </w:r>
            <w:r>
              <w:rPr>
                <w:color w:val="FFFFFF"/>
                <w:sz w:val="11"/>
                <w:shd w:fill="94B3D6" w:color="auto" w:val="clear"/>
              </w:rPr>
              <w:t>12</w:t>
            </w:r>
            <w:r>
              <w:rPr>
                <w:color w:val="000000"/>
                <w:sz w:val="11"/>
                <w:shd w:fill="94B3D6" w:color="auto" w:val="clear"/>
              </w:rPr>
              <w:tab/>
            </w:r>
            <w:r>
              <w:rPr>
                <w:color w:val="000000"/>
                <w:spacing w:val="-5"/>
                <w:sz w:val="11"/>
                <w:shd w:fill="94B3D6" w:color="auto" w:val="clear"/>
              </w:rPr>
              <w:t>19</w:t>
            </w:r>
            <w:r>
              <w:rPr>
                <w:color w:val="000000"/>
                <w:sz w:val="11"/>
                <w:shd w:fill="94B3D6" w:color="auto" w:val="clear"/>
              </w:rPr>
              <w:tab/>
            </w:r>
          </w:p>
        </w:tc>
        <w:tc>
          <w:tcPr>
            <w:tcW w:w="477" w:type="dxa"/>
            <w:shd w:val="clear" w:color="auto" w:fill="F1F1F1"/>
          </w:tcPr>
          <w:p>
            <w:pPr>
              <w:pStyle w:val="TableParagraph"/>
              <w:spacing w:line="99" w:lineRule="exact" w:before="79"/>
              <w:ind w:left="120"/>
              <w:rPr>
                <w:sz w:val="9"/>
              </w:rPr>
            </w:pPr>
            <w:r>
              <w:rPr>
                <w:spacing w:val="-5"/>
                <w:w w:val="105"/>
                <w:sz w:val="9"/>
              </w:rPr>
              <w:t>45</w:t>
            </w:r>
          </w:p>
        </w:tc>
        <w:tc>
          <w:tcPr>
            <w:tcW w:w="730" w:type="dxa"/>
            <w:shd w:val="clear" w:color="auto" w:fill="F1F1F1"/>
          </w:tcPr>
          <w:p>
            <w:pPr>
              <w:pStyle w:val="TableParagraph"/>
              <w:spacing w:line="99" w:lineRule="exact" w:before="79"/>
              <w:ind w:right="339"/>
              <w:jc w:val="right"/>
              <w:rPr>
                <w:sz w:val="9"/>
              </w:rPr>
            </w:pPr>
            <w:r>
              <w:rPr>
                <w:w w:val="105"/>
                <w:sz w:val="9"/>
              </w:rPr>
              <w:t>-</w:t>
            </w:r>
            <w:r>
              <w:rPr>
                <w:spacing w:val="-10"/>
                <w:w w:val="105"/>
                <w:sz w:val="9"/>
              </w:rPr>
              <w:t>2</w:t>
            </w:r>
          </w:p>
        </w:tc>
      </w:tr>
      <w:tr>
        <w:trPr>
          <w:trHeight w:val="239" w:hRule="atLeast"/>
        </w:trPr>
        <w:tc>
          <w:tcPr>
            <w:tcW w:w="2975" w:type="dxa"/>
            <w:shd w:val="clear" w:color="auto" w:fill="F1F1F1"/>
          </w:tcPr>
          <w:p>
            <w:pPr>
              <w:pStyle w:val="TableParagraph"/>
              <w:spacing w:before="34"/>
              <w:ind w:right="59"/>
              <w:jc w:val="right"/>
              <w:rPr>
                <w:sz w:val="9"/>
              </w:rPr>
            </w:pPr>
            <w:r>
              <w:rPr>
                <w:w w:val="105"/>
                <w:sz w:val="9"/>
              </w:rPr>
              <w:t>Employer</w:t>
            </w:r>
            <w:r>
              <w:rPr>
                <w:spacing w:val="-3"/>
                <w:w w:val="105"/>
                <w:sz w:val="9"/>
              </w:rPr>
              <w:t> </w:t>
            </w:r>
            <w:r>
              <w:rPr>
                <w:spacing w:val="-4"/>
                <w:w w:val="105"/>
                <w:sz w:val="9"/>
              </w:rPr>
              <w:t>reps</w:t>
            </w:r>
          </w:p>
        </w:tc>
        <w:tc>
          <w:tcPr>
            <w:tcW w:w="3597" w:type="dxa"/>
          </w:tcPr>
          <w:p>
            <w:pPr>
              <w:pStyle w:val="TableParagraph"/>
              <w:tabs>
                <w:tab w:pos="2539" w:val="left" w:leader="none"/>
                <w:tab w:pos="3474" w:val="left" w:leader="none"/>
              </w:tabs>
              <w:spacing w:before="11"/>
              <w:ind w:left="60"/>
              <w:rPr>
                <w:sz w:val="11"/>
              </w:rPr>
            </w:pPr>
            <w:r>
              <w:rPr>
                <w:color w:val="FFFFFF"/>
                <w:spacing w:val="56"/>
                <w:sz w:val="11"/>
                <w:shd w:fill="77923B" w:color="auto" w:val="clear"/>
              </w:rPr>
              <w:t>  </w:t>
            </w:r>
            <w:r>
              <w:rPr>
                <w:color w:val="FFFFFF"/>
                <w:sz w:val="11"/>
                <w:shd w:fill="77923B" w:color="auto" w:val="clear"/>
              </w:rPr>
              <w:t>15</w:t>
            </w:r>
            <w:r>
              <w:rPr>
                <w:color w:val="000000"/>
                <w:spacing w:val="72"/>
                <w:sz w:val="11"/>
                <w:shd w:fill="77923B" w:color="auto" w:val="clear"/>
              </w:rPr>
              <w:t>   </w:t>
            </w:r>
            <w:r>
              <w:rPr>
                <w:color w:val="000000"/>
                <w:sz w:val="11"/>
                <w:shd w:fill="77923B" w:color="auto" w:val="clear"/>
              </w:rPr>
              <w:t>13</w:t>
            </w:r>
            <w:r>
              <w:rPr>
                <w:color w:val="000000"/>
                <w:spacing w:val="107"/>
                <w:sz w:val="11"/>
                <w:shd w:fill="77923B" w:color="auto" w:val="clear"/>
              </w:rPr>
              <w:t> </w:t>
            </w:r>
            <w:r>
              <w:rPr>
                <w:color w:val="000000"/>
                <w:spacing w:val="56"/>
                <w:sz w:val="11"/>
              </w:rPr>
              <w:t>  </w:t>
            </w:r>
            <w:r>
              <w:rPr>
                <w:color w:val="000000"/>
                <w:sz w:val="11"/>
              </w:rPr>
              <w:t>15</w:t>
            </w:r>
            <w:r>
              <w:rPr>
                <w:color w:val="000000"/>
                <w:spacing w:val="52"/>
                <w:sz w:val="11"/>
              </w:rPr>
              <w:t>  </w:t>
            </w:r>
            <w:r>
              <w:rPr>
                <w:color w:val="000000"/>
                <w:sz w:val="11"/>
              </w:rPr>
              <w:t>2</w:t>
            </w:r>
            <w:r>
              <w:rPr>
                <w:color w:val="FFFFFF"/>
                <w:spacing w:val="-7"/>
                <w:sz w:val="11"/>
                <w:shd w:fill="0063C7" w:color="auto" w:val="clear"/>
              </w:rPr>
              <w:t> </w:t>
            </w:r>
            <w:r>
              <w:rPr>
                <w:color w:val="FFFFFF"/>
                <w:spacing w:val="-10"/>
                <w:sz w:val="11"/>
                <w:shd w:fill="0063C7" w:color="auto" w:val="clear"/>
              </w:rPr>
              <w:t>4</w:t>
            </w:r>
            <w:r>
              <w:rPr>
                <w:color w:val="000000"/>
                <w:sz w:val="11"/>
                <w:shd w:fill="0063C7" w:color="auto" w:val="clear"/>
              </w:rPr>
              <w:tab/>
            </w:r>
            <w:r>
              <w:rPr>
                <w:color w:val="000000"/>
                <w:spacing w:val="-5"/>
                <w:sz w:val="11"/>
                <w:shd w:fill="0063C7" w:color="auto" w:val="clear"/>
              </w:rPr>
              <w:t>51</w:t>
            </w:r>
            <w:r>
              <w:rPr>
                <w:color w:val="000000"/>
                <w:sz w:val="11"/>
                <w:shd w:fill="0063C7" w:color="auto" w:val="clear"/>
              </w:rPr>
              <w:tab/>
            </w:r>
          </w:p>
        </w:tc>
        <w:tc>
          <w:tcPr>
            <w:tcW w:w="477" w:type="dxa"/>
            <w:shd w:val="clear" w:color="auto" w:fill="F1F1F1"/>
          </w:tcPr>
          <w:p>
            <w:pPr>
              <w:pStyle w:val="TableParagraph"/>
              <w:spacing w:before="80"/>
              <w:ind w:left="120"/>
              <w:rPr>
                <w:sz w:val="9"/>
              </w:rPr>
            </w:pPr>
            <w:r>
              <w:rPr>
                <w:spacing w:val="-5"/>
                <w:w w:val="105"/>
                <w:sz w:val="9"/>
              </w:rPr>
              <w:t>28</w:t>
            </w:r>
          </w:p>
        </w:tc>
        <w:tc>
          <w:tcPr>
            <w:tcW w:w="730" w:type="dxa"/>
            <w:shd w:val="clear" w:color="auto" w:fill="F1F1F1"/>
          </w:tcPr>
          <w:p>
            <w:pPr>
              <w:pStyle w:val="TableParagraph"/>
              <w:spacing w:before="80"/>
              <w:ind w:right="322"/>
              <w:jc w:val="right"/>
              <w:rPr>
                <w:sz w:val="9"/>
              </w:rPr>
            </w:pPr>
            <w:r>
              <w:rPr>
                <w:spacing w:val="-5"/>
                <w:w w:val="105"/>
                <w:sz w:val="9"/>
              </w:rPr>
              <w:t>+5</w:t>
            </w:r>
          </w:p>
        </w:tc>
      </w:tr>
    </w:tbl>
    <w:p>
      <w:pPr>
        <w:pStyle w:val="BodyText"/>
        <w:spacing w:before="9"/>
        <w:rPr>
          <w:sz w:val="5"/>
        </w:rPr>
      </w:pPr>
    </w:p>
    <w:p>
      <w:pPr>
        <w:spacing w:after="0"/>
        <w:rPr>
          <w:sz w:val="5"/>
        </w:rPr>
        <w:sectPr>
          <w:type w:val="continuous"/>
          <w:pgSz w:w="11910" w:h="16840"/>
          <w:pgMar w:header="0" w:footer="996" w:top="560" w:bottom="280" w:left="460" w:right="320"/>
        </w:sectPr>
      </w:pPr>
    </w:p>
    <w:p>
      <w:pPr>
        <w:spacing w:line="247" w:lineRule="auto" w:before="96"/>
        <w:ind w:left="1420" w:right="0" w:firstLine="0"/>
        <w:jc w:val="left"/>
        <w:rPr>
          <w:sz w:val="11"/>
        </w:rPr>
      </w:pPr>
      <w:r>
        <w:rPr/>
        <w:pict>
          <v:group style="position:absolute;margin-left:93.730209pt;margin-top:-47.415302pt;width:388.9pt;height:44pt;mso-position-horizontal-relative:page;mso-position-vertical-relative:paragraph;z-index:-18082816" id="docshapegroup237" coordorigin="1875,-948" coordsize="7778,880">
            <v:rect style="position:absolute;left:1874;top:-949;width:7778;height:880" id="docshape238" filled="true" fillcolor="#f1f1f1" stroked="false">
              <v:fill type="solid"/>
            </v:rect>
            <v:shape style="position:absolute;left:1874;top:-949;width:7778;height:880" type="#_x0000_t202" id="docshape239" filled="false" stroked="false">
              <v:textbox inset="0,0,0,0">
                <w:txbxContent>
                  <w:p>
                    <w:pPr>
                      <w:spacing w:line="240" w:lineRule="auto" w:before="0"/>
                      <w:rPr>
                        <w:sz w:val="14"/>
                      </w:rPr>
                    </w:pPr>
                  </w:p>
                  <w:p>
                    <w:pPr>
                      <w:spacing w:line="240" w:lineRule="auto" w:before="11"/>
                      <w:rPr>
                        <w:sz w:val="12"/>
                      </w:rPr>
                    </w:pPr>
                  </w:p>
                  <w:p>
                    <w:pPr>
                      <w:spacing w:before="1"/>
                      <w:ind w:left="198" w:right="0" w:firstLine="0"/>
                      <w:jc w:val="left"/>
                      <w:rPr>
                        <w:sz w:val="11"/>
                      </w:rPr>
                    </w:pPr>
                    <w:r>
                      <w:rPr>
                        <w:sz w:val="11"/>
                      </w:rPr>
                      <w:t>strengths</w:t>
                    </w:r>
                    <w:r>
                      <w:rPr>
                        <w:spacing w:val="12"/>
                        <w:sz w:val="11"/>
                      </w:rPr>
                      <w:t> </w:t>
                    </w:r>
                    <w:r>
                      <w:rPr>
                        <w:sz w:val="11"/>
                      </w:rPr>
                      <w:t>and</w:t>
                    </w:r>
                    <w:r>
                      <w:rPr>
                        <w:spacing w:val="19"/>
                        <w:sz w:val="11"/>
                      </w:rPr>
                      <w:t> </w:t>
                    </w:r>
                    <w:r>
                      <w:rPr>
                        <w:spacing w:val="-2"/>
                        <w:sz w:val="11"/>
                      </w:rPr>
                      <w:t>weaknesses</w:t>
                    </w:r>
                  </w:p>
                </w:txbxContent>
              </v:textbox>
              <w10:wrap type="none"/>
            </v:shape>
            <w10:wrap type="none"/>
          </v:group>
        </w:pict>
      </w:r>
      <w:r>
        <w:rPr/>
        <w:pict>
          <v:rect style="position:absolute;margin-left:319.209625pt;margin-top:-14.663564pt;width:3.449016pt;height:6.464336pt;mso-position-horizontal-relative:page;mso-position-vertical-relative:paragraph;z-index:-18080768" id="docshape240" filled="true" fillcolor="#94b3d6" stroked="false">
            <v:fill type="solid"/>
            <w10:wrap type="none"/>
          </v:rect>
        </w:pict>
      </w:r>
      <w:r>
        <w:rPr/>
        <w:pict>
          <v:shape style="position:absolute;margin-left:470.966492pt;margin-top:-31.038898pt;width:3.9pt;height:4.350pt;mso-position-horizontal-relative:page;mso-position-vertical-relative:paragraph;z-index:15781888" id="docshape241" coordorigin="9419,-621" coordsize="78,87" path="m9497,-535l9419,-535,9458,-621,9497,-535xe" filled="true" fillcolor="#666666" stroked="false">
            <v:path arrowok="t"/>
            <v:fill type="solid"/>
            <w10:wrap type="none"/>
          </v:shape>
        </w:pict>
      </w:r>
      <w:r>
        <w:rPr>
          <w:sz w:val="11"/>
        </w:rPr>
        <w:t>Unweighted base: All claimants,</w:t>
      </w:r>
      <w:r>
        <w:rPr>
          <w:spacing w:val="22"/>
          <w:sz w:val="11"/>
        </w:rPr>
        <w:t> </w:t>
      </w:r>
      <w:r>
        <w:rPr>
          <w:sz w:val="11"/>
        </w:rPr>
        <w:t>claimant</w:t>
      </w:r>
      <w:r>
        <w:rPr>
          <w:spacing w:val="27"/>
          <w:sz w:val="11"/>
        </w:rPr>
        <w:t> </w:t>
      </w:r>
      <w:r>
        <w:rPr>
          <w:sz w:val="11"/>
        </w:rPr>
        <w:t>reps, employers</w:t>
      </w:r>
      <w:r>
        <w:rPr>
          <w:spacing w:val="30"/>
          <w:sz w:val="11"/>
        </w:rPr>
        <w:t> </w:t>
      </w:r>
      <w:r>
        <w:rPr>
          <w:sz w:val="11"/>
        </w:rPr>
        <w:t>and employer</w:t>
      </w:r>
      <w:r>
        <w:rPr>
          <w:spacing w:val="23"/>
          <w:sz w:val="11"/>
        </w:rPr>
        <w:t> </w:t>
      </w:r>
      <w:r>
        <w:rPr>
          <w:sz w:val="11"/>
        </w:rPr>
        <w:t>reps</w:t>
      </w:r>
      <w:r>
        <w:rPr>
          <w:spacing w:val="40"/>
          <w:sz w:val="11"/>
        </w:rPr>
        <w:t> </w:t>
      </w:r>
      <w:r>
        <w:rPr>
          <w:sz w:val="11"/>
        </w:rPr>
        <w:t>who took part</w:t>
      </w:r>
      <w:r>
        <w:rPr>
          <w:spacing w:val="29"/>
          <w:sz w:val="11"/>
        </w:rPr>
        <w:t> </w:t>
      </w:r>
      <w:r>
        <w:rPr>
          <w:sz w:val="11"/>
        </w:rPr>
        <w:t>in</w:t>
      </w:r>
      <w:r>
        <w:rPr>
          <w:spacing w:val="27"/>
          <w:sz w:val="11"/>
        </w:rPr>
        <w:t> </w:t>
      </w:r>
      <w:r>
        <w:rPr>
          <w:sz w:val="11"/>
        </w:rPr>
        <w:t>post-ET1 conciliation</w:t>
      </w:r>
      <w:r>
        <w:rPr>
          <w:spacing w:val="27"/>
          <w:sz w:val="11"/>
        </w:rPr>
        <w:t> </w:t>
      </w:r>
      <w:r>
        <w:rPr>
          <w:sz w:val="11"/>
        </w:rPr>
        <w:t>(198,</w:t>
      </w:r>
      <w:r>
        <w:rPr>
          <w:spacing w:val="33"/>
          <w:sz w:val="11"/>
        </w:rPr>
        <w:t> </w:t>
      </w:r>
      <w:r>
        <w:rPr>
          <w:sz w:val="11"/>
        </w:rPr>
        <w:t>59, 117,</w:t>
      </w:r>
      <w:r>
        <w:rPr>
          <w:spacing w:val="33"/>
          <w:sz w:val="11"/>
        </w:rPr>
        <w:t> </w:t>
      </w:r>
      <w:r>
        <w:rPr>
          <w:sz w:val="11"/>
        </w:rPr>
        <w:t>147)</w:t>
      </w:r>
    </w:p>
    <w:p>
      <w:pPr>
        <w:spacing w:before="99"/>
        <w:ind w:left="696" w:right="0" w:firstLine="0"/>
        <w:jc w:val="left"/>
        <w:rPr>
          <w:sz w:val="11"/>
        </w:rPr>
      </w:pPr>
      <w:r>
        <w:rPr/>
        <w:br w:type="column"/>
      </w:r>
      <w:r>
        <w:rPr>
          <w:sz w:val="11"/>
        </w:rPr>
        <w:t>Statistically</w:t>
      </w:r>
      <w:r>
        <w:rPr>
          <w:spacing w:val="6"/>
          <w:sz w:val="11"/>
        </w:rPr>
        <w:t> </w:t>
      </w:r>
      <w:r>
        <w:rPr>
          <w:sz w:val="11"/>
        </w:rPr>
        <w:t>significant</w:t>
      </w:r>
      <w:r>
        <w:rPr>
          <w:spacing w:val="31"/>
          <w:sz w:val="11"/>
        </w:rPr>
        <w:t> </w:t>
      </w:r>
      <w:r>
        <w:rPr>
          <w:sz w:val="11"/>
        </w:rPr>
        <w:t>difference</w:t>
      </w:r>
      <w:r>
        <w:rPr>
          <w:spacing w:val="16"/>
          <w:sz w:val="11"/>
        </w:rPr>
        <w:t> </w:t>
      </w:r>
      <w:r>
        <w:rPr>
          <w:sz w:val="11"/>
        </w:rPr>
        <w:t>since</w:t>
      </w:r>
      <w:r>
        <w:rPr>
          <w:spacing w:val="16"/>
          <w:sz w:val="11"/>
        </w:rPr>
        <w:t> </w:t>
      </w:r>
      <w:r>
        <w:rPr>
          <w:spacing w:val="-4"/>
          <w:sz w:val="11"/>
        </w:rPr>
        <w:t>2016</w:t>
      </w:r>
    </w:p>
    <w:p>
      <w:pPr>
        <w:spacing w:after="0"/>
        <w:jc w:val="left"/>
        <w:rPr>
          <w:sz w:val="11"/>
        </w:rPr>
        <w:sectPr>
          <w:type w:val="continuous"/>
          <w:pgSz w:w="11910" w:h="16840"/>
          <w:pgMar w:header="0" w:footer="996" w:top="560" w:bottom="280" w:left="460" w:right="320"/>
          <w:cols w:num="2" w:equalWidth="0">
            <w:col w:w="5903" w:space="40"/>
            <w:col w:w="5187"/>
          </w:cols>
        </w:sectPr>
      </w:pPr>
    </w:p>
    <w:p>
      <w:pPr>
        <w:pStyle w:val="BodyText"/>
        <w:spacing w:before="3"/>
        <w:rPr>
          <w:sz w:val="17"/>
        </w:rPr>
      </w:pPr>
    </w:p>
    <w:p>
      <w:pPr>
        <w:pStyle w:val="BodyText"/>
        <w:spacing w:before="101"/>
        <w:ind w:left="1337" w:right="1475"/>
        <w:jc w:val="both"/>
      </w:pPr>
      <w:r>
        <w:rPr/>
        <w:pict>
          <v:shape style="position:absolute;margin-left:345.508026pt;margin-top:-22.599121pt;width:7.8pt;height:3.9pt;mso-position-horizontal-relative:page;mso-position-vertical-relative:paragraph;z-index:15773696" id="docshape242" coordorigin="6910,-452" coordsize="156,78" path="m6988,-374l6949,-452,6910,-374,6988,-374xm7065,-452l6979,-452,7022,-374,7065,-452xe" filled="true" fillcolor="#666666" stroked="false">
            <v:path arrowok="t"/>
            <v:fill type="solid"/>
            <w10:wrap type="none"/>
          </v:shape>
        </w:pict>
      </w:r>
      <w:r>
        <w:rPr/>
        <w:t>As in 2016, there were a handful of significant differences among subgroups of </w:t>
      </w:r>
      <w:r>
        <w:rPr>
          <w:spacing w:val="-2"/>
        </w:rPr>
        <w:t>interest:</w:t>
      </w:r>
    </w:p>
    <w:p>
      <w:pPr>
        <w:pStyle w:val="ListParagraph"/>
        <w:numPr>
          <w:ilvl w:val="0"/>
          <w:numId w:val="40"/>
        </w:numPr>
        <w:tabs>
          <w:tab w:pos="2058" w:val="left" w:leader="none"/>
        </w:tabs>
        <w:spacing w:line="240" w:lineRule="auto" w:before="0" w:after="0"/>
        <w:ind w:left="2057" w:right="1473" w:hanging="360"/>
        <w:jc w:val="both"/>
        <w:rPr>
          <w:sz w:val="20"/>
        </w:rPr>
      </w:pPr>
      <w:r>
        <w:rPr>
          <w:sz w:val="20"/>
        </w:rPr>
        <w:t>Claimant-side participants involved in fast or standard track cases were more</w:t>
      </w:r>
      <w:r>
        <w:rPr>
          <w:spacing w:val="-12"/>
          <w:sz w:val="20"/>
        </w:rPr>
        <w:t> </w:t>
      </w:r>
      <w:r>
        <w:rPr>
          <w:sz w:val="20"/>
        </w:rPr>
        <w:t>likely</w:t>
      </w:r>
      <w:r>
        <w:rPr>
          <w:spacing w:val="-11"/>
          <w:sz w:val="20"/>
        </w:rPr>
        <w:t> </w:t>
      </w:r>
      <w:r>
        <w:rPr>
          <w:sz w:val="20"/>
        </w:rPr>
        <w:t>than</w:t>
      </w:r>
      <w:r>
        <w:rPr>
          <w:spacing w:val="-12"/>
          <w:sz w:val="20"/>
        </w:rPr>
        <w:t> </w:t>
      </w:r>
      <w:r>
        <w:rPr>
          <w:sz w:val="20"/>
        </w:rPr>
        <w:t>those</w:t>
      </w:r>
      <w:r>
        <w:rPr>
          <w:spacing w:val="-12"/>
          <w:sz w:val="20"/>
        </w:rPr>
        <w:t> </w:t>
      </w:r>
      <w:r>
        <w:rPr>
          <w:sz w:val="20"/>
        </w:rPr>
        <w:t>involved</w:t>
      </w:r>
      <w:r>
        <w:rPr>
          <w:spacing w:val="-11"/>
          <w:sz w:val="20"/>
        </w:rPr>
        <w:t> </w:t>
      </w:r>
      <w:r>
        <w:rPr>
          <w:sz w:val="20"/>
        </w:rPr>
        <w:t>in</w:t>
      </w:r>
      <w:r>
        <w:rPr>
          <w:spacing w:val="-11"/>
          <w:sz w:val="20"/>
        </w:rPr>
        <w:t> </w:t>
      </w:r>
      <w:r>
        <w:rPr>
          <w:sz w:val="20"/>
        </w:rPr>
        <w:t>open</w:t>
      </w:r>
      <w:r>
        <w:rPr>
          <w:spacing w:val="-11"/>
          <w:sz w:val="20"/>
        </w:rPr>
        <w:t> </w:t>
      </w:r>
      <w:r>
        <w:rPr>
          <w:sz w:val="20"/>
        </w:rPr>
        <w:t>track</w:t>
      </w:r>
      <w:r>
        <w:rPr>
          <w:spacing w:val="-12"/>
          <w:sz w:val="20"/>
        </w:rPr>
        <w:t> </w:t>
      </w:r>
      <w:r>
        <w:rPr>
          <w:sz w:val="20"/>
        </w:rPr>
        <w:t>disputes</w:t>
      </w:r>
      <w:r>
        <w:rPr>
          <w:spacing w:val="-13"/>
          <w:sz w:val="20"/>
        </w:rPr>
        <w:t> </w:t>
      </w:r>
      <w:r>
        <w:rPr>
          <w:sz w:val="20"/>
        </w:rPr>
        <w:t>to</w:t>
      </w:r>
      <w:r>
        <w:rPr>
          <w:spacing w:val="-13"/>
          <w:sz w:val="20"/>
        </w:rPr>
        <w:t> </w:t>
      </w:r>
      <w:r>
        <w:rPr>
          <w:sz w:val="20"/>
        </w:rPr>
        <w:t>rate</w:t>
      </w:r>
      <w:r>
        <w:rPr>
          <w:spacing w:val="-12"/>
          <w:sz w:val="20"/>
        </w:rPr>
        <w:t> </w:t>
      </w:r>
      <w:r>
        <w:rPr>
          <w:sz w:val="20"/>
        </w:rPr>
        <w:t>the</w:t>
      </w:r>
      <w:r>
        <w:rPr>
          <w:spacing w:val="-12"/>
          <w:sz w:val="20"/>
        </w:rPr>
        <w:t> </w:t>
      </w:r>
      <w:r>
        <w:rPr>
          <w:sz w:val="20"/>
        </w:rPr>
        <w:t>conciliator as good across most metrics. There was little significant difference across track on the employer side, with the exception of ‘helping you understand the strengths and weaknesses of this potential claim’ where employer-side participants involved in standard track cases were more likely to rate the conciliator as good than those involved in open or fast track cases.</w:t>
      </w:r>
    </w:p>
    <w:p>
      <w:pPr>
        <w:pStyle w:val="ListParagraph"/>
        <w:numPr>
          <w:ilvl w:val="0"/>
          <w:numId w:val="40"/>
        </w:numPr>
        <w:tabs>
          <w:tab w:pos="2058" w:val="left" w:leader="none"/>
        </w:tabs>
        <w:spacing w:line="240" w:lineRule="auto" w:before="0" w:after="0"/>
        <w:ind w:left="2057" w:right="1474" w:hanging="360"/>
        <w:jc w:val="both"/>
        <w:rPr>
          <w:sz w:val="20"/>
        </w:rPr>
      </w:pPr>
      <w:r>
        <w:rPr>
          <w:sz w:val="20"/>
        </w:rPr>
        <w:t>Participants involved in cases that were settled following post-ET1 conciliation were more likely to rate the conciliator as good at ‘helping you understand the strengths and weaknesses of this potential claim’.</w:t>
      </w:r>
    </w:p>
    <w:p>
      <w:pPr>
        <w:pStyle w:val="ListParagraph"/>
        <w:numPr>
          <w:ilvl w:val="0"/>
          <w:numId w:val="40"/>
        </w:numPr>
        <w:tabs>
          <w:tab w:pos="2058" w:val="left" w:leader="none"/>
        </w:tabs>
        <w:spacing w:line="237" w:lineRule="auto" w:before="0" w:after="0"/>
        <w:ind w:left="2057" w:right="1474" w:hanging="360"/>
        <w:jc w:val="both"/>
        <w:rPr>
          <w:sz w:val="20"/>
        </w:rPr>
      </w:pPr>
      <w:r>
        <w:rPr>
          <w:sz w:val="20"/>
        </w:rPr>
        <w:t>Participation</w:t>
      </w:r>
      <w:r>
        <w:rPr>
          <w:spacing w:val="-8"/>
          <w:sz w:val="20"/>
        </w:rPr>
        <w:t> </w:t>
      </w:r>
      <w:r>
        <w:rPr>
          <w:sz w:val="20"/>
        </w:rPr>
        <w:t>in</w:t>
      </w:r>
      <w:r>
        <w:rPr>
          <w:spacing w:val="-8"/>
          <w:sz w:val="20"/>
        </w:rPr>
        <w:t> </w:t>
      </w:r>
      <w:r>
        <w:rPr>
          <w:sz w:val="20"/>
        </w:rPr>
        <w:t>EC</w:t>
      </w:r>
      <w:r>
        <w:rPr>
          <w:spacing w:val="-8"/>
          <w:sz w:val="20"/>
        </w:rPr>
        <w:t> </w:t>
      </w:r>
      <w:r>
        <w:rPr>
          <w:sz w:val="20"/>
        </w:rPr>
        <w:t>earlier</w:t>
      </w:r>
      <w:r>
        <w:rPr>
          <w:spacing w:val="-8"/>
          <w:sz w:val="20"/>
        </w:rPr>
        <w:t> </w:t>
      </w:r>
      <w:r>
        <w:rPr>
          <w:sz w:val="20"/>
        </w:rPr>
        <w:t>in</w:t>
      </w:r>
      <w:r>
        <w:rPr>
          <w:spacing w:val="-8"/>
          <w:sz w:val="20"/>
        </w:rPr>
        <w:t> </w:t>
      </w:r>
      <w:r>
        <w:rPr>
          <w:sz w:val="20"/>
        </w:rPr>
        <w:t>the</w:t>
      </w:r>
      <w:r>
        <w:rPr>
          <w:spacing w:val="-8"/>
          <w:sz w:val="20"/>
        </w:rPr>
        <w:t> </w:t>
      </w:r>
      <w:r>
        <w:rPr>
          <w:sz w:val="20"/>
        </w:rPr>
        <w:t>dispute</w:t>
      </w:r>
      <w:r>
        <w:rPr>
          <w:spacing w:val="-9"/>
          <w:sz w:val="20"/>
        </w:rPr>
        <w:t> </w:t>
      </w:r>
      <w:r>
        <w:rPr>
          <w:sz w:val="20"/>
        </w:rPr>
        <w:t>did</w:t>
      </w:r>
      <w:r>
        <w:rPr>
          <w:spacing w:val="-8"/>
          <w:sz w:val="20"/>
        </w:rPr>
        <w:t> </w:t>
      </w:r>
      <w:r>
        <w:rPr>
          <w:sz w:val="20"/>
        </w:rPr>
        <w:t>not</w:t>
      </w:r>
      <w:r>
        <w:rPr>
          <w:spacing w:val="-9"/>
          <w:sz w:val="20"/>
        </w:rPr>
        <w:t> </w:t>
      </w:r>
      <w:r>
        <w:rPr>
          <w:sz w:val="20"/>
        </w:rPr>
        <w:t>have</w:t>
      </w:r>
      <w:r>
        <w:rPr>
          <w:spacing w:val="-9"/>
          <w:sz w:val="20"/>
        </w:rPr>
        <w:t> </w:t>
      </w:r>
      <w:r>
        <w:rPr>
          <w:sz w:val="20"/>
        </w:rPr>
        <w:t>a</w:t>
      </w:r>
      <w:r>
        <w:rPr>
          <w:spacing w:val="-8"/>
          <w:sz w:val="20"/>
        </w:rPr>
        <w:t> </w:t>
      </w:r>
      <w:r>
        <w:rPr>
          <w:sz w:val="20"/>
        </w:rPr>
        <w:t>signficiant</w:t>
      </w:r>
      <w:r>
        <w:rPr>
          <w:spacing w:val="-8"/>
          <w:sz w:val="20"/>
        </w:rPr>
        <w:t> </w:t>
      </w:r>
      <w:r>
        <w:rPr>
          <w:sz w:val="20"/>
        </w:rPr>
        <w:t>impact</w:t>
      </w:r>
      <w:r>
        <w:rPr>
          <w:spacing w:val="-8"/>
          <w:sz w:val="20"/>
        </w:rPr>
        <w:t> </w:t>
      </w:r>
      <w:r>
        <w:rPr>
          <w:sz w:val="20"/>
        </w:rPr>
        <w:t>on participant assessments of the conciliator</w:t>
      </w:r>
    </w:p>
    <w:p>
      <w:pPr>
        <w:pStyle w:val="ListParagraph"/>
        <w:numPr>
          <w:ilvl w:val="0"/>
          <w:numId w:val="40"/>
        </w:numPr>
        <w:tabs>
          <w:tab w:pos="2057" w:val="left" w:leader="none"/>
        </w:tabs>
        <w:spacing w:line="240" w:lineRule="auto" w:before="0" w:after="0"/>
        <w:ind w:left="2056" w:right="1474" w:hanging="360"/>
        <w:jc w:val="both"/>
        <w:rPr>
          <w:sz w:val="20"/>
        </w:rPr>
      </w:pPr>
      <w:r>
        <w:rPr>
          <w:sz w:val="20"/>
        </w:rPr>
        <w:t>When</w:t>
      </w:r>
      <w:r>
        <w:rPr>
          <w:spacing w:val="-17"/>
          <w:sz w:val="20"/>
        </w:rPr>
        <w:t> </w:t>
      </w:r>
      <w:r>
        <w:rPr>
          <w:sz w:val="20"/>
        </w:rPr>
        <w:t>comparing</w:t>
      </w:r>
      <w:r>
        <w:rPr>
          <w:spacing w:val="-17"/>
          <w:sz w:val="20"/>
        </w:rPr>
        <w:t> </w:t>
      </w:r>
      <w:r>
        <w:rPr>
          <w:sz w:val="20"/>
        </w:rPr>
        <w:t>across</w:t>
      </w:r>
      <w:r>
        <w:rPr>
          <w:spacing w:val="-17"/>
          <w:sz w:val="20"/>
        </w:rPr>
        <w:t> </w:t>
      </w:r>
      <w:r>
        <w:rPr>
          <w:sz w:val="20"/>
        </w:rPr>
        <w:t>surveys,</w:t>
      </w:r>
      <w:r>
        <w:rPr>
          <w:spacing w:val="-17"/>
          <w:sz w:val="20"/>
        </w:rPr>
        <w:t> </w:t>
      </w:r>
      <w:r>
        <w:rPr>
          <w:sz w:val="20"/>
        </w:rPr>
        <w:t>it</w:t>
      </w:r>
      <w:r>
        <w:rPr>
          <w:spacing w:val="-17"/>
          <w:sz w:val="20"/>
        </w:rPr>
        <w:t> </w:t>
      </w:r>
      <w:r>
        <w:rPr>
          <w:sz w:val="20"/>
        </w:rPr>
        <w:t>is</w:t>
      </w:r>
      <w:r>
        <w:rPr>
          <w:spacing w:val="-17"/>
          <w:sz w:val="20"/>
        </w:rPr>
        <w:t> </w:t>
      </w:r>
      <w:r>
        <w:rPr>
          <w:sz w:val="20"/>
        </w:rPr>
        <w:t>notable</w:t>
      </w:r>
      <w:r>
        <w:rPr>
          <w:spacing w:val="-18"/>
          <w:sz w:val="20"/>
        </w:rPr>
        <w:t> </w:t>
      </w:r>
      <w:r>
        <w:rPr>
          <w:sz w:val="20"/>
        </w:rPr>
        <w:t>that</w:t>
      </w:r>
      <w:r>
        <w:rPr>
          <w:spacing w:val="-17"/>
          <w:sz w:val="20"/>
        </w:rPr>
        <w:t> </w:t>
      </w:r>
      <w:r>
        <w:rPr>
          <w:sz w:val="20"/>
        </w:rPr>
        <w:t>while</w:t>
      </w:r>
      <w:r>
        <w:rPr>
          <w:spacing w:val="-18"/>
          <w:sz w:val="20"/>
        </w:rPr>
        <w:t> </w:t>
      </w:r>
      <w:r>
        <w:rPr>
          <w:sz w:val="20"/>
        </w:rPr>
        <w:t>ratings</w:t>
      </w:r>
      <w:r>
        <w:rPr>
          <w:spacing w:val="-16"/>
          <w:sz w:val="20"/>
        </w:rPr>
        <w:t> </w:t>
      </w:r>
      <w:r>
        <w:rPr>
          <w:sz w:val="20"/>
        </w:rPr>
        <w:t>for</w:t>
      </w:r>
      <w:r>
        <w:rPr>
          <w:spacing w:val="-18"/>
          <w:sz w:val="20"/>
        </w:rPr>
        <w:t> </w:t>
      </w:r>
      <w:r>
        <w:rPr>
          <w:sz w:val="20"/>
        </w:rPr>
        <w:t>‘outlining the</w:t>
      </w:r>
      <w:r>
        <w:rPr>
          <w:spacing w:val="-8"/>
          <w:sz w:val="20"/>
        </w:rPr>
        <w:t> </w:t>
      </w:r>
      <w:r>
        <w:rPr>
          <w:sz w:val="20"/>
        </w:rPr>
        <w:t>employment</w:t>
      </w:r>
      <w:r>
        <w:rPr>
          <w:spacing w:val="-8"/>
          <w:sz w:val="20"/>
        </w:rPr>
        <w:t> </w:t>
      </w:r>
      <w:r>
        <w:rPr>
          <w:sz w:val="20"/>
        </w:rPr>
        <w:t>law</w:t>
      </w:r>
      <w:r>
        <w:rPr>
          <w:spacing w:val="-7"/>
          <w:sz w:val="20"/>
        </w:rPr>
        <w:t> </w:t>
      </w:r>
      <w:r>
        <w:rPr>
          <w:sz w:val="20"/>
        </w:rPr>
        <w:t>as</w:t>
      </w:r>
      <w:r>
        <w:rPr>
          <w:spacing w:val="-9"/>
          <w:sz w:val="20"/>
        </w:rPr>
        <w:t> </w:t>
      </w:r>
      <w:r>
        <w:rPr>
          <w:sz w:val="20"/>
        </w:rPr>
        <w:t>it</w:t>
      </w:r>
      <w:r>
        <w:rPr>
          <w:spacing w:val="-8"/>
          <w:sz w:val="20"/>
        </w:rPr>
        <w:t> </w:t>
      </w:r>
      <w:r>
        <w:rPr>
          <w:sz w:val="20"/>
        </w:rPr>
        <w:t>applies</w:t>
      </w:r>
      <w:r>
        <w:rPr>
          <w:spacing w:val="-8"/>
          <w:sz w:val="20"/>
        </w:rPr>
        <w:t> </w:t>
      </w:r>
      <w:r>
        <w:rPr>
          <w:sz w:val="20"/>
        </w:rPr>
        <w:t>to</w:t>
      </w:r>
      <w:r>
        <w:rPr>
          <w:spacing w:val="-8"/>
          <w:sz w:val="20"/>
        </w:rPr>
        <w:t> </w:t>
      </w:r>
      <w:r>
        <w:rPr>
          <w:sz w:val="20"/>
        </w:rPr>
        <w:t>your</w:t>
      </w:r>
      <w:r>
        <w:rPr>
          <w:spacing w:val="-9"/>
          <w:sz w:val="20"/>
        </w:rPr>
        <w:t> </w:t>
      </w:r>
      <w:r>
        <w:rPr>
          <w:sz w:val="20"/>
        </w:rPr>
        <w:t>case’</w:t>
      </w:r>
      <w:r>
        <w:rPr>
          <w:spacing w:val="-9"/>
          <w:sz w:val="20"/>
        </w:rPr>
        <w:t> </w:t>
      </w:r>
      <w:r>
        <w:rPr>
          <w:sz w:val="20"/>
        </w:rPr>
        <w:t>have</w:t>
      </w:r>
      <w:r>
        <w:rPr>
          <w:spacing w:val="-9"/>
          <w:sz w:val="20"/>
        </w:rPr>
        <w:t> </w:t>
      </w:r>
      <w:r>
        <w:rPr>
          <w:sz w:val="20"/>
        </w:rPr>
        <w:t>fallen</w:t>
      </w:r>
      <w:r>
        <w:rPr>
          <w:spacing w:val="-7"/>
          <w:sz w:val="20"/>
        </w:rPr>
        <w:t> </w:t>
      </w:r>
      <w:r>
        <w:rPr>
          <w:sz w:val="20"/>
        </w:rPr>
        <w:t>in</w:t>
      </w:r>
      <w:r>
        <w:rPr>
          <w:spacing w:val="-7"/>
          <w:sz w:val="20"/>
        </w:rPr>
        <w:t> </w:t>
      </w:r>
      <w:r>
        <w:rPr>
          <w:sz w:val="20"/>
        </w:rPr>
        <w:t>the</w:t>
      </w:r>
      <w:r>
        <w:rPr>
          <w:spacing w:val="-9"/>
          <w:sz w:val="20"/>
        </w:rPr>
        <w:t> </w:t>
      </w:r>
      <w:r>
        <w:rPr>
          <w:sz w:val="20"/>
        </w:rPr>
        <w:t>EC</w:t>
      </w:r>
      <w:r>
        <w:rPr>
          <w:spacing w:val="-7"/>
          <w:sz w:val="20"/>
        </w:rPr>
        <w:t> </w:t>
      </w:r>
      <w:r>
        <w:rPr>
          <w:sz w:val="20"/>
        </w:rPr>
        <w:t>survey, this is not the case at the post-ET1 stage.</w:t>
      </w:r>
    </w:p>
    <w:p>
      <w:pPr>
        <w:pStyle w:val="BodyText"/>
        <w:spacing w:before="11"/>
        <w:rPr>
          <w:sz w:val="19"/>
        </w:rPr>
      </w:pPr>
    </w:p>
    <w:p>
      <w:pPr>
        <w:pStyle w:val="BodyText"/>
        <w:ind w:left="1336" w:right="1474"/>
        <w:jc w:val="both"/>
      </w:pPr>
      <w:r>
        <w:rPr/>
        <w:t>Participants in post-ET1 conciliation were also asked to rate the conciliator across a range of professional attributes (see Figure 30). Ratings remain stable and high for</w:t>
      </w:r>
      <w:r>
        <w:rPr>
          <w:spacing w:val="-3"/>
        </w:rPr>
        <w:t> </w:t>
      </w:r>
      <w:r>
        <w:rPr/>
        <w:t>all</w:t>
      </w:r>
      <w:r>
        <w:rPr>
          <w:spacing w:val="-4"/>
        </w:rPr>
        <w:t> </w:t>
      </w:r>
      <w:r>
        <w:rPr/>
        <w:t>attributes,</w:t>
      </w:r>
      <w:r>
        <w:rPr>
          <w:spacing w:val="-4"/>
        </w:rPr>
        <w:t> </w:t>
      </w:r>
      <w:r>
        <w:rPr/>
        <w:t>with</w:t>
      </w:r>
      <w:r>
        <w:rPr>
          <w:spacing w:val="-4"/>
        </w:rPr>
        <w:t> </w:t>
      </w:r>
      <w:r>
        <w:rPr/>
        <w:t>a</w:t>
      </w:r>
      <w:r>
        <w:rPr>
          <w:spacing w:val="-5"/>
        </w:rPr>
        <w:t> </w:t>
      </w:r>
      <w:r>
        <w:rPr/>
        <w:t>small</w:t>
      </w:r>
      <w:r>
        <w:rPr>
          <w:spacing w:val="-4"/>
        </w:rPr>
        <w:t> </w:t>
      </w:r>
      <w:r>
        <w:rPr/>
        <w:t>increase</w:t>
      </w:r>
      <w:r>
        <w:rPr>
          <w:spacing w:val="-4"/>
        </w:rPr>
        <w:t> </w:t>
      </w:r>
      <w:r>
        <w:rPr/>
        <w:t>in</w:t>
      </w:r>
      <w:r>
        <w:rPr>
          <w:spacing w:val="-3"/>
        </w:rPr>
        <w:t> </w:t>
      </w:r>
      <w:r>
        <w:rPr/>
        <w:t>claimants</w:t>
      </w:r>
      <w:r>
        <w:rPr>
          <w:spacing w:val="-4"/>
        </w:rPr>
        <w:t> </w:t>
      </w:r>
      <w:r>
        <w:rPr/>
        <w:t>agreeing</w:t>
      </w:r>
      <w:r>
        <w:rPr>
          <w:spacing w:val="-4"/>
        </w:rPr>
        <w:t> </w:t>
      </w:r>
      <w:r>
        <w:rPr/>
        <w:t>that</w:t>
      </w:r>
      <w:r>
        <w:rPr>
          <w:spacing w:val="-4"/>
        </w:rPr>
        <w:t> </w:t>
      </w:r>
      <w:r>
        <w:rPr/>
        <w:t>their</w:t>
      </w:r>
      <w:r>
        <w:rPr>
          <w:spacing w:val="-3"/>
        </w:rPr>
        <w:t> </w:t>
      </w:r>
      <w:r>
        <w:rPr/>
        <w:t>conciliators were actively involved in seeking an agreement to settle:</w:t>
      </w:r>
    </w:p>
    <w:p>
      <w:pPr>
        <w:spacing w:after="0"/>
        <w:jc w:val="both"/>
        <w:sectPr>
          <w:type w:val="continuous"/>
          <w:pgSz w:w="11910" w:h="16840"/>
          <w:pgMar w:header="0" w:footer="996" w:top="560" w:bottom="280" w:left="460" w:right="320"/>
        </w:sectPr>
      </w:pPr>
    </w:p>
    <w:p>
      <w:pPr>
        <w:pStyle w:val="Heading3"/>
        <w:spacing w:before="82"/>
        <w:jc w:val="left"/>
      </w:pPr>
      <w:r>
        <w:rPr/>
        <w:t>Figure</w:t>
      </w:r>
      <w:r>
        <w:rPr>
          <w:spacing w:val="-5"/>
        </w:rPr>
        <w:t> </w:t>
      </w:r>
      <w:r>
        <w:rPr/>
        <w:t>30.</w:t>
      </w:r>
      <w:r>
        <w:rPr>
          <w:spacing w:val="-4"/>
        </w:rPr>
        <w:t> </w:t>
      </w:r>
      <w:r>
        <w:rPr/>
        <w:t>Ratings</w:t>
      </w:r>
      <w:r>
        <w:rPr>
          <w:spacing w:val="-4"/>
        </w:rPr>
        <w:t> </w:t>
      </w:r>
      <w:r>
        <w:rPr/>
        <w:t>of</w:t>
      </w:r>
      <w:r>
        <w:rPr>
          <w:spacing w:val="-2"/>
        </w:rPr>
        <w:t> </w:t>
      </w:r>
      <w:r>
        <w:rPr/>
        <w:t>the</w:t>
      </w:r>
      <w:r>
        <w:rPr>
          <w:spacing w:val="-2"/>
        </w:rPr>
        <w:t> conciliator</w:t>
      </w:r>
    </w:p>
    <w:p>
      <w:pPr>
        <w:tabs>
          <w:tab w:pos="3943" w:val="left" w:leader="none"/>
          <w:tab w:pos="6086" w:val="left" w:leader="none"/>
        </w:tabs>
        <w:spacing w:line="129" w:lineRule="exact" w:before="201"/>
        <w:ind w:left="1799" w:right="0" w:firstLine="0"/>
        <w:jc w:val="left"/>
        <w:rPr>
          <w:sz w:val="11"/>
        </w:rPr>
      </w:pPr>
      <w:r>
        <w:rPr/>
        <w:pict>
          <v:group style="position:absolute;margin-left:108.38855pt;margin-top:12.363904pt;width:3.45pt;height:9.050pt;mso-position-horizontal-relative:page;mso-position-vertical-relative:paragraph;z-index:15788544" id="docshapegroup243" coordorigin="2168,247" coordsize="69,181">
            <v:rect style="position:absolute;left:2167;top:247;width:69;height:61" id="docshape244" filled="true" fillcolor="#77923b" stroked="false">
              <v:fill type="solid"/>
            </v:rect>
            <v:rect style="position:absolute;left:2167;top:367;width:69;height:61" id="docshape245" filled="true" fillcolor="#94b3d6" stroked="false">
              <v:fill type="solid"/>
            </v:rect>
            <w10:wrap type="none"/>
          </v:group>
        </w:pict>
      </w:r>
      <w:r>
        <w:rPr/>
        <w:pict>
          <v:group style="position:absolute;margin-left:215.739227pt;margin-top:12.363904pt;width:3.05pt;height:9.050pt;mso-position-horizontal-relative:page;mso-position-vertical-relative:paragraph;z-index:-18066944" id="docshapegroup246" coordorigin="4315,247" coordsize="61,181">
            <v:rect style="position:absolute;left:4314;top:247;width:61;height:61" id="docshape247" filled="true" fillcolor="#9bba58" stroked="false">
              <v:fill type="solid"/>
            </v:rect>
            <v:rect style="position:absolute;left:4314;top:367;width:61;height:61" id="docshape248" filled="true" fillcolor="#0063c7" stroked="false">
              <v:fill type="solid"/>
            </v:rect>
            <w10:wrap type="none"/>
          </v:group>
        </w:pict>
      </w:r>
      <w:r>
        <w:rPr/>
        <w:pict>
          <v:group style="position:absolute;margin-left:322.658752pt;margin-top:12.363904pt;width:3.45pt;height:9.050pt;mso-position-horizontal-relative:page;mso-position-vertical-relative:paragraph;z-index:-18066432" id="docshapegroup249" coordorigin="6453,247" coordsize="69,181">
            <v:rect style="position:absolute;left:6453;top:247;width:69;height:61" id="docshape250" filled="true" fillcolor="#f1f1f1" stroked="false">
              <v:fill type="solid"/>
            </v:rect>
            <v:rect style="position:absolute;left:6453;top:367;width:69;height:61" id="docshape251" filled="true" fillcolor="#a6a6a6" stroked="false">
              <v:fill type="solid"/>
            </v:rect>
            <w10:wrap type="none"/>
          </v:group>
        </w:pict>
      </w:r>
      <w:r>
        <w:rPr>
          <w:sz w:val="11"/>
        </w:rPr>
        <w:t>Strongly</w:t>
      </w:r>
      <w:r>
        <w:rPr>
          <w:spacing w:val="11"/>
          <w:sz w:val="11"/>
        </w:rPr>
        <w:t> </w:t>
      </w:r>
      <w:r>
        <w:rPr>
          <w:spacing w:val="-2"/>
          <w:sz w:val="11"/>
        </w:rPr>
        <w:t>agree</w:t>
      </w:r>
      <w:r>
        <w:rPr>
          <w:sz w:val="11"/>
        </w:rPr>
        <w:tab/>
        <w:t>Tend</w:t>
      </w:r>
      <w:r>
        <w:rPr>
          <w:spacing w:val="7"/>
          <w:sz w:val="11"/>
        </w:rPr>
        <w:t> </w:t>
      </w:r>
      <w:r>
        <w:rPr>
          <w:sz w:val="11"/>
        </w:rPr>
        <w:t>to</w:t>
      </w:r>
      <w:r>
        <w:rPr>
          <w:spacing w:val="9"/>
          <w:sz w:val="11"/>
        </w:rPr>
        <w:t> </w:t>
      </w:r>
      <w:r>
        <w:rPr>
          <w:spacing w:val="-4"/>
          <w:sz w:val="11"/>
        </w:rPr>
        <w:t>agree</w:t>
      </w:r>
      <w:r>
        <w:rPr>
          <w:sz w:val="11"/>
        </w:rPr>
        <w:tab/>
        <w:t>Neither</w:t>
      </w:r>
      <w:r>
        <w:rPr>
          <w:spacing w:val="15"/>
          <w:sz w:val="11"/>
        </w:rPr>
        <w:t> </w:t>
      </w:r>
      <w:r>
        <w:rPr>
          <w:sz w:val="11"/>
        </w:rPr>
        <w:t>agree</w:t>
      </w:r>
      <w:r>
        <w:rPr>
          <w:spacing w:val="6"/>
          <w:sz w:val="11"/>
        </w:rPr>
        <w:t> </w:t>
      </w:r>
      <w:r>
        <w:rPr>
          <w:sz w:val="11"/>
        </w:rPr>
        <w:t>nor</w:t>
      </w:r>
      <w:r>
        <w:rPr>
          <w:spacing w:val="7"/>
          <w:sz w:val="11"/>
        </w:rPr>
        <w:t> </w:t>
      </w:r>
      <w:r>
        <w:rPr>
          <w:spacing w:val="-2"/>
          <w:sz w:val="11"/>
        </w:rPr>
        <w:t>disagree</w:t>
      </w:r>
    </w:p>
    <w:p>
      <w:pPr>
        <w:tabs>
          <w:tab w:pos="3943" w:val="left" w:leader="none"/>
          <w:tab w:pos="6086" w:val="left" w:leader="none"/>
        </w:tabs>
        <w:spacing w:line="129" w:lineRule="exact" w:before="0"/>
        <w:ind w:left="1799" w:right="0" w:firstLine="0"/>
        <w:jc w:val="left"/>
        <w:rPr>
          <w:sz w:val="11"/>
        </w:rPr>
      </w:pPr>
      <w:r>
        <w:rPr>
          <w:sz w:val="11"/>
        </w:rPr>
        <w:t>Tend</w:t>
      </w:r>
      <w:r>
        <w:rPr>
          <w:spacing w:val="7"/>
          <w:sz w:val="11"/>
        </w:rPr>
        <w:t> </w:t>
      </w:r>
      <w:r>
        <w:rPr>
          <w:sz w:val="11"/>
        </w:rPr>
        <w:t>to</w:t>
      </w:r>
      <w:r>
        <w:rPr>
          <w:spacing w:val="9"/>
          <w:sz w:val="11"/>
        </w:rPr>
        <w:t> </w:t>
      </w:r>
      <w:r>
        <w:rPr>
          <w:spacing w:val="-2"/>
          <w:sz w:val="11"/>
        </w:rPr>
        <w:t>disagree</w:t>
      </w:r>
      <w:r>
        <w:rPr>
          <w:sz w:val="11"/>
        </w:rPr>
        <w:tab/>
        <w:t>Strongly</w:t>
      </w:r>
      <w:r>
        <w:rPr>
          <w:spacing w:val="11"/>
          <w:sz w:val="11"/>
        </w:rPr>
        <w:t> </w:t>
      </w:r>
      <w:r>
        <w:rPr>
          <w:spacing w:val="-2"/>
          <w:sz w:val="11"/>
        </w:rPr>
        <w:t>disagree</w:t>
      </w:r>
      <w:r>
        <w:rPr>
          <w:sz w:val="11"/>
        </w:rPr>
        <w:tab/>
        <w:t>Don't</w:t>
      </w:r>
      <w:r>
        <w:rPr>
          <w:spacing w:val="5"/>
          <w:sz w:val="11"/>
        </w:rPr>
        <w:t> </w:t>
      </w:r>
      <w:r>
        <w:rPr>
          <w:spacing w:val="-4"/>
          <w:sz w:val="11"/>
        </w:rPr>
        <w:t>know</w:t>
      </w:r>
    </w:p>
    <w:p>
      <w:pPr>
        <w:spacing w:line="240" w:lineRule="auto" w:before="0"/>
        <w:rPr>
          <w:sz w:val="14"/>
        </w:rPr>
      </w:pPr>
      <w:r>
        <w:rPr/>
        <w:br w:type="column"/>
      </w:r>
      <w:r>
        <w:rPr>
          <w:sz w:val="14"/>
        </w:rPr>
      </w:r>
    </w:p>
    <w:p>
      <w:pPr>
        <w:pStyle w:val="BodyText"/>
        <w:spacing w:before="11"/>
        <w:rPr>
          <w:sz w:val="16"/>
        </w:rPr>
      </w:pPr>
    </w:p>
    <w:p>
      <w:pPr>
        <w:spacing w:before="0"/>
        <w:ind w:left="281" w:right="0" w:firstLine="0"/>
        <w:jc w:val="left"/>
        <w:rPr>
          <w:sz w:val="11"/>
        </w:rPr>
      </w:pPr>
      <w:r>
        <w:rPr>
          <w:spacing w:val="-2"/>
          <w:sz w:val="11"/>
        </w:rPr>
        <w:t>Strongly</w:t>
      </w:r>
    </w:p>
    <w:p>
      <w:pPr>
        <w:spacing w:line="247" w:lineRule="auto" w:before="4"/>
        <w:ind w:left="281" w:right="-3" w:firstLine="60"/>
        <w:jc w:val="left"/>
        <w:rPr>
          <w:sz w:val="11"/>
        </w:rPr>
      </w:pPr>
      <w:r>
        <w:rPr>
          <w:sz w:val="11"/>
        </w:rPr>
        <w:t>/ tend</w:t>
      </w:r>
      <w:r>
        <w:rPr>
          <w:spacing w:val="40"/>
          <w:sz w:val="11"/>
        </w:rPr>
        <w:t> </w:t>
      </w:r>
      <w:r>
        <w:rPr>
          <w:sz w:val="11"/>
        </w:rPr>
        <w:t>to</w:t>
      </w:r>
      <w:r>
        <w:rPr>
          <w:spacing w:val="4"/>
          <w:sz w:val="11"/>
        </w:rPr>
        <w:t> </w:t>
      </w:r>
      <w:r>
        <w:rPr>
          <w:spacing w:val="-2"/>
          <w:sz w:val="11"/>
        </w:rPr>
        <w:t>agree</w:t>
      </w:r>
    </w:p>
    <w:p>
      <w:pPr>
        <w:spacing w:line="240" w:lineRule="auto" w:before="0"/>
        <w:rPr>
          <w:sz w:val="14"/>
        </w:rPr>
      </w:pPr>
      <w:r>
        <w:rPr/>
        <w:br w:type="column"/>
      </w:r>
      <w:r>
        <w:rPr>
          <w:sz w:val="14"/>
        </w:rPr>
      </w:r>
    </w:p>
    <w:p>
      <w:pPr>
        <w:pStyle w:val="BodyText"/>
        <w:spacing w:before="11"/>
        <w:rPr>
          <w:sz w:val="16"/>
        </w:rPr>
      </w:pPr>
    </w:p>
    <w:p>
      <w:pPr>
        <w:spacing w:line="247" w:lineRule="auto" w:before="0"/>
        <w:ind w:left="256" w:right="1899" w:hanging="9"/>
        <w:jc w:val="left"/>
        <w:rPr>
          <w:sz w:val="11"/>
        </w:rPr>
      </w:pPr>
      <w:r>
        <w:rPr>
          <w:spacing w:val="-2"/>
          <w:sz w:val="11"/>
        </w:rPr>
        <w:t>since</w:t>
      </w:r>
      <w:r>
        <w:rPr>
          <w:spacing w:val="40"/>
          <w:sz w:val="11"/>
        </w:rPr>
        <w:t> </w:t>
      </w:r>
      <w:r>
        <w:rPr>
          <w:spacing w:val="-4"/>
          <w:sz w:val="11"/>
        </w:rPr>
        <w:t>2016</w:t>
      </w:r>
    </w:p>
    <w:p>
      <w:pPr>
        <w:spacing w:after="0" w:line="247" w:lineRule="auto"/>
        <w:jc w:val="left"/>
        <w:rPr>
          <w:sz w:val="11"/>
        </w:rPr>
        <w:sectPr>
          <w:pgSz w:w="11910" w:h="16840"/>
          <w:pgMar w:header="0" w:footer="996" w:top="1340" w:bottom="1180" w:left="460" w:right="320"/>
          <w:cols w:num="3" w:equalWidth="0">
            <w:col w:w="7637" w:space="40"/>
            <w:col w:w="754" w:space="39"/>
            <w:col w:w="2660"/>
          </w:cols>
        </w:sectPr>
      </w:pPr>
    </w:p>
    <w:p>
      <w:pPr>
        <w:pStyle w:val="BodyText"/>
        <w:spacing w:before="7"/>
        <w:rPr>
          <w:sz w:val="5"/>
        </w:rPr>
      </w:pPr>
    </w:p>
    <w:p>
      <w:pPr>
        <w:pStyle w:val="BodyText"/>
        <w:ind w:left="1414"/>
      </w:pPr>
      <w:r>
        <w:rPr/>
        <w:pict>
          <v:group style="width:388.9pt;height:29.35pt;mso-position-horizontal-relative:char;mso-position-vertical-relative:line" id="docshapegroup252" coordorigin="0,0" coordsize="7778,587">
            <v:rect style="position:absolute;left:0;top:0;width:7778;height:587" id="docshape253" filled="true" fillcolor="#f1f1f1" stroked="false">
              <v:fill type="solid"/>
            </v:rect>
            <v:shape style="position:absolute;left:3035;top:94;width:2527;height:397" id="docshape254" coordorigin="3035,95" coordsize="2527,397" path="m5527,336l3035,336,3035,491,5527,491,5527,336xm5562,95l3035,95,3035,259,5562,259,5562,95xe" filled="true" fillcolor="#77923b" stroked="false">
              <v:path arrowok="t"/>
              <v:fill type="solid"/>
            </v:shape>
            <v:shape style="position:absolute;left:5527;top:94;width:621;height:397" id="docshape255" coordorigin="5527,95" coordsize="621,397" path="m6044,95l5562,95,5562,259,6044,259,6044,95xm6148,336l5527,336,5527,491,6148,491,6148,336xe" filled="true" fillcolor="#9bba58" stroked="false">
              <v:path arrowok="t"/>
              <v:fill type="solid"/>
            </v:shape>
            <v:rect style="position:absolute;left:6147;top:336;width:69;height:156" id="docshape256" filled="true" fillcolor="#f1f1f1" stroked="false">
              <v:fill type="solid"/>
            </v:rect>
            <v:rect style="position:absolute;left:6251;top:94;width:35;height:164" id="docshape257" filled="true" fillcolor="#94b3d6" stroked="false">
              <v:fill type="solid"/>
            </v:rect>
            <v:rect style="position:absolute;left:6285;top:94;width:95;height:164" id="docshape258" filled="true" fillcolor="#0063c7" stroked="false">
              <v:fill type="solid"/>
            </v:rect>
            <v:rect style="position:absolute;left:6380;top:94;width:69;height:164" id="docshape259" filled="true" fillcolor="#a6a6a6" stroked="false">
              <v:fill type="solid"/>
            </v:rect>
            <v:shape style="position:absolute;left:2224;top:86;width:672;height:116" type="#_x0000_t202" id="docshape260" filled="false" stroked="false">
              <v:textbox inset="0,0,0,0">
                <w:txbxContent>
                  <w:p>
                    <w:pPr>
                      <w:spacing w:before="5"/>
                      <w:ind w:left="0" w:right="0" w:firstLine="0"/>
                      <w:jc w:val="left"/>
                      <w:rPr>
                        <w:sz w:val="9"/>
                      </w:rPr>
                    </w:pPr>
                    <w:r>
                      <w:rPr>
                        <w:w w:val="105"/>
                        <w:sz w:val="9"/>
                      </w:rPr>
                      <w:t>Claimant</w:t>
                    </w:r>
                    <w:r>
                      <w:rPr>
                        <w:spacing w:val="-3"/>
                        <w:w w:val="105"/>
                        <w:sz w:val="9"/>
                      </w:rPr>
                      <w:t> </w:t>
                    </w:r>
                    <w:r>
                      <w:rPr>
                        <w:spacing w:val="-4"/>
                        <w:w w:val="105"/>
                        <w:sz w:val="9"/>
                      </w:rPr>
                      <w:t>side</w:t>
                    </w:r>
                  </w:p>
                </w:txbxContent>
              </v:textbox>
              <w10:wrap type="none"/>
            </v:shape>
            <v:shape style="position:absolute;left:198;top:214;width:975;height:137" type="#_x0000_t202" id="docshape261" filled="false" stroked="false">
              <v:textbox inset="0,0,0,0">
                <w:txbxContent>
                  <w:p>
                    <w:pPr>
                      <w:spacing w:before="2"/>
                      <w:ind w:left="0" w:right="0" w:firstLine="0"/>
                      <w:jc w:val="left"/>
                      <w:rPr>
                        <w:sz w:val="11"/>
                      </w:rPr>
                    </w:pPr>
                    <w:r>
                      <w:rPr>
                        <w:sz w:val="11"/>
                      </w:rPr>
                      <w:t>Was</w:t>
                    </w:r>
                    <w:r>
                      <w:rPr>
                        <w:spacing w:val="10"/>
                        <w:sz w:val="11"/>
                      </w:rPr>
                      <w:t> </w:t>
                    </w:r>
                    <w:r>
                      <w:rPr>
                        <w:spacing w:val="-2"/>
                        <w:sz w:val="11"/>
                      </w:rPr>
                      <w:t>trustworthy</w:t>
                    </w:r>
                  </w:p>
                </w:txbxContent>
              </v:textbox>
              <w10:wrap type="none"/>
            </v:shape>
            <v:shape style="position:absolute;left:2224;top:341;width:698;height:116" type="#_x0000_t202" id="docshape262" filled="false" stroked="false">
              <v:textbox inset="0,0,0,0">
                <w:txbxContent>
                  <w:p>
                    <w:pPr>
                      <w:spacing w:before="5"/>
                      <w:ind w:left="0" w:right="0" w:firstLine="0"/>
                      <w:jc w:val="left"/>
                      <w:rPr>
                        <w:sz w:val="9"/>
                      </w:rPr>
                    </w:pPr>
                    <w:r>
                      <w:rPr>
                        <w:w w:val="105"/>
                        <w:sz w:val="9"/>
                      </w:rPr>
                      <w:t>Employer</w:t>
                    </w:r>
                    <w:r>
                      <w:rPr>
                        <w:spacing w:val="-3"/>
                        <w:w w:val="105"/>
                        <w:sz w:val="9"/>
                      </w:rPr>
                      <w:t> </w:t>
                    </w:r>
                    <w:r>
                      <w:rPr>
                        <w:spacing w:val="-4"/>
                        <w:w w:val="105"/>
                        <w:sz w:val="9"/>
                      </w:rPr>
                      <w:t>side</w:t>
                    </w:r>
                  </w:p>
                </w:txbxContent>
              </v:textbox>
              <w10:wrap type="none"/>
            </v:shape>
            <v:shape style="position:absolute;left:4217;top:105;width:178;height:373" type="#_x0000_t202" id="docshape263" filled="false" stroked="false">
              <v:textbox inset="0,0,0,0">
                <w:txbxContent>
                  <w:p>
                    <w:pPr>
                      <w:spacing w:before="2"/>
                      <w:ind w:left="17" w:right="0" w:firstLine="0"/>
                      <w:jc w:val="left"/>
                      <w:rPr>
                        <w:sz w:val="11"/>
                      </w:rPr>
                    </w:pPr>
                    <w:r>
                      <w:rPr>
                        <w:color w:val="FFFFFF"/>
                        <w:spacing w:val="-5"/>
                        <w:sz w:val="11"/>
                      </w:rPr>
                      <w:t>74</w:t>
                    </w:r>
                  </w:p>
                  <w:p>
                    <w:pPr>
                      <w:spacing w:before="102"/>
                      <w:ind w:left="0" w:right="0" w:firstLine="0"/>
                      <w:jc w:val="left"/>
                      <w:rPr>
                        <w:sz w:val="11"/>
                      </w:rPr>
                    </w:pPr>
                    <w:r>
                      <w:rPr>
                        <w:color w:val="FFFFFF"/>
                        <w:spacing w:val="-5"/>
                        <w:sz w:val="11"/>
                      </w:rPr>
                      <w:t>73</w:t>
                    </w:r>
                  </w:p>
                </w:txbxContent>
              </v:textbox>
              <w10:wrap type="none"/>
            </v:shape>
            <v:shape style="position:absolute;left:5736;top:105;width:704;height:373" type="#_x0000_t202" id="docshape264" filled="false" stroked="false">
              <v:textbox inset="0,0,0,0">
                <w:txbxContent>
                  <w:p>
                    <w:pPr>
                      <w:tabs>
                        <w:tab w:pos="375" w:val="left" w:leader="none"/>
                      </w:tabs>
                      <w:spacing w:before="2"/>
                      <w:ind w:left="0" w:right="0" w:firstLine="0"/>
                      <w:jc w:val="left"/>
                      <w:rPr>
                        <w:sz w:val="11"/>
                      </w:rPr>
                    </w:pPr>
                    <w:r>
                      <w:rPr>
                        <w:spacing w:val="-5"/>
                        <w:sz w:val="11"/>
                      </w:rPr>
                      <w:t>14</w:t>
                    </w:r>
                    <w:r>
                      <w:rPr>
                        <w:sz w:val="11"/>
                      </w:rPr>
                      <w:tab/>
                      <w:t>6</w:t>
                    </w:r>
                    <w:r>
                      <w:rPr>
                        <w:spacing w:val="9"/>
                        <w:sz w:val="11"/>
                      </w:rPr>
                      <w:t> </w:t>
                    </w:r>
                    <w:r>
                      <w:rPr>
                        <w:spacing w:val="-5"/>
                        <w:sz w:val="11"/>
                      </w:rPr>
                      <w:t>1</w:t>
                    </w:r>
                    <w:r>
                      <w:rPr>
                        <w:color w:val="FFFFFF"/>
                        <w:spacing w:val="-5"/>
                        <w:sz w:val="11"/>
                      </w:rPr>
                      <w:t>3</w:t>
                    </w:r>
                    <w:r>
                      <w:rPr>
                        <w:spacing w:val="-5"/>
                        <w:sz w:val="11"/>
                      </w:rPr>
                      <w:t>2</w:t>
                    </w:r>
                  </w:p>
                  <w:p>
                    <w:pPr>
                      <w:tabs>
                        <w:tab w:pos="409" w:val="left" w:leader="none"/>
                      </w:tabs>
                      <w:spacing w:before="102"/>
                      <w:ind w:left="34" w:right="0" w:firstLine="0"/>
                      <w:jc w:val="left"/>
                      <w:rPr>
                        <w:sz w:val="11"/>
                      </w:rPr>
                    </w:pPr>
                    <w:r>
                      <w:rPr>
                        <w:spacing w:val="-5"/>
                        <w:sz w:val="11"/>
                      </w:rPr>
                      <w:t>18</w:t>
                    </w:r>
                    <w:r>
                      <w:rPr>
                        <w:sz w:val="11"/>
                      </w:rPr>
                      <w:tab/>
                    </w:r>
                    <w:r>
                      <w:rPr>
                        <w:spacing w:val="-2"/>
                        <w:sz w:val="11"/>
                      </w:rPr>
                      <w:t>2</w:t>
                    </w:r>
                    <w:r>
                      <w:rPr>
                        <w:color w:val="FFFFFF"/>
                        <w:spacing w:val="-2"/>
                        <w:sz w:val="11"/>
                        <w:shd w:fill="0063C7" w:color="auto" w:val="clear"/>
                      </w:rPr>
                      <w:t>2</w:t>
                    </w:r>
                    <w:r>
                      <w:rPr>
                        <w:color w:val="000000"/>
                        <w:spacing w:val="-10"/>
                        <w:sz w:val="11"/>
                        <w:shd w:fill="0063C7" w:color="auto" w:val="clear"/>
                      </w:rPr>
                      <w:t> 4</w:t>
                    </w:r>
                    <w:r>
                      <w:rPr>
                        <w:color w:val="000000"/>
                        <w:spacing w:val="80"/>
                        <w:sz w:val="11"/>
                        <w:shd w:fill="0063C7" w:color="auto" w:val="clear"/>
                      </w:rPr>
                      <w:t> </w:t>
                    </w:r>
                  </w:p>
                </w:txbxContent>
              </v:textbox>
              <w10:wrap type="none"/>
            </v:shape>
            <v:shape style="position:absolute;left:6749;top:68;width:161;height:376" type="#_x0000_t202" id="docshape265" filled="false" stroked="false">
              <v:textbox inset="0,0,0,0">
                <w:txbxContent>
                  <w:p>
                    <w:pPr>
                      <w:spacing w:before="2"/>
                      <w:ind w:left="0" w:right="0" w:firstLine="0"/>
                      <w:jc w:val="left"/>
                      <w:rPr>
                        <w:sz w:val="11"/>
                      </w:rPr>
                    </w:pPr>
                    <w:r>
                      <w:rPr>
                        <w:spacing w:val="-5"/>
                        <w:sz w:val="11"/>
                      </w:rPr>
                      <w:t>88</w:t>
                    </w:r>
                  </w:p>
                  <w:p>
                    <w:pPr>
                      <w:spacing w:before="105"/>
                      <w:ind w:left="0" w:right="0" w:firstLine="0"/>
                      <w:jc w:val="left"/>
                      <w:rPr>
                        <w:sz w:val="11"/>
                      </w:rPr>
                    </w:pPr>
                    <w:r>
                      <w:rPr>
                        <w:spacing w:val="-5"/>
                        <w:sz w:val="11"/>
                      </w:rPr>
                      <w:t>91</w:t>
                    </w:r>
                  </w:p>
                </w:txbxContent>
              </v:textbox>
              <w10:wrap type="none"/>
            </v:shape>
            <v:shape style="position:absolute;left:7374;top:68;width:155;height:376" type="#_x0000_t202" id="docshape266" filled="false" stroked="false">
              <v:textbox inset="0,0,0,0">
                <w:txbxContent>
                  <w:p>
                    <w:pPr>
                      <w:spacing w:before="2"/>
                      <w:ind w:left="0" w:right="0" w:firstLine="0"/>
                      <w:jc w:val="left"/>
                      <w:rPr>
                        <w:sz w:val="11"/>
                      </w:rPr>
                    </w:pPr>
                    <w:r>
                      <w:rPr>
                        <w:spacing w:val="-9"/>
                        <w:sz w:val="11"/>
                      </w:rPr>
                      <w:t>+2</w:t>
                    </w:r>
                  </w:p>
                  <w:p>
                    <w:pPr>
                      <w:spacing w:before="105"/>
                      <w:ind w:left="0" w:right="0" w:firstLine="0"/>
                      <w:jc w:val="left"/>
                      <w:rPr>
                        <w:sz w:val="11"/>
                      </w:rPr>
                    </w:pPr>
                    <w:r>
                      <w:rPr>
                        <w:spacing w:val="-9"/>
                        <w:sz w:val="11"/>
                      </w:rPr>
                      <w:t>+1</w:t>
                    </w:r>
                  </w:p>
                </w:txbxContent>
              </v:textbox>
              <w10:wrap type="none"/>
            </v:shape>
          </v:group>
        </w:pict>
      </w:r>
      <w:r>
        <w:rPr/>
      </w:r>
    </w:p>
    <w:p>
      <w:pPr>
        <w:pStyle w:val="BodyText"/>
        <w:spacing w:before="9"/>
        <w:rPr>
          <w:sz w:val="5"/>
        </w:rPr>
      </w:pPr>
    </w:p>
    <w:p>
      <w:pPr>
        <w:spacing w:after="0"/>
        <w:rPr>
          <w:sz w:val="5"/>
        </w:rPr>
        <w:sectPr>
          <w:type w:val="continuous"/>
          <w:pgSz w:w="11910" w:h="16840"/>
          <w:pgMar w:header="0" w:footer="996" w:top="560" w:bottom="280" w:left="460" w:right="320"/>
        </w:sectPr>
      </w:pPr>
    </w:p>
    <w:p>
      <w:pPr>
        <w:pStyle w:val="BodyText"/>
        <w:spacing w:before="4"/>
        <w:rPr>
          <w:sz w:val="13"/>
        </w:rPr>
      </w:pPr>
    </w:p>
    <w:p>
      <w:pPr>
        <w:spacing w:line="247" w:lineRule="auto" w:before="0"/>
        <w:ind w:left="1613" w:right="0" w:firstLine="0"/>
        <w:jc w:val="left"/>
        <w:rPr>
          <w:sz w:val="11"/>
        </w:rPr>
      </w:pPr>
      <w:r>
        <w:rPr>
          <w:sz w:val="11"/>
        </w:rPr>
        <w:t>Listened carefully to</w:t>
      </w:r>
      <w:r>
        <w:rPr>
          <w:spacing w:val="-3"/>
          <w:sz w:val="11"/>
        </w:rPr>
        <w:t> </w:t>
      </w:r>
      <w:r>
        <w:rPr>
          <w:sz w:val="11"/>
        </w:rPr>
        <w:t>what</w:t>
      </w:r>
      <w:r>
        <w:rPr>
          <w:spacing w:val="40"/>
          <w:sz w:val="11"/>
        </w:rPr>
        <w:t> </w:t>
      </w:r>
      <w:r>
        <w:rPr>
          <w:sz w:val="11"/>
        </w:rPr>
        <w:t>you had to say</w:t>
      </w:r>
    </w:p>
    <w:p>
      <w:pPr>
        <w:spacing w:line="559" w:lineRule="auto" w:before="95"/>
        <w:ind w:left="493" w:right="0" w:firstLine="0"/>
        <w:jc w:val="left"/>
        <w:rPr>
          <w:sz w:val="9"/>
        </w:rPr>
      </w:pPr>
      <w:r>
        <w:rPr/>
        <w:br w:type="column"/>
      </w:r>
      <w:r>
        <w:rPr>
          <w:w w:val="105"/>
          <w:sz w:val="9"/>
        </w:rPr>
        <w:t>Claimant</w:t>
      </w:r>
      <w:r>
        <w:rPr>
          <w:spacing w:val="-11"/>
          <w:w w:val="105"/>
          <w:sz w:val="9"/>
        </w:rPr>
        <w:t> </w:t>
      </w:r>
      <w:r>
        <w:rPr>
          <w:w w:val="105"/>
          <w:sz w:val="9"/>
        </w:rPr>
        <w:t>side</w:t>
      </w:r>
      <w:r>
        <w:rPr>
          <w:spacing w:val="40"/>
          <w:w w:val="105"/>
          <w:sz w:val="9"/>
        </w:rPr>
        <w:t> </w:t>
      </w:r>
      <w:r>
        <w:rPr>
          <w:w w:val="105"/>
          <w:sz w:val="9"/>
        </w:rPr>
        <w:t>Employer</w:t>
      </w:r>
      <w:r>
        <w:rPr>
          <w:spacing w:val="-3"/>
          <w:w w:val="105"/>
          <w:sz w:val="9"/>
        </w:rPr>
        <w:t> </w:t>
      </w:r>
      <w:r>
        <w:rPr>
          <w:spacing w:val="-4"/>
          <w:w w:val="105"/>
          <w:sz w:val="9"/>
        </w:rPr>
        <w:t>side</w:t>
      </w:r>
    </w:p>
    <w:p>
      <w:pPr>
        <w:tabs>
          <w:tab w:pos="2238" w:val="left" w:leader="none"/>
        </w:tabs>
        <w:spacing w:before="94"/>
        <w:ind w:left="1613" w:right="0" w:firstLine="0"/>
        <w:jc w:val="left"/>
        <w:rPr>
          <w:sz w:val="11"/>
        </w:rPr>
      </w:pPr>
      <w:r>
        <w:rPr/>
        <w:br w:type="column"/>
      </w:r>
      <w:r>
        <w:rPr>
          <w:spacing w:val="-5"/>
          <w:sz w:val="11"/>
        </w:rPr>
        <w:t>87</w:t>
      </w:r>
      <w:r>
        <w:rPr>
          <w:sz w:val="11"/>
        </w:rPr>
        <w:tab/>
      </w:r>
      <w:r>
        <w:rPr>
          <w:spacing w:val="-5"/>
          <w:sz w:val="11"/>
        </w:rPr>
        <w:t>+2</w:t>
      </w:r>
    </w:p>
    <w:p>
      <w:pPr>
        <w:tabs>
          <w:tab w:pos="2246" w:val="left" w:leader="none"/>
        </w:tabs>
        <w:spacing w:before="105"/>
        <w:ind w:left="1613" w:right="0" w:firstLine="0"/>
        <w:jc w:val="left"/>
        <w:rPr>
          <w:sz w:val="11"/>
        </w:rPr>
      </w:pPr>
      <w:r>
        <w:rPr/>
        <w:pict>
          <v:group style="position:absolute;margin-left:245.487pt;margin-top:6.037741pt;width:170.75pt;height:7.8pt;mso-position-horizontal-relative:page;mso-position-vertical-relative:paragraph;z-index:15785984" id="docshapegroup267" coordorigin="4910,121" coordsize="3415,156">
            <v:shape style="position:absolute;left:4909;top:120;width:2225;height:156" type="#_x0000_t202" id="docshape268" filled="true" fillcolor="#77923b" stroked="false">
              <v:textbox inset="0,0,0,0">
                <w:txbxContent>
                  <w:p>
                    <w:pPr>
                      <w:spacing w:before="9"/>
                      <w:ind w:left="1030" w:right="1024" w:firstLine="0"/>
                      <w:jc w:val="center"/>
                      <w:rPr>
                        <w:color w:val="000000"/>
                        <w:sz w:val="11"/>
                      </w:rPr>
                    </w:pPr>
                    <w:r>
                      <w:rPr>
                        <w:color w:val="FFFFFF"/>
                        <w:spacing w:val="-5"/>
                        <w:sz w:val="11"/>
                      </w:rPr>
                      <w:t>65</w:t>
                    </w:r>
                  </w:p>
                </w:txbxContent>
              </v:textbox>
              <v:fill type="solid"/>
              <w10:wrap type="none"/>
            </v:shape>
            <v:shape style="position:absolute;left:7134;top:120;width:751;height:156" type="#_x0000_t202" id="docshape269" filled="true" fillcolor="#9bba58" stroked="false">
              <v:textbox inset="0,0,0,0">
                <w:txbxContent>
                  <w:p>
                    <w:pPr>
                      <w:spacing w:before="9"/>
                      <w:ind w:left="287" w:right="286" w:firstLine="0"/>
                      <w:jc w:val="center"/>
                      <w:rPr>
                        <w:color w:val="000000"/>
                        <w:sz w:val="11"/>
                      </w:rPr>
                    </w:pPr>
                    <w:r>
                      <w:rPr>
                        <w:color w:val="000000"/>
                        <w:spacing w:val="-5"/>
                        <w:sz w:val="11"/>
                      </w:rPr>
                      <w:t>22</w:t>
                    </w:r>
                  </w:p>
                </w:txbxContent>
              </v:textbox>
              <v:fill type="solid"/>
              <w10:wrap type="none"/>
            </v:shape>
            <v:rect style="position:absolute;left:7884;top:120;width:207;height:156" id="docshape270" filled="true" fillcolor="#f1f1f1" stroked="false">
              <v:fill type="solid"/>
            </v:rect>
            <v:rect style="position:absolute;left:8091;top:120;width:35;height:156" id="docshape271" filled="true" fillcolor="#94b3d6" stroked="false">
              <v:fill type="solid"/>
            </v:rect>
            <v:rect style="position:absolute;left:8125;top:120;width:130;height:156" id="docshape272" filled="true" fillcolor="#0063c7" stroked="false">
              <v:fill type="solid"/>
            </v:rect>
            <v:rect style="position:absolute;left:8255;top:120;width:69;height:156" id="docshape273" filled="true" fillcolor="#a6a6a6" stroked="false">
              <v:fill type="solid"/>
            </v:rect>
            <v:shape style="position:absolute;left:7884;top:120;width:440;height:156" type="#_x0000_t202" id="docshape274" filled="false" stroked="false">
              <v:textbox inset="0,0,0,0">
                <w:txbxContent>
                  <w:p>
                    <w:pPr>
                      <w:spacing w:before="9"/>
                      <w:ind w:left="68" w:right="0" w:firstLine="0"/>
                      <w:jc w:val="left"/>
                      <w:rPr>
                        <w:sz w:val="11"/>
                      </w:rPr>
                    </w:pPr>
                    <w:r>
                      <w:rPr>
                        <w:sz w:val="11"/>
                      </w:rPr>
                      <w:t>6</w:t>
                    </w:r>
                    <w:r>
                      <w:rPr>
                        <w:spacing w:val="10"/>
                        <w:sz w:val="11"/>
                      </w:rPr>
                      <w:t> </w:t>
                    </w:r>
                    <w:r>
                      <w:rPr>
                        <w:sz w:val="11"/>
                      </w:rPr>
                      <w:t>1</w:t>
                    </w:r>
                    <w:r>
                      <w:rPr>
                        <w:spacing w:val="-25"/>
                        <w:sz w:val="11"/>
                      </w:rPr>
                      <w:t> </w:t>
                    </w:r>
                    <w:r>
                      <w:rPr>
                        <w:color w:val="FFFFFF"/>
                        <w:spacing w:val="-7"/>
                        <w:sz w:val="11"/>
                      </w:rPr>
                      <w:t>4</w:t>
                    </w:r>
                    <w:r>
                      <w:rPr>
                        <w:spacing w:val="-7"/>
                        <w:sz w:val="11"/>
                      </w:rPr>
                      <w:t>3</w:t>
                    </w:r>
                  </w:p>
                </w:txbxContent>
              </v:textbox>
              <w10:wrap type="none"/>
            </v:shape>
            <w10:wrap type="none"/>
          </v:group>
        </w:pict>
      </w:r>
      <w:r>
        <w:rPr/>
        <w:pict>
          <v:group style="position:absolute;margin-left:245.487pt;margin-top:-6.028989pt;width:170.75pt;height:8.2pt;mso-position-horizontal-relative:page;mso-position-vertical-relative:paragraph;z-index:15787008" id="docshapegroup275" coordorigin="4910,-121" coordsize="3415,164">
            <v:shape style="position:absolute;left:4909;top:-121;width:2260;height:164" type="#_x0000_t202" id="docshape276" filled="true" fillcolor="#77923b" stroked="false">
              <v:textbox inset="0,0,0,0">
                <w:txbxContent>
                  <w:p>
                    <w:pPr>
                      <w:spacing w:before="14"/>
                      <w:ind w:left="1048" w:right="1042" w:firstLine="0"/>
                      <w:jc w:val="center"/>
                      <w:rPr>
                        <w:color w:val="000000"/>
                        <w:sz w:val="11"/>
                      </w:rPr>
                    </w:pPr>
                    <w:r>
                      <w:rPr>
                        <w:color w:val="FFFFFF"/>
                        <w:spacing w:val="-5"/>
                        <w:sz w:val="11"/>
                      </w:rPr>
                      <w:t>66</w:t>
                    </w:r>
                  </w:p>
                </w:txbxContent>
              </v:textbox>
              <v:fill type="solid"/>
              <w10:wrap type="none"/>
            </v:shape>
            <v:shape style="position:absolute;left:7168;top:-121;width:716;height:164" type="#_x0000_t202" id="docshape277" filled="true" fillcolor="#9bba58" stroked="false">
              <v:textbox inset="0,0,0,0">
                <w:txbxContent>
                  <w:p>
                    <w:pPr>
                      <w:spacing w:before="14"/>
                      <w:ind w:left="273" w:right="272" w:firstLine="0"/>
                      <w:jc w:val="center"/>
                      <w:rPr>
                        <w:color w:val="000000"/>
                        <w:sz w:val="11"/>
                      </w:rPr>
                    </w:pPr>
                    <w:r>
                      <w:rPr>
                        <w:color w:val="000000"/>
                        <w:spacing w:val="-5"/>
                        <w:sz w:val="11"/>
                      </w:rPr>
                      <w:t>21</w:t>
                    </w:r>
                  </w:p>
                </w:txbxContent>
              </v:textbox>
              <v:fill type="solid"/>
              <w10:wrap type="none"/>
            </v:shape>
            <v:shape style="position:absolute;left:7884;top:-121;width:207;height:164" type="#_x0000_t202" id="docshape278" filled="true" fillcolor="#f1f1f1" stroked="false">
              <v:textbox inset="0,0,0,0">
                <w:txbxContent>
                  <w:p>
                    <w:pPr>
                      <w:spacing w:before="14"/>
                      <w:ind w:left="68" w:right="0" w:firstLine="0"/>
                      <w:jc w:val="left"/>
                      <w:rPr>
                        <w:color w:val="000000"/>
                        <w:sz w:val="11"/>
                      </w:rPr>
                    </w:pPr>
                    <w:r>
                      <w:rPr>
                        <w:color w:val="000000"/>
                        <w:w w:val="101"/>
                        <w:sz w:val="11"/>
                      </w:rPr>
                      <w:t>6</w:t>
                    </w:r>
                  </w:p>
                </w:txbxContent>
              </v:textbox>
              <v:fill type="solid"/>
              <w10:wrap type="none"/>
            </v:shape>
            <v:rect style="position:absolute;left:8091;top:-121;width:69;height:164" id="docshape279" filled="true" fillcolor="#94b3d6" stroked="false">
              <v:fill type="solid"/>
            </v:rect>
            <v:rect style="position:absolute;left:8160;top:-121;width:95;height:164" id="docshape280" filled="true" fillcolor="#0063c7" stroked="false">
              <v:fill type="solid"/>
            </v:rect>
            <v:rect style="position:absolute;left:8255;top:-121;width:69;height:164" id="docshape281" filled="true" fillcolor="#a6a6a6" stroked="false">
              <v:fill type="solid"/>
            </v:rect>
            <v:shape style="position:absolute;left:8091;top:-121;width:233;height:164" type="#_x0000_t202" id="docshape282" filled="false" stroked="false">
              <v:textbox inset="0,0,0,0">
                <w:txbxContent>
                  <w:p>
                    <w:pPr>
                      <w:spacing w:before="14"/>
                      <w:ind w:left="-3" w:right="0" w:firstLine="0"/>
                      <w:jc w:val="left"/>
                      <w:rPr>
                        <w:sz w:val="11"/>
                      </w:rPr>
                    </w:pPr>
                    <w:r>
                      <w:rPr>
                        <w:sz w:val="11"/>
                      </w:rPr>
                      <w:t>2</w:t>
                    </w:r>
                    <w:r>
                      <w:rPr>
                        <w:spacing w:val="-25"/>
                        <w:sz w:val="11"/>
                      </w:rPr>
                      <w:t> </w:t>
                    </w:r>
                    <w:r>
                      <w:rPr>
                        <w:color w:val="FFFFFF"/>
                        <w:spacing w:val="-5"/>
                        <w:sz w:val="11"/>
                      </w:rPr>
                      <w:t>3</w:t>
                    </w:r>
                    <w:r>
                      <w:rPr>
                        <w:spacing w:val="-5"/>
                        <w:sz w:val="11"/>
                      </w:rPr>
                      <w:t>2</w:t>
                    </w:r>
                  </w:p>
                </w:txbxContent>
              </v:textbox>
              <w10:wrap type="none"/>
            </v:shape>
            <w10:wrap type="none"/>
          </v:group>
        </w:pict>
      </w:r>
      <w:r>
        <w:rPr>
          <w:spacing w:val="-5"/>
          <w:sz w:val="11"/>
        </w:rPr>
        <w:t>86</w:t>
      </w:r>
      <w:r>
        <w:rPr>
          <w:sz w:val="11"/>
        </w:rPr>
        <w:tab/>
        <w:t>-</w:t>
      </w:r>
      <w:r>
        <w:rPr>
          <w:spacing w:val="-10"/>
          <w:sz w:val="11"/>
        </w:rPr>
        <w:t>2</w:t>
      </w:r>
    </w:p>
    <w:p>
      <w:pPr>
        <w:spacing w:after="0"/>
        <w:jc w:val="left"/>
        <w:rPr>
          <w:sz w:val="11"/>
        </w:rPr>
        <w:sectPr>
          <w:type w:val="continuous"/>
          <w:pgSz w:w="11910" w:h="16840"/>
          <w:pgMar w:header="0" w:footer="996" w:top="560" w:bottom="280" w:left="460" w:right="320"/>
          <w:cols w:num="3" w:equalWidth="0">
            <w:col w:w="3107" w:space="40"/>
            <w:col w:w="1211" w:space="2193"/>
            <w:col w:w="4579"/>
          </w:cols>
        </w:sectPr>
      </w:pPr>
    </w:p>
    <w:p>
      <w:pPr>
        <w:pStyle w:val="BodyText"/>
        <w:spacing w:before="5"/>
        <w:rPr>
          <w:sz w:val="9"/>
        </w:rPr>
      </w:pPr>
    </w:p>
    <w:p>
      <w:pPr>
        <w:pStyle w:val="BodyText"/>
        <w:ind w:left="1414"/>
      </w:pPr>
      <w:r>
        <w:rPr/>
        <w:pict>
          <v:group style="width:388.9pt;height:29.35pt;mso-position-horizontal-relative:char;mso-position-vertical-relative:line" id="docshapegroup283" coordorigin="0,0" coordsize="7778,587">
            <v:rect style="position:absolute;left:0;top:0;width:7778;height:587" id="docshape284" filled="true" fillcolor="#f1f1f1" stroked="false">
              <v:fill type="solid"/>
            </v:rect>
            <v:shape style="position:absolute;left:3035;top:103;width:1880;height:388" id="docshape285" coordorigin="3035,103" coordsize="1880,388" path="m4811,336l3035,336,3035,491,4811,491,4811,336xm4915,103l3035,103,3035,259,4915,259,4915,103xe" filled="true" fillcolor="#77923b" stroked="false">
              <v:path arrowok="t"/>
              <v:fill type="solid"/>
            </v:shape>
            <v:shape style="position:absolute;left:4811;top:103;width:1061;height:388" id="docshape286" coordorigin="4811,103" coordsize="1061,388" path="m5803,336l4811,336,4811,491,5803,491,5803,336xm5872,103l4915,103,4915,259,5872,259,5872,103xe" filled="true" fillcolor="#9bba58" stroked="false">
              <v:path arrowok="t"/>
              <v:fill type="solid"/>
            </v:shape>
            <v:rect style="position:absolute;left:6380;top:103;width:69;height:156" id="docshape287" filled="true" fillcolor="#a6a6a6" stroked="false">
              <v:fill type="solid"/>
            </v:rect>
            <v:shape style="position:absolute;left:198;top:150;width:1527;height:275" type="#_x0000_t202" id="docshape288" filled="false" stroked="false">
              <v:textbox inset="0,0,0,0">
                <w:txbxContent>
                  <w:p>
                    <w:pPr>
                      <w:spacing w:before="2"/>
                      <w:ind w:left="0" w:right="0" w:firstLine="0"/>
                      <w:jc w:val="left"/>
                      <w:rPr>
                        <w:sz w:val="11"/>
                      </w:rPr>
                    </w:pPr>
                    <w:r>
                      <w:rPr>
                        <w:sz w:val="11"/>
                      </w:rPr>
                      <w:t>Understood</w:t>
                    </w:r>
                    <w:r>
                      <w:rPr>
                        <w:spacing w:val="23"/>
                        <w:sz w:val="11"/>
                      </w:rPr>
                      <w:t> </w:t>
                    </w:r>
                    <w:r>
                      <w:rPr>
                        <w:spacing w:val="-5"/>
                        <w:sz w:val="11"/>
                      </w:rPr>
                      <w:t>the</w:t>
                    </w:r>
                  </w:p>
                  <w:p>
                    <w:pPr>
                      <w:spacing w:before="4"/>
                      <w:ind w:left="0" w:right="0" w:firstLine="0"/>
                      <w:jc w:val="left"/>
                      <w:rPr>
                        <w:sz w:val="11"/>
                      </w:rPr>
                    </w:pPr>
                    <w:r>
                      <w:rPr>
                        <w:sz w:val="11"/>
                      </w:rPr>
                      <w:t>circumstances</w:t>
                    </w:r>
                    <w:r>
                      <w:rPr>
                        <w:spacing w:val="15"/>
                        <w:sz w:val="11"/>
                      </w:rPr>
                      <w:t> </w:t>
                    </w:r>
                    <w:r>
                      <w:rPr>
                        <w:sz w:val="11"/>
                      </w:rPr>
                      <w:t>of</w:t>
                    </w:r>
                    <w:r>
                      <w:rPr>
                        <w:spacing w:val="18"/>
                        <w:sz w:val="11"/>
                      </w:rPr>
                      <w:t> </w:t>
                    </w:r>
                    <w:r>
                      <w:rPr>
                        <w:sz w:val="11"/>
                      </w:rPr>
                      <w:t>the</w:t>
                    </w:r>
                    <w:r>
                      <w:rPr>
                        <w:spacing w:val="6"/>
                        <w:sz w:val="11"/>
                      </w:rPr>
                      <w:t> </w:t>
                    </w:r>
                    <w:r>
                      <w:rPr>
                        <w:spacing w:val="-4"/>
                        <w:sz w:val="11"/>
                      </w:rPr>
                      <w:t>case</w:t>
                    </w:r>
                  </w:p>
                </w:txbxContent>
              </v:textbox>
              <w10:wrap type="none"/>
            </v:shape>
            <v:shape style="position:absolute;left:2224;top:87;width:698;height:370" type="#_x0000_t202" id="docshape289" filled="false" stroked="false">
              <v:textbox inset="0,0,0,0">
                <w:txbxContent>
                  <w:p>
                    <w:pPr>
                      <w:spacing w:before="5"/>
                      <w:ind w:left="0" w:right="0" w:firstLine="0"/>
                      <w:jc w:val="left"/>
                      <w:rPr>
                        <w:sz w:val="9"/>
                      </w:rPr>
                    </w:pPr>
                    <w:r>
                      <w:rPr>
                        <w:w w:val="105"/>
                        <w:sz w:val="9"/>
                      </w:rPr>
                      <w:t>Claimant</w:t>
                    </w:r>
                    <w:r>
                      <w:rPr>
                        <w:spacing w:val="-3"/>
                        <w:w w:val="105"/>
                        <w:sz w:val="9"/>
                      </w:rPr>
                      <w:t> </w:t>
                    </w:r>
                    <w:r>
                      <w:rPr>
                        <w:spacing w:val="-4"/>
                        <w:w w:val="105"/>
                        <w:sz w:val="9"/>
                      </w:rPr>
                      <w:t>side</w:t>
                    </w:r>
                  </w:p>
                  <w:p>
                    <w:pPr>
                      <w:spacing w:line="240" w:lineRule="auto" w:before="11"/>
                      <w:rPr>
                        <w:sz w:val="11"/>
                      </w:rPr>
                    </w:pPr>
                  </w:p>
                  <w:p>
                    <w:pPr>
                      <w:spacing w:before="0"/>
                      <w:ind w:left="0" w:right="0" w:firstLine="0"/>
                      <w:jc w:val="left"/>
                      <w:rPr>
                        <w:sz w:val="9"/>
                      </w:rPr>
                    </w:pPr>
                    <w:r>
                      <w:rPr>
                        <w:w w:val="105"/>
                        <w:sz w:val="9"/>
                      </w:rPr>
                      <w:t>Employer</w:t>
                    </w:r>
                    <w:r>
                      <w:rPr>
                        <w:spacing w:val="-3"/>
                        <w:w w:val="105"/>
                        <w:sz w:val="9"/>
                      </w:rPr>
                      <w:t> </w:t>
                    </w:r>
                    <w:r>
                      <w:rPr>
                        <w:spacing w:val="-4"/>
                        <w:w w:val="105"/>
                        <w:sz w:val="9"/>
                      </w:rPr>
                      <w:t>side</w:t>
                    </w:r>
                  </w:p>
                </w:txbxContent>
              </v:textbox>
              <w10:wrap type="none"/>
            </v:shape>
            <v:shape style="position:absolute;left:3858;top:109;width:212;height:373" type="#_x0000_t202" id="docshape290" filled="false" stroked="false">
              <v:textbox inset="0,0,0,0">
                <w:txbxContent>
                  <w:p>
                    <w:pPr>
                      <w:spacing w:before="2"/>
                      <w:ind w:left="51" w:right="0" w:firstLine="0"/>
                      <w:jc w:val="left"/>
                      <w:rPr>
                        <w:sz w:val="11"/>
                      </w:rPr>
                    </w:pPr>
                    <w:r>
                      <w:rPr>
                        <w:color w:val="FFFFFF"/>
                        <w:spacing w:val="-5"/>
                        <w:sz w:val="11"/>
                      </w:rPr>
                      <w:t>55</w:t>
                    </w:r>
                  </w:p>
                  <w:p>
                    <w:pPr>
                      <w:spacing w:before="102"/>
                      <w:ind w:left="0" w:right="0" w:firstLine="0"/>
                      <w:jc w:val="left"/>
                      <w:rPr>
                        <w:sz w:val="11"/>
                      </w:rPr>
                    </w:pPr>
                    <w:r>
                      <w:rPr>
                        <w:color w:val="FFFFFF"/>
                        <w:spacing w:val="-5"/>
                        <w:sz w:val="11"/>
                      </w:rPr>
                      <w:t>52</w:t>
                    </w:r>
                  </w:p>
                </w:txbxContent>
              </v:textbox>
              <w10:wrap type="none"/>
            </v:shape>
            <v:shape style="position:absolute;left:5241;top:109;width:246;height:373" type="#_x0000_t202" id="docshape291" filled="false" stroked="false">
              <v:textbox inset="0,0,0,0">
                <w:txbxContent>
                  <w:p>
                    <w:pPr>
                      <w:spacing w:before="2"/>
                      <w:ind w:left="85" w:right="0" w:firstLine="0"/>
                      <w:jc w:val="left"/>
                      <w:rPr>
                        <w:sz w:val="11"/>
                      </w:rPr>
                    </w:pPr>
                    <w:r>
                      <w:rPr>
                        <w:spacing w:val="-5"/>
                        <w:sz w:val="11"/>
                      </w:rPr>
                      <w:t>28</w:t>
                    </w:r>
                  </w:p>
                  <w:p>
                    <w:pPr>
                      <w:spacing w:before="102"/>
                      <w:ind w:left="0" w:right="0" w:firstLine="0"/>
                      <w:jc w:val="left"/>
                      <w:rPr>
                        <w:sz w:val="11"/>
                      </w:rPr>
                    </w:pPr>
                    <w:r>
                      <w:rPr>
                        <w:spacing w:val="-5"/>
                        <w:sz w:val="11"/>
                      </w:rPr>
                      <w:t>29</w:t>
                    </w:r>
                  </w:p>
                </w:txbxContent>
              </v:textbox>
              <w10:wrap type="none"/>
            </v:shape>
            <v:shape style="position:absolute;left:5890;top:89;width:1020;height:392" type="#_x0000_t202" id="docshape292" filled="false" stroked="false">
              <v:textbox inset="0,0,0,0">
                <w:txbxContent>
                  <w:p>
                    <w:pPr>
                      <w:tabs>
                        <w:tab w:pos="859" w:val="left" w:leader="none"/>
                      </w:tabs>
                      <w:spacing w:before="1"/>
                      <w:ind w:left="51" w:right="0" w:firstLine="0"/>
                      <w:jc w:val="left"/>
                      <w:rPr>
                        <w:sz w:val="11"/>
                      </w:rPr>
                    </w:pPr>
                    <w:r>
                      <w:rPr>
                        <w:sz w:val="11"/>
                      </w:rPr>
                      <w:t>6</w:t>
                    </w:r>
                    <w:r>
                      <w:rPr>
                        <w:spacing w:val="43"/>
                        <w:sz w:val="11"/>
                      </w:rPr>
                      <w:t> </w:t>
                    </w:r>
                    <w:r>
                      <w:rPr>
                        <w:color w:val="000000"/>
                        <w:sz w:val="11"/>
                        <w:shd w:fill="94B3D6" w:color="auto" w:val="clear"/>
                      </w:rPr>
                      <w:t>3</w:t>
                    </w:r>
                    <w:r>
                      <w:rPr>
                        <w:color w:val="000000"/>
                        <w:spacing w:val="-22"/>
                        <w:sz w:val="11"/>
                      </w:rPr>
                      <w:t> </w:t>
                    </w:r>
                    <w:r>
                      <w:rPr>
                        <w:color w:val="FFFFFF"/>
                        <w:spacing w:val="27"/>
                        <w:sz w:val="11"/>
                        <w:shd w:fill="0063C7" w:color="auto" w:val="clear"/>
                      </w:rPr>
                      <w:t> </w:t>
                    </w:r>
                    <w:r>
                      <w:rPr>
                        <w:color w:val="FFFFFF"/>
                        <w:sz w:val="11"/>
                        <w:shd w:fill="0063C7" w:color="auto" w:val="clear"/>
                      </w:rPr>
                      <w:t>6</w:t>
                    </w:r>
                    <w:r>
                      <w:rPr>
                        <w:color w:val="FFFFFF"/>
                        <w:spacing w:val="-10"/>
                        <w:sz w:val="11"/>
                        <w:shd w:fill="0063C7" w:color="auto" w:val="clear"/>
                      </w:rPr>
                      <w:t> </w:t>
                    </w:r>
                    <w:r>
                      <w:rPr>
                        <w:color w:val="000000"/>
                        <w:spacing w:val="-12"/>
                        <w:sz w:val="11"/>
                      </w:rPr>
                      <w:t>2</w:t>
                    </w:r>
                    <w:r>
                      <w:rPr>
                        <w:color w:val="000000"/>
                        <w:sz w:val="11"/>
                      </w:rPr>
                      <w:tab/>
                    </w:r>
                    <w:r>
                      <w:rPr>
                        <w:color w:val="000000"/>
                        <w:spacing w:val="-5"/>
                        <w:position w:val="2"/>
                        <w:sz w:val="11"/>
                      </w:rPr>
                      <w:t>83</w:t>
                    </w:r>
                  </w:p>
                  <w:p>
                    <w:pPr>
                      <w:tabs>
                        <w:tab w:pos="859" w:val="left" w:leader="none"/>
                      </w:tabs>
                      <w:spacing w:before="83"/>
                      <w:ind w:left="0" w:right="0" w:firstLine="0"/>
                      <w:jc w:val="left"/>
                      <w:rPr>
                        <w:sz w:val="11"/>
                      </w:rPr>
                    </w:pPr>
                    <w:r>
                      <w:rPr>
                        <w:sz w:val="11"/>
                      </w:rPr>
                      <w:t>7</w:t>
                    </w:r>
                    <w:r>
                      <w:rPr>
                        <w:spacing w:val="59"/>
                        <w:sz w:val="11"/>
                      </w:rPr>
                      <w:t> </w:t>
                    </w:r>
                    <w:r>
                      <w:rPr>
                        <w:color w:val="000000"/>
                        <w:sz w:val="11"/>
                        <w:shd w:fill="94B3D6" w:color="auto" w:val="clear"/>
                      </w:rPr>
                      <w:t>3</w:t>
                    </w:r>
                    <w:r>
                      <w:rPr>
                        <w:color w:val="000000"/>
                        <w:spacing w:val="-24"/>
                        <w:sz w:val="11"/>
                      </w:rPr>
                      <w:t> </w:t>
                    </w:r>
                    <w:r>
                      <w:rPr>
                        <w:color w:val="FFFFFF"/>
                        <w:spacing w:val="27"/>
                        <w:sz w:val="11"/>
                        <w:shd w:fill="0063C7" w:color="auto" w:val="clear"/>
                      </w:rPr>
                      <w:t> </w:t>
                    </w:r>
                    <w:r>
                      <w:rPr>
                        <w:color w:val="FFFFFF"/>
                        <w:sz w:val="11"/>
                        <w:shd w:fill="0063C7" w:color="auto" w:val="clear"/>
                      </w:rPr>
                      <w:t>6</w:t>
                    </w:r>
                    <w:r>
                      <w:rPr>
                        <w:color w:val="FFFFFF"/>
                        <w:spacing w:val="21"/>
                        <w:sz w:val="11"/>
                        <w:shd w:fill="0063C7" w:color="auto" w:val="clear"/>
                      </w:rPr>
                      <w:t> </w:t>
                    </w:r>
                    <w:r>
                      <w:rPr>
                        <w:color w:val="000000"/>
                        <w:sz w:val="11"/>
                        <w:shd w:fill="0063C7" w:color="auto" w:val="clear"/>
                      </w:rPr>
                      <w:t>4</w:t>
                    </w:r>
                    <w:r>
                      <w:rPr>
                        <w:color w:val="000000"/>
                        <w:spacing w:val="-9"/>
                        <w:sz w:val="11"/>
                        <w:shd w:fill="0063C7" w:color="auto" w:val="clear"/>
                      </w:rPr>
                      <w:t> </w:t>
                    </w:r>
                    <w:r>
                      <w:rPr>
                        <w:color w:val="000000"/>
                        <w:sz w:val="11"/>
                      </w:rPr>
                      <w:tab/>
                    </w:r>
                    <w:r>
                      <w:rPr>
                        <w:color w:val="000000"/>
                        <w:spacing w:val="-5"/>
                        <w:position w:val="2"/>
                        <w:sz w:val="11"/>
                      </w:rPr>
                      <w:t>80</w:t>
                    </w:r>
                  </w:p>
                </w:txbxContent>
              </v:textbox>
              <w10:wrap type="none"/>
            </v:shape>
            <v:shape style="position:absolute;left:7374;top:89;width:161;height:376" type="#_x0000_t202" id="docshape293" filled="false" stroked="false">
              <v:textbox inset="0,0,0,0">
                <w:txbxContent>
                  <w:p>
                    <w:pPr>
                      <w:spacing w:before="2"/>
                      <w:ind w:left="0" w:right="0" w:firstLine="0"/>
                      <w:jc w:val="left"/>
                      <w:rPr>
                        <w:sz w:val="11"/>
                      </w:rPr>
                    </w:pPr>
                    <w:r>
                      <w:rPr>
                        <w:spacing w:val="-5"/>
                        <w:sz w:val="11"/>
                      </w:rPr>
                      <w:t>+6</w:t>
                    </w:r>
                  </w:p>
                  <w:p>
                    <w:pPr>
                      <w:spacing w:before="105"/>
                      <w:ind w:left="8" w:right="0" w:firstLine="0"/>
                      <w:jc w:val="left"/>
                      <w:rPr>
                        <w:sz w:val="11"/>
                      </w:rPr>
                    </w:pPr>
                    <w:r>
                      <w:rPr>
                        <w:sz w:val="11"/>
                      </w:rPr>
                      <w:t>-</w:t>
                    </w:r>
                    <w:r>
                      <w:rPr>
                        <w:spacing w:val="-10"/>
                        <w:sz w:val="11"/>
                      </w:rPr>
                      <w:t>5</w:t>
                    </w:r>
                  </w:p>
                </w:txbxContent>
              </v:textbox>
              <w10:wrap type="none"/>
            </v:shape>
          </v:group>
        </w:pict>
      </w:r>
      <w:r>
        <w:rPr/>
      </w:r>
    </w:p>
    <w:p>
      <w:pPr>
        <w:pStyle w:val="BodyText"/>
        <w:spacing w:before="9"/>
        <w:rPr>
          <w:sz w:val="5"/>
        </w:rPr>
      </w:pPr>
    </w:p>
    <w:p>
      <w:pPr>
        <w:spacing w:after="0"/>
        <w:rPr>
          <w:sz w:val="5"/>
        </w:rPr>
        <w:sectPr>
          <w:type w:val="continuous"/>
          <w:pgSz w:w="11910" w:h="16840"/>
          <w:pgMar w:header="0" w:footer="996" w:top="560" w:bottom="280" w:left="460" w:right="320"/>
        </w:sectPr>
      </w:pPr>
    </w:p>
    <w:p>
      <w:pPr>
        <w:spacing w:line="247" w:lineRule="auto" w:before="98"/>
        <w:ind w:left="1613" w:right="0" w:firstLine="0"/>
        <w:jc w:val="left"/>
        <w:rPr>
          <w:sz w:val="11"/>
        </w:rPr>
      </w:pPr>
      <w:r>
        <w:rPr>
          <w:sz w:val="11"/>
        </w:rPr>
        <w:t>Was actively involved in</w:t>
      </w:r>
      <w:r>
        <w:rPr>
          <w:spacing w:val="40"/>
          <w:sz w:val="11"/>
        </w:rPr>
        <w:t> </w:t>
      </w:r>
      <w:r>
        <w:rPr>
          <w:sz w:val="11"/>
        </w:rPr>
        <w:t>seeking</w:t>
      </w:r>
      <w:r>
        <w:rPr>
          <w:spacing w:val="12"/>
          <w:sz w:val="11"/>
        </w:rPr>
        <w:t> </w:t>
      </w:r>
      <w:r>
        <w:rPr>
          <w:sz w:val="11"/>
        </w:rPr>
        <w:t>an</w:t>
      </w:r>
      <w:r>
        <w:rPr>
          <w:spacing w:val="-4"/>
          <w:sz w:val="11"/>
        </w:rPr>
        <w:t> </w:t>
      </w:r>
      <w:r>
        <w:rPr>
          <w:sz w:val="11"/>
        </w:rPr>
        <w:t>agreement</w:t>
      </w:r>
      <w:r>
        <w:rPr>
          <w:spacing w:val="26"/>
          <w:sz w:val="11"/>
        </w:rPr>
        <w:t> </w:t>
      </w:r>
      <w:r>
        <w:rPr>
          <w:sz w:val="11"/>
        </w:rPr>
        <w:t>to</w:t>
      </w:r>
      <w:r>
        <w:rPr>
          <w:spacing w:val="40"/>
          <w:sz w:val="11"/>
        </w:rPr>
        <w:t> </w:t>
      </w:r>
      <w:r>
        <w:rPr>
          <w:spacing w:val="-2"/>
          <w:sz w:val="11"/>
        </w:rPr>
        <w:t>settle</w:t>
      </w:r>
    </w:p>
    <w:p>
      <w:pPr>
        <w:spacing w:line="240" w:lineRule="auto" w:before="11"/>
        <w:rPr>
          <w:sz w:val="9"/>
        </w:rPr>
      </w:pPr>
      <w:r>
        <w:rPr/>
        <w:br w:type="column"/>
      </w:r>
      <w:r>
        <w:rPr>
          <w:sz w:val="9"/>
        </w:rPr>
      </w:r>
    </w:p>
    <w:p>
      <w:pPr>
        <w:spacing w:line="559" w:lineRule="auto" w:before="0"/>
        <w:ind w:left="529" w:right="0" w:firstLine="0"/>
        <w:jc w:val="left"/>
        <w:rPr>
          <w:sz w:val="9"/>
        </w:rPr>
      </w:pPr>
      <w:r>
        <w:rPr>
          <w:w w:val="105"/>
          <w:sz w:val="9"/>
        </w:rPr>
        <w:t>Claimant</w:t>
      </w:r>
      <w:r>
        <w:rPr>
          <w:spacing w:val="-11"/>
          <w:w w:val="105"/>
          <w:sz w:val="9"/>
        </w:rPr>
        <w:t> </w:t>
      </w:r>
      <w:r>
        <w:rPr>
          <w:w w:val="105"/>
          <w:sz w:val="9"/>
        </w:rPr>
        <w:t>side</w:t>
      </w:r>
      <w:r>
        <w:rPr>
          <w:spacing w:val="40"/>
          <w:w w:val="105"/>
          <w:sz w:val="9"/>
        </w:rPr>
        <w:t> </w:t>
      </w:r>
      <w:r>
        <w:rPr>
          <w:w w:val="105"/>
          <w:sz w:val="9"/>
        </w:rPr>
        <w:t>Employer</w:t>
      </w:r>
      <w:r>
        <w:rPr>
          <w:spacing w:val="-3"/>
          <w:w w:val="105"/>
          <w:sz w:val="9"/>
        </w:rPr>
        <w:t> </w:t>
      </w:r>
      <w:r>
        <w:rPr>
          <w:spacing w:val="-4"/>
          <w:w w:val="105"/>
          <w:sz w:val="9"/>
        </w:rPr>
        <w:t>side</w:t>
      </w:r>
    </w:p>
    <w:p>
      <w:pPr>
        <w:tabs>
          <w:tab w:pos="2238" w:val="left" w:leader="none"/>
        </w:tabs>
        <w:spacing w:before="114"/>
        <w:ind w:left="1613" w:right="0" w:firstLine="0"/>
        <w:jc w:val="left"/>
        <w:rPr>
          <w:sz w:val="11"/>
        </w:rPr>
      </w:pPr>
      <w:r>
        <w:rPr/>
        <w:br w:type="column"/>
      </w:r>
      <w:r>
        <w:rPr>
          <w:spacing w:val="-5"/>
          <w:sz w:val="11"/>
        </w:rPr>
        <w:t>81</w:t>
      </w:r>
      <w:r>
        <w:rPr>
          <w:sz w:val="11"/>
        </w:rPr>
        <w:tab/>
      </w:r>
      <w:r>
        <w:rPr>
          <w:spacing w:val="-5"/>
          <w:sz w:val="11"/>
        </w:rPr>
        <w:t>+9</w:t>
      </w:r>
    </w:p>
    <w:p>
      <w:pPr>
        <w:tabs>
          <w:tab w:pos="2246" w:val="left" w:leader="none"/>
        </w:tabs>
        <w:spacing w:before="105"/>
        <w:ind w:left="1613" w:right="0" w:firstLine="0"/>
        <w:jc w:val="left"/>
        <w:rPr>
          <w:sz w:val="11"/>
        </w:rPr>
      </w:pPr>
      <w:r>
        <w:rPr/>
        <w:pict>
          <v:rect style="position:absolute;margin-left:370.082214pt;margin-top:4.988129pt;width:22.418521pt;height:8.188175pt;mso-position-horizontal-relative:page;mso-position-vertical-relative:paragraph;z-index:15786496" id="docshape294" filled="true" fillcolor="#f1f1f1" stroked="false">
            <v:fill type="solid"/>
            <w10:wrap type="none"/>
          </v:rect>
        </w:pict>
      </w:r>
      <w:r>
        <w:rPr/>
        <w:pict>
          <v:group style="position:absolute;margin-left:245.487pt;margin-top:-6.648243pt;width:170.75pt;height:7.8pt;mso-position-horizontal-relative:page;mso-position-vertical-relative:paragraph;z-index:15787520" id="docshapegroup295" coordorigin="4910,-133" coordsize="3415,156">
            <v:shape style="position:absolute;left:4909;top:-133;width:1949;height:156" type="#_x0000_t202" id="docshape296" filled="true" fillcolor="#77923b" stroked="false">
              <v:textbox inset="0,0,0,0">
                <w:txbxContent>
                  <w:p>
                    <w:pPr>
                      <w:spacing w:before="10"/>
                      <w:ind w:left="894" w:right="885" w:firstLine="0"/>
                      <w:jc w:val="center"/>
                      <w:rPr>
                        <w:color w:val="000000"/>
                        <w:sz w:val="11"/>
                      </w:rPr>
                    </w:pPr>
                    <w:r>
                      <w:rPr>
                        <w:color w:val="FFFFFF"/>
                        <w:spacing w:val="-5"/>
                        <w:sz w:val="11"/>
                      </w:rPr>
                      <w:t>57</w:t>
                    </w:r>
                  </w:p>
                </w:txbxContent>
              </v:textbox>
              <v:fill type="solid"/>
              <w10:wrap type="none"/>
            </v:shape>
            <v:shape style="position:absolute;left:6858;top:-133;width:820;height:156" type="#_x0000_t202" id="docshape297" filled="true" fillcolor="#9bba58" stroked="false">
              <v:textbox inset="0,0,0,0">
                <w:txbxContent>
                  <w:p>
                    <w:pPr>
                      <w:spacing w:before="10"/>
                      <w:ind w:left="328" w:right="322" w:firstLine="0"/>
                      <w:jc w:val="center"/>
                      <w:rPr>
                        <w:color w:val="000000"/>
                        <w:sz w:val="11"/>
                      </w:rPr>
                    </w:pPr>
                    <w:r>
                      <w:rPr>
                        <w:color w:val="000000"/>
                        <w:spacing w:val="-5"/>
                        <w:sz w:val="11"/>
                      </w:rPr>
                      <w:t>24</w:t>
                    </w:r>
                  </w:p>
                </w:txbxContent>
              </v:textbox>
              <v:fill type="solid"/>
              <w10:wrap type="none"/>
            </v:shape>
            <v:shape style="position:absolute;left:7677;top:-133;width:242;height:156" type="#_x0000_t202" id="docshape298" filled="true" fillcolor="#f1f1f1" stroked="false">
              <v:textbox inset="0,0,0,0">
                <w:txbxContent>
                  <w:p>
                    <w:pPr>
                      <w:spacing w:before="10"/>
                      <w:ind w:left="4" w:right="0" w:firstLine="0"/>
                      <w:jc w:val="center"/>
                      <w:rPr>
                        <w:color w:val="000000"/>
                        <w:sz w:val="11"/>
                      </w:rPr>
                    </w:pPr>
                    <w:r>
                      <w:rPr>
                        <w:color w:val="000000"/>
                        <w:w w:val="101"/>
                        <w:sz w:val="11"/>
                      </w:rPr>
                      <w:t>7</w:t>
                    </w:r>
                  </w:p>
                </w:txbxContent>
              </v:textbox>
              <v:fill type="solid"/>
              <w10:wrap type="none"/>
            </v:shape>
            <v:shape style="position:absolute;left:7919;top:-133;width:173;height:156" type="#_x0000_t202" id="docshape299" filled="true" fillcolor="#94b3d6" stroked="false">
              <v:textbox inset="0,0,0,0">
                <w:txbxContent>
                  <w:p>
                    <w:pPr>
                      <w:spacing w:before="10"/>
                      <w:ind w:left="50" w:right="0" w:firstLine="0"/>
                      <w:jc w:val="left"/>
                      <w:rPr>
                        <w:color w:val="000000"/>
                        <w:sz w:val="11"/>
                      </w:rPr>
                    </w:pPr>
                    <w:r>
                      <w:rPr>
                        <w:color w:val="000000"/>
                        <w:w w:val="101"/>
                        <w:sz w:val="11"/>
                      </w:rPr>
                      <w:t>5</w:t>
                    </w:r>
                  </w:p>
                </w:txbxContent>
              </v:textbox>
              <v:fill type="solid"/>
              <w10:wrap type="none"/>
            </v:shape>
            <v:rect style="position:absolute;left:8091;top:-133;width:130;height:156" id="docshape300" filled="true" fillcolor="#0063c7" stroked="false">
              <v:fill type="solid"/>
            </v:rect>
            <v:rect style="position:absolute;left:8220;top:-133;width:104;height:156" id="docshape301" filled="true" fillcolor="#a6a6a6" stroked="false">
              <v:fill type="solid"/>
            </v:rect>
            <v:shape style="position:absolute;left:8091;top:-133;width:233;height:156" type="#_x0000_t202" id="docshape302" filled="false" stroked="false">
              <v:textbox inset="0,0,0,0">
                <w:txbxContent>
                  <w:p>
                    <w:pPr>
                      <w:spacing w:before="10"/>
                      <w:ind w:left="31" w:right="0" w:firstLine="0"/>
                      <w:jc w:val="left"/>
                      <w:rPr>
                        <w:sz w:val="11"/>
                      </w:rPr>
                    </w:pPr>
                    <w:r>
                      <w:rPr>
                        <w:color w:val="FFFFFF"/>
                        <w:sz w:val="11"/>
                      </w:rPr>
                      <w:t>4</w:t>
                    </w:r>
                    <w:r>
                      <w:rPr>
                        <w:color w:val="FFFFFF"/>
                        <w:spacing w:val="-11"/>
                        <w:sz w:val="11"/>
                      </w:rPr>
                      <w:t> </w:t>
                    </w:r>
                    <w:r>
                      <w:rPr>
                        <w:spacing w:val="-12"/>
                        <w:sz w:val="11"/>
                      </w:rPr>
                      <w:t>3</w:t>
                    </w:r>
                  </w:p>
                </w:txbxContent>
              </v:textbox>
              <w10:wrap type="none"/>
            </v:shape>
            <w10:wrap type="none"/>
          </v:group>
        </w:pict>
      </w:r>
      <w:r>
        <w:rPr/>
        <w:pict>
          <v:group style="position:absolute;margin-left:245.487pt;margin-top:4.987812pt;width:170.75pt;height:8.2pt;mso-position-horizontal-relative:page;mso-position-vertical-relative:paragraph;z-index:15788032" id="docshapegroup303" coordorigin="4910,100" coordsize="3415,164">
            <v:shape style="position:absolute;left:4909;top:99;width:1604;height:164" type="#_x0000_t202" id="docshape304" filled="true" fillcolor="#77923b" stroked="false">
              <v:textbox inset="0,0,0,0">
                <w:txbxContent>
                  <w:p>
                    <w:pPr>
                      <w:spacing w:before="13"/>
                      <w:ind w:left="723" w:right="710" w:firstLine="0"/>
                      <w:jc w:val="center"/>
                      <w:rPr>
                        <w:color w:val="000000"/>
                        <w:sz w:val="11"/>
                      </w:rPr>
                    </w:pPr>
                    <w:r>
                      <w:rPr>
                        <w:color w:val="FFFFFF"/>
                        <w:spacing w:val="-5"/>
                        <w:sz w:val="11"/>
                      </w:rPr>
                      <w:t>47</w:t>
                    </w:r>
                  </w:p>
                </w:txbxContent>
              </v:textbox>
              <v:fill type="solid"/>
              <w10:wrap type="none"/>
            </v:shape>
            <v:shape style="position:absolute;left:6513;top:99;width:889;height:164" type="#_x0000_t202" id="docshape305" filled="true" fillcolor="#9bba58" stroked="false">
              <v:textbox inset="0,0,0,0">
                <w:txbxContent>
                  <w:p>
                    <w:pPr>
                      <w:spacing w:before="13"/>
                      <w:ind w:left="365" w:right="352" w:firstLine="0"/>
                      <w:jc w:val="center"/>
                      <w:rPr>
                        <w:color w:val="000000"/>
                        <w:sz w:val="11"/>
                      </w:rPr>
                    </w:pPr>
                    <w:r>
                      <w:rPr>
                        <w:color w:val="000000"/>
                        <w:spacing w:val="-5"/>
                        <w:sz w:val="11"/>
                      </w:rPr>
                      <w:t>26</w:t>
                    </w:r>
                  </w:p>
                </w:txbxContent>
              </v:textbox>
              <v:fill type="solid"/>
              <w10:wrap type="none"/>
            </v:shape>
            <v:rect style="position:absolute;left:8056;top:99;width:130;height:164" id="docshape306" filled="true" fillcolor="#0063c7" stroked="false">
              <v:fill type="solid"/>
            </v:rect>
            <v:rect style="position:absolute;left:8186;top:99;width:138;height:164" id="docshape307" filled="true" fillcolor="#a6a6a6" stroked="false">
              <v:fill type="solid"/>
            </v:rect>
            <v:shape style="position:absolute;left:8056;top:99;width:268;height:164" type="#_x0000_t202" id="docshape308" filled="false" stroked="false">
              <v:textbox inset="0,0,0,0">
                <w:txbxContent>
                  <w:p>
                    <w:pPr>
                      <w:spacing w:before="13"/>
                      <w:ind w:left="32" w:right="0" w:firstLine="0"/>
                      <w:jc w:val="left"/>
                      <w:rPr>
                        <w:sz w:val="11"/>
                      </w:rPr>
                    </w:pPr>
                    <w:r>
                      <w:rPr>
                        <w:color w:val="FFFFFF"/>
                        <w:sz w:val="11"/>
                      </w:rPr>
                      <w:t>4</w:t>
                    </w:r>
                    <w:r>
                      <w:rPr>
                        <w:color w:val="FFFFFF"/>
                        <w:spacing w:val="23"/>
                        <w:sz w:val="11"/>
                      </w:rPr>
                      <w:t> </w:t>
                    </w:r>
                    <w:r>
                      <w:rPr>
                        <w:spacing w:val="-10"/>
                        <w:sz w:val="11"/>
                      </w:rPr>
                      <w:t>4</w:t>
                    </w:r>
                  </w:p>
                </w:txbxContent>
              </v:textbox>
              <w10:wrap type="none"/>
            </v:shape>
            <v:shape style="position:absolute;left:7919;top:99;width:173;height:164" type="#_x0000_t202" id="docshape309" filled="true" fillcolor="#94b3d6" stroked="false">
              <v:textbox inset="0,0,0,0">
                <w:txbxContent>
                  <w:p>
                    <w:pPr>
                      <w:spacing w:before="13"/>
                      <w:ind w:left="-1" w:right="0" w:firstLine="0"/>
                      <w:jc w:val="left"/>
                      <w:rPr>
                        <w:color w:val="000000"/>
                        <w:sz w:val="11"/>
                      </w:rPr>
                    </w:pPr>
                    <w:r>
                      <w:rPr>
                        <w:color w:val="000000"/>
                        <w:w w:val="101"/>
                        <w:sz w:val="11"/>
                      </w:rPr>
                      <w:t>6</w:t>
                    </w:r>
                  </w:p>
                </w:txbxContent>
              </v:textbox>
              <v:fill type="solid"/>
              <w10:wrap type="none"/>
            </v:shape>
            <v:shape style="position:absolute;left:7401;top:99;width:518;height:164" type="#_x0000_t202" id="docshape310" filled="false" stroked="false">
              <v:textbox inset="0,0,0,0">
                <w:txbxContent>
                  <w:p>
                    <w:pPr>
                      <w:spacing w:before="13"/>
                      <w:ind w:left="158" w:right="0" w:firstLine="0"/>
                      <w:jc w:val="left"/>
                      <w:rPr>
                        <w:sz w:val="11"/>
                      </w:rPr>
                    </w:pPr>
                    <w:r>
                      <w:rPr>
                        <w:spacing w:val="-5"/>
                        <w:sz w:val="11"/>
                      </w:rPr>
                      <w:t>13</w:t>
                    </w:r>
                  </w:p>
                </w:txbxContent>
              </v:textbox>
              <w10:wrap type="none"/>
            </v:shape>
            <w10:wrap type="none"/>
          </v:group>
        </w:pict>
      </w:r>
      <w:r>
        <w:rPr/>
        <w:pict>
          <v:shape style="position:absolute;margin-left:473.984375pt;margin-top:-4.923889pt;width:4.350pt;height:3.9pt;mso-position-horizontal-relative:page;mso-position-vertical-relative:paragraph;z-index:15790080" id="docshape311" coordorigin="9480,-98" coordsize="87,78" path="m9566,-21l9480,-21,9523,-98,9566,-21xe" filled="true" fillcolor="#666666" stroked="false">
            <v:path arrowok="t"/>
            <v:fill type="solid"/>
            <w10:wrap type="none"/>
          </v:shape>
        </w:pict>
      </w:r>
      <w:r>
        <w:rPr>
          <w:spacing w:val="-5"/>
          <w:sz w:val="11"/>
        </w:rPr>
        <w:t>73</w:t>
      </w:r>
      <w:r>
        <w:rPr>
          <w:sz w:val="11"/>
        </w:rPr>
        <w:tab/>
        <w:t>-</w:t>
      </w:r>
      <w:r>
        <w:rPr>
          <w:spacing w:val="-10"/>
          <w:sz w:val="11"/>
        </w:rPr>
        <w:t>6</w:t>
      </w:r>
    </w:p>
    <w:p>
      <w:pPr>
        <w:spacing w:after="0"/>
        <w:jc w:val="left"/>
        <w:rPr>
          <w:sz w:val="11"/>
        </w:rPr>
        <w:sectPr>
          <w:type w:val="continuous"/>
          <w:pgSz w:w="11910" w:h="16840"/>
          <w:pgMar w:header="0" w:footer="996" w:top="560" w:bottom="280" w:left="460" w:right="320"/>
          <w:cols w:num="3" w:equalWidth="0">
            <w:col w:w="3070" w:space="40"/>
            <w:col w:w="1248" w:space="2193"/>
            <w:col w:w="4579"/>
          </w:cols>
        </w:sectPr>
      </w:pPr>
    </w:p>
    <w:p>
      <w:pPr>
        <w:pStyle w:val="BodyText"/>
        <w:spacing w:before="3"/>
        <w:rPr>
          <w:sz w:val="7"/>
        </w:rPr>
      </w:pPr>
    </w:p>
    <w:p>
      <w:pPr>
        <w:pStyle w:val="BodyText"/>
        <w:ind w:left="1414"/>
      </w:pPr>
      <w:r>
        <w:rPr/>
        <w:pict>
          <v:group style="width:388.9pt;height:29.35pt;mso-position-horizontal-relative:char;mso-position-vertical-relative:line" id="docshapegroup312" coordorigin="0,0" coordsize="7778,587">
            <v:rect style="position:absolute;left:0;top:0;width:7778;height:587" id="docshape313" filled="true" fillcolor="#f1f1f1" stroked="false">
              <v:fill type="solid"/>
            </v:rect>
            <v:shape style="position:absolute;left:3035;top:103;width:2018;height:397" id="docshape314" coordorigin="3035,103" coordsize="2018,397" path="m4708,345l3035,345,3035,500,4708,500,4708,345xm5053,103l3035,103,3035,259,5053,259,5053,103xe" filled="true" fillcolor="#77923b" stroked="false">
              <v:path arrowok="t"/>
              <v:fill type="solid"/>
            </v:shape>
            <v:shape style="position:absolute;left:4707;top:103;width:1027;height:397" id="docshape315" coordorigin="4708,103" coordsize="1027,397" path="m5562,345l4708,345,4708,500,5562,500,5562,345xm5734,103l5053,103,5053,259,5734,259,5734,103xe" filled="true" fillcolor="#9bba58" stroked="false">
              <v:path arrowok="t"/>
              <v:fill type="solid"/>
            </v:shape>
            <v:shape style="position:absolute;left:2224;top:94;width:672;height:116" type="#_x0000_t202" id="docshape316" filled="false" stroked="false">
              <v:textbox inset="0,0,0,0">
                <w:txbxContent>
                  <w:p>
                    <w:pPr>
                      <w:spacing w:before="5"/>
                      <w:ind w:left="0" w:right="0" w:firstLine="0"/>
                      <w:jc w:val="left"/>
                      <w:rPr>
                        <w:sz w:val="9"/>
                      </w:rPr>
                    </w:pPr>
                    <w:r>
                      <w:rPr>
                        <w:w w:val="105"/>
                        <w:sz w:val="9"/>
                      </w:rPr>
                      <w:t>Claimant</w:t>
                    </w:r>
                    <w:r>
                      <w:rPr>
                        <w:spacing w:val="-3"/>
                        <w:w w:val="105"/>
                        <w:sz w:val="9"/>
                      </w:rPr>
                      <w:t> </w:t>
                    </w:r>
                    <w:r>
                      <w:rPr>
                        <w:spacing w:val="-4"/>
                        <w:w w:val="105"/>
                        <w:sz w:val="9"/>
                      </w:rPr>
                      <w:t>side</w:t>
                    </w:r>
                  </w:p>
                </w:txbxContent>
              </v:textbox>
              <w10:wrap type="none"/>
            </v:shape>
            <v:shape style="position:absolute;left:3978;top:113;width:161;height:137" type="#_x0000_t202" id="docshape317" filled="false" stroked="false">
              <v:textbox inset="0,0,0,0">
                <w:txbxContent>
                  <w:p>
                    <w:pPr>
                      <w:spacing w:before="2"/>
                      <w:ind w:left="0" w:right="0" w:firstLine="0"/>
                      <w:jc w:val="left"/>
                      <w:rPr>
                        <w:sz w:val="11"/>
                      </w:rPr>
                    </w:pPr>
                    <w:r>
                      <w:rPr>
                        <w:color w:val="FFFFFF"/>
                        <w:spacing w:val="-5"/>
                        <w:sz w:val="11"/>
                      </w:rPr>
                      <w:t>59</w:t>
                    </w:r>
                  </w:p>
                </w:txbxContent>
              </v:textbox>
              <w10:wrap type="none"/>
            </v:shape>
            <v:shape style="position:absolute;left:5326;top:113;width:161;height:137" type="#_x0000_t202" id="docshape318" filled="false" stroked="false">
              <v:textbox inset="0,0,0,0">
                <w:txbxContent>
                  <w:p>
                    <w:pPr>
                      <w:spacing w:before="2"/>
                      <w:ind w:left="0" w:right="0" w:firstLine="0"/>
                      <w:jc w:val="left"/>
                      <w:rPr>
                        <w:sz w:val="11"/>
                      </w:rPr>
                    </w:pPr>
                    <w:r>
                      <w:rPr>
                        <w:spacing w:val="-5"/>
                        <w:sz w:val="11"/>
                      </w:rPr>
                      <w:t>20</w:t>
                    </w:r>
                  </w:p>
                </w:txbxContent>
              </v:textbox>
              <w10:wrap type="none"/>
            </v:shape>
            <v:shape style="position:absolute;left:198;top:224;width:1131;height:137" type="#_x0000_t202" id="docshape319" filled="false" stroked="false">
              <v:textbox inset="0,0,0,0">
                <w:txbxContent>
                  <w:p>
                    <w:pPr>
                      <w:spacing w:before="2"/>
                      <w:ind w:left="0" w:right="0" w:firstLine="0"/>
                      <w:jc w:val="left"/>
                      <w:rPr>
                        <w:sz w:val="11"/>
                      </w:rPr>
                    </w:pPr>
                    <w:r>
                      <w:rPr>
                        <w:sz w:val="11"/>
                      </w:rPr>
                      <w:t>Was</w:t>
                    </w:r>
                    <w:r>
                      <w:rPr>
                        <w:spacing w:val="10"/>
                        <w:sz w:val="11"/>
                      </w:rPr>
                      <w:t> </w:t>
                    </w:r>
                    <w:r>
                      <w:rPr>
                        <w:spacing w:val="-2"/>
                        <w:sz w:val="11"/>
                      </w:rPr>
                      <w:t>knowledgeable</w:t>
                    </w:r>
                  </w:p>
                </w:txbxContent>
              </v:textbox>
              <w10:wrap type="none"/>
            </v:shape>
            <v:shape style="position:absolute;left:2224;top:349;width:698;height:116" type="#_x0000_t202" id="docshape320" filled="false" stroked="false">
              <v:textbox inset="0,0,0,0">
                <w:txbxContent>
                  <w:p>
                    <w:pPr>
                      <w:spacing w:before="5"/>
                      <w:ind w:left="0" w:right="0" w:firstLine="0"/>
                      <w:jc w:val="left"/>
                      <w:rPr>
                        <w:sz w:val="9"/>
                      </w:rPr>
                    </w:pPr>
                    <w:r>
                      <w:rPr>
                        <w:w w:val="105"/>
                        <w:sz w:val="9"/>
                      </w:rPr>
                      <w:t>Employer</w:t>
                    </w:r>
                    <w:r>
                      <w:rPr>
                        <w:spacing w:val="-3"/>
                        <w:w w:val="105"/>
                        <w:sz w:val="9"/>
                      </w:rPr>
                      <w:t> </w:t>
                    </w:r>
                    <w:r>
                      <w:rPr>
                        <w:spacing w:val="-4"/>
                        <w:w w:val="105"/>
                        <w:sz w:val="9"/>
                      </w:rPr>
                      <w:t>side</w:t>
                    </w:r>
                  </w:p>
                </w:txbxContent>
              </v:textbox>
              <w10:wrap type="none"/>
            </v:shape>
            <v:shape style="position:absolute;left:3807;top:349;width:161;height:137" type="#_x0000_t202" id="docshape321" filled="false" stroked="false">
              <v:textbox inset="0,0,0,0">
                <w:txbxContent>
                  <w:p>
                    <w:pPr>
                      <w:spacing w:before="2"/>
                      <w:ind w:left="0" w:right="0" w:firstLine="0"/>
                      <w:jc w:val="left"/>
                      <w:rPr>
                        <w:sz w:val="11"/>
                      </w:rPr>
                    </w:pPr>
                    <w:r>
                      <w:rPr>
                        <w:color w:val="FFFFFF"/>
                        <w:spacing w:val="-5"/>
                        <w:sz w:val="11"/>
                      </w:rPr>
                      <w:t>49</w:t>
                    </w:r>
                  </w:p>
                </w:txbxContent>
              </v:textbox>
              <w10:wrap type="none"/>
            </v:shape>
            <v:shape style="position:absolute;left:5070;top:349;width:161;height:137" type="#_x0000_t202" id="docshape322" filled="false" stroked="false">
              <v:textbox inset="0,0,0,0">
                <w:txbxContent>
                  <w:p>
                    <w:pPr>
                      <w:spacing w:before="2"/>
                      <w:ind w:left="0" w:right="0" w:firstLine="0"/>
                      <w:jc w:val="left"/>
                      <w:rPr>
                        <w:sz w:val="11"/>
                      </w:rPr>
                    </w:pPr>
                    <w:r>
                      <w:rPr>
                        <w:spacing w:val="-5"/>
                        <w:sz w:val="11"/>
                      </w:rPr>
                      <w:t>25</w:t>
                    </w:r>
                  </w:p>
                </w:txbxContent>
              </v:textbox>
              <w10:wrap type="none"/>
            </v:shape>
            <v:shape style="position:absolute;left:5736;top:110;width:1174;height:376" type="#_x0000_t202" id="docshape323" filled="false" stroked="false">
              <v:textbox inset="0,0,0,0">
                <w:txbxContent>
                  <w:p>
                    <w:pPr>
                      <w:tabs>
                        <w:tab w:pos="893" w:val="left" w:leader="none"/>
                      </w:tabs>
                      <w:spacing w:before="4"/>
                      <w:ind w:left="0" w:right="18" w:firstLine="0"/>
                      <w:jc w:val="right"/>
                      <w:rPr>
                        <w:sz w:val="11"/>
                      </w:rPr>
                    </w:pPr>
                    <w:r>
                      <w:rPr>
                        <w:sz w:val="11"/>
                      </w:rPr>
                      <w:t>11</w:t>
                    </w:r>
                    <w:r>
                      <w:rPr>
                        <w:spacing w:val="75"/>
                        <w:w w:val="101"/>
                        <w:sz w:val="11"/>
                      </w:rPr>
                      <w:t> </w:t>
                    </w:r>
                    <w:r>
                      <w:rPr>
                        <w:color w:val="000000"/>
                        <w:spacing w:val="-7"/>
                        <w:w w:val="101"/>
                        <w:sz w:val="11"/>
                        <w:shd w:fill="94B3D6" w:color="auto" w:val="clear"/>
                      </w:rPr>
                      <w:t> </w:t>
                    </w:r>
                    <w:r>
                      <w:rPr>
                        <w:color w:val="000000"/>
                        <w:sz w:val="11"/>
                        <w:shd w:fill="94B3D6" w:color="auto" w:val="clear"/>
                      </w:rPr>
                      <w:t>4</w:t>
                    </w:r>
                    <w:r>
                      <w:rPr>
                        <w:color w:val="000000"/>
                        <w:spacing w:val="-5"/>
                        <w:sz w:val="11"/>
                        <w:shd w:fill="94B3D6" w:color="auto" w:val="clear"/>
                      </w:rPr>
                      <w:t> </w:t>
                    </w:r>
                    <w:r>
                      <w:rPr>
                        <w:color w:val="000000"/>
                        <w:spacing w:val="-25"/>
                        <w:sz w:val="11"/>
                      </w:rPr>
                      <w:t> </w:t>
                    </w:r>
                    <w:r>
                      <w:rPr>
                        <w:color w:val="FFFFFF"/>
                        <w:sz w:val="11"/>
                        <w:shd w:fill="0063C7" w:color="auto" w:val="clear"/>
                      </w:rPr>
                      <w:t>3</w:t>
                    </w:r>
                    <w:r>
                      <w:rPr>
                        <w:color w:val="000000"/>
                        <w:sz w:val="11"/>
                        <w:shd w:fill="0063C7" w:color="auto" w:val="clear"/>
                      </w:rPr>
                      <w:t>3</w:t>
                    </w:r>
                    <w:r>
                      <w:rPr>
                        <w:color w:val="000000"/>
                        <w:spacing w:val="-9"/>
                        <w:sz w:val="11"/>
                        <w:shd w:fill="0063C7" w:color="auto" w:val="clear"/>
                      </w:rPr>
                      <w:t> </w:t>
                    </w:r>
                    <w:r>
                      <w:rPr>
                        <w:color w:val="000000"/>
                        <w:sz w:val="11"/>
                      </w:rPr>
                      <w:tab/>
                    </w:r>
                    <w:r>
                      <w:rPr>
                        <w:color w:val="000000"/>
                        <w:spacing w:val="-7"/>
                        <w:sz w:val="11"/>
                      </w:rPr>
                      <w:t>79</w:t>
                    </w:r>
                  </w:p>
                  <w:p>
                    <w:pPr>
                      <w:tabs>
                        <w:tab w:pos="1013" w:val="left" w:leader="none"/>
                      </w:tabs>
                      <w:spacing w:before="103"/>
                      <w:ind w:left="0" w:right="18" w:firstLine="0"/>
                      <w:jc w:val="right"/>
                      <w:rPr>
                        <w:sz w:val="11"/>
                      </w:rPr>
                    </w:pPr>
                    <w:r>
                      <w:rPr>
                        <w:sz w:val="11"/>
                      </w:rPr>
                      <w:t>14</w:t>
                    </w:r>
                    <w:r>
                      <w:rPr>
                        <w:spacing w:val="51"/>
                        <w:sz w:val="11"/>
                      </w:rPr>
                      <w:t>  </w:t>
                    </w:r>
                    <w:r>
                      <w:rPr>
                        <w:color w:val="000000"/>
                        <w:sz w:val="11"/>
                        <w:shd w:fill="94B3D6" w:color="auto" w:val="clear"/>
                      </w:rPr>
                      <w:t>3</w:t>
                    </w:r>
                    <w:r>
                      <w:rPr>
                        <w:color w:val="000000"/>
                        <w:spacing w:val="-6"/>
                        <w:sz w:val="11"/>
                      </w:rPr>
                      <w:t> </w:t>
                    </w:r>
                    <w:r>
                      <w:rPr>
                        <w:color w:val="FFFFFF"/>
                        <w:sz w:val="11"/>
                        <w:shd w:fill="0063C7" w:color="auto" w:val="clear"/>
                      </w:rPr>
                      <w:t>3</w:t>
                    </w:r>
                    <w:r>
                      <w:rPr>
                        <w:color w:val="FFFFFF"/>
                        <w:spacing w:val="-23"/>
                        <w:sz w:val="11"/>
                      </w:rPr>
                      <w:t> </w:t>
                    </w:r>
                    <w:r>
                      <w:rPr>
                        <w:color w:val="000000"/>
                        <w:spacing w:val="57"/>
                        <w:sz w:val="11"/>
                        <w:shd w:fill="A6A6A6" w:color="auto" w:val="clear"/>
                      </w:rPr>
                      <w:t> </w:t>
                    </w:r>
                    <w:r>
                      <w:rPr>
                        <w:color w:val="000000"/>
                        <w:sz w:val="11"/>
                        <w:shd w:fill="A6A6A6" w:color="auto" w:val="clear"/>
                      </w:rPr>
                      <w:t>8</w:t>
                    </w:r>
                    <w:r>
                      <w:rPr>
                        <w:color w:val="000000"/>
                        <w:spacing w:val="-9"/>
                        <w:sz w:val="11"/>
                        <w:shd w:fill="A6A6A6" w:color="auto" w:val="clear"/>
                      </w:rPr>
                      <w:t> </w:t>
                    </w:r>
                    <w:r>
                      <w:rPr>
                        <w:color w:val="000000"/>
                        <w:sz w:val="11"/>
                      </w:rPr>
                      <w:tab/>
                    </w:r>
                    <w:r>
                      <w:rPr>
                        <w:color w:val="000000"/>
                        <w:spacing w:val="-5"/>
                        <w:sz w:val="11"/>
                      </w:rPr>
                      <w:t>73</w:t>
                    </w:r>
                  </w:p>
                </w:txbxContent>
              </v:textbox>
              <w10:wrap type="none"/>
            </v:shape>
            <v:shape style="position:absolute;left:7374;top:110;width:155;height:376" type="#_x0000_t202" id="docshape324" filled="false" stroked="false">
              <v:textbox inset="0,0,0,0">
                <w:txbxContent>
                  <w:p>
                    <w:pPr>
                      <w:spacing w:before="2"/>
                      <w:ind w:left="0" w:right="0" w:firstLine="0"/>
                      <w:jc w:val="left"/>
                      <w:rPr>
                        <w:sz w:val="11"/>
                      </w:rPr>
                    </w:pPr>
                    <w:r>
                      <w:rPr>
                        <w:spacing w:val="-9"/>
                        <w:sz w:val="11"/>
                      </w:rPr>
                      <w:t>+6</w:t>
                    </w:r>
                  </w:p>
                  <w:p>
                    <w:pPr>
                      <w:spacing w:before="105"/>
                      <w:ind w:left="0" w:right="0" w:firstLine="0"/>
                      <w:jc w:val="left"/>
                      <w:rPr>
                        <w:sz w:val="11"/>
                      </w:rPr>
                    </w:pPr>
                    <w:r>
                      <w:rPr>
                        <w:spacing w:val="-9"/>
                        <w:sz w:val="11"/>
                      </w:rPr>
                      <w:t>+2</w:t>
                    </w:r>
                  </w:p>
                </w:txbxContent>
              </v:textbox>
              <w10:wrap type="none"/>
            </v:shape>
          </v:group>
        </w:pict>
      </w:r>
      <w:r>
        <w:rPr/>
      </w:r>
    </w:p>
    <w:p>
      <w:pPr>
        <w:pStyle w:val="BodyText"/>
        <w:rPr>
          <w:sz w:val="7"/>
        </w:rPr>
      </w:pPr>
    </w:p>
    <w:p>
      <w:pPr>
        <w:spacing w:after="0"/>
        <w:rPr>
          <w:sz w:val="7"/>
        </w:rPr>
        <w:sectPr>
          <w:type w:val="continuous"/>
          <w:pgSz w:w="11910" w:h="16840"/>
          <w:pgMar w:header="0" w:footer="996" w:top="560" w:bottom="280" w:left="460" w:right="320"/>
        </w:sectPr>
      </w:pPr>
    </w:p>
    <w:p>
      <w:pPr>
        <w:pStyle w:val="BodyText"/>
        <w:spacing w:before="11"/>
        <w:rPr>
          <w:sz w:val="12"/>
        </w:rPr>
      </w:pPr>
    </w:p>
    <w:p>
      <w:pPr>
        <w:spacing w:line="247" w:lineRule="auto" w:before="0"/>
        <w:ind w:left="1613" w:right="0" w:firstLine="0"/>
        <w:jc w:val="left"/>
        <w:rPr>
          <w:sz w:val="11"/>
        </w:rPr>
      </w:pPr>
      <w:r>
        <w:rPr>
          <w:sz w:val="11"/>
        </w:rPr>
        <w:t>Understood</w:t>
      </w:r>
      <w:r>
        <w:rPr>
          <w:spacing w:val="16"/>
          <w:sz w:val="11"/>
        </w:rPr>
        <w:t> </w:t>
      </w:r>
      <w:r>
        <w:rPr>
          <w:sz w:val="11"/>
        </w:rPr>
        <w:t>how you</w:t>
      </w:r>
      <w:r>
        <w:rPr>
          <w:spacing w:val="-1"/>
          <w:sz w:val="11"/>
        </w:rPr>
        <w:t> </w:t>
      </w:r>
      <w:r>
        <w:rPr>
          <w:sz w:val="11"/>
        </w:rPr>
        <w:t>felt</w:t>
      </w:r>
      <w:r>
        <w:rPr>
          <w:spacing w:val="40"/>
          <w:sz w:val="11"/>
        </w:rPr>
        <w:t> </w:t>
      </w:r>
      <w:r>
        <w:rPr>
          <w:sz w:val="11"/>
        </w:rPr>
        <w:t>about the case</w:t>
      </w:r>
    </w:p>
    <w:p>
      <w:pPr>
        <w:spacing w:line="559" w:lineRule="auto" w:before="105"/>
        <w:ind w:left="570" w:right="0" w:firstLine="0"/>
        <w:jc w:val="left"/>
        <w:rPr>
          <w:sz w:val="9"/>
        </w:rPr>
      </w:pPr>
      <w:r>
        <w:rPr/>
        <w:br w:type="column"/>
      </w:r>
      <w:r>
        <w:rPr>
          <w:w w:val="105"/>
          <w:sz w:val="9"/>
        </w:rPr>
        <w:t>Claimant</w:t>
      </w:r>
      <w:r>
        <w:rPr>
          <w:spacing w:val="-11"/>
          <w:w w:val="105"/>
          <w:sz w:val="9"/>
        </w:rPr>
        <w:t> </w:t>
      </w:r>
      <w:r>
        <w:rPr>
          <w:w w:val="105"/>
          <w:sz w:val="9"/>
        </w:rPr>
        <w:t>side</w:t>
      </w:r>
      <w:r>
        <w:rPr>
          <w:spacing w:val="40"/>
          <w:w w:val="105"/>
          <w:sz w:val="9"/>
        </w:rPr>
        <w:t> </w:t>
      </w:r>
      <w:r>
        <w:rPr>
          <w:w w:val="105"/>
          <w:sz w:val="9"/>
        </w:rPr>
        <w:t>Employer</w:t>
      </w:r>
      <w:r>
        <w:rPr>
          <w:spacing w:val="-3"/>
          <w:w w:val="105"/>
          <w:sz w:val="9"/>
        </w:rPr>
        <w:t> </w:t>
      </w:r>
      <w:r>
        <w:rPr>
          <w:spacing w:val="-4"/>
          <w:w w:val="105"/>
          <w:sz w:val="9"/>
        </w:rPr>
        <w:t>side</w:t>
      </w:r>
    </w:p>
    <w:p>
      <w:pPr>
        <w:tabs>
          <w:tab w:pos="2238" w:val="left" w:leader="none"/>
        </w:tabs>
        <w:spacing w:before="120"/>
        <w:ind w:left="1613" w:right="0" w:firstLine="0"/>
        <w:jc w:val="left"/>
        <w:rPr>
          <w:sz w:val="11"/>
        </w:rPr>
      </w:pPr>
      <w:r>
        <w:rPr/>
        <w:br w:type="column"/>
      </w:r>
      <w:r>
        <w:rPr>
          <w:spacing w:val="-5"/>
          <w:sz w:val="11"/>
        </w:rPr>
        <w:t>73</w:t>
      </w:r>
      <w:r>
        <w:rPr>
          <w:sz w:val="11"/>
        </w:rPr>
        <w:tab/>
      </w:r>
      <w:r>
        <w:rPr>
          <w:spacing w:val="-5"/>
          <w:sz w:val="11"/>
        </w:rPr>
        <w:t>+3</w:t>
      </w:r>
    </w:p>
    <w:p>
      <w:pPr>
        <w:tabs>
          <w:tab w:pos="2281" w:val="left" w:leader="none"/>
        </w:tabs>
        <w:spacing w:before="106"/>
        <w:ind w:left="1613" w:right="0" w:firstLine="0"/>
        <w:jc w:val="left"/>
        <w:rPr>
          <w:sz w:val="11"/>
        </w:rPr>
      </w:pPr>
      <w:r>
        <w:rPr/>
        <w:pict>
          <v:group style="position:absolute;margin-left:245.487pt;margin-top:-7.648293pt;width:170.75pt;height:8.2pt;mso-position-horizontal-relative:page;mso-position-vertical-relative:paragraph;z-index:15784960" id="docshapegroup325" coordorigin="4910,-153" coordsize="3415,164">
            <v:rect style="position:absolute;left:4909;top:-153;width:1777;height:164" id="docshape326" filled="true" fillcolor="#77923b" stroked="false">
              <v:fill type="solid"/>
            </v:rect>
            <v:rect style="position:absolute;left:6685;top:-153;width:716;height:164" id="docshape327" filled="true" fillcolor="#9bba58" stroked="false">
              <v:fill type="solid"/>
            </v:rect>
            <v:rect style="position:absolute;left:7401;top:-153;width:449;height:164" id="docshape328" filled="true" fillcolor="#f1f1f1" stroked="false">
              <v:fill type="solid"/>
            </v:rect>
            <v:rect style="position:absolute;left:7850;top:-153;width:138;height:164" id="docshape329" filled="true" fillcolor="#94b3d6" stroked="false">
              <v:fill type="solid"/>
            </v:rect>
            <v:rect style="position:absolute;left:7988;top:-153;width:199;height:164" id="docshape330" filled="true" fillcolor="#0063c7" stroked="false">
              <v:fill type="solid"/>
            </v:rect>
            <v:rect style="position:absolute;left:8186;top:-153;width:138;height:164" id="docshape331" filled="true" fillcolor="#a6a6a6" stroked="false">
              <v:fill type="solid"/>
            </v:rect>
            <v:shape style="position:absolute;left:5733;top:-142;width:161;height:137" type="#_x0000_t202" id="docshape332" filled="false" stroked="false">
              <v:textbox inset="0,0,0,0">
                <w:txbxContent>
                  <w:p>
                    <w:pPr>
                      <w:spacing w:before="2"/>
                      <w:ind w:left="0" w:right="0" w:firstLine="0"/>
                      <w:jc w:val="left"/>
                      <w:rPr>
                        <w:sz w:val="11"/>
                      </w:rPr>
                    </w:pPr>
                    <w:r>
                      <w:rPr>
                        <w:color w:val="FFFFFF"/>
                        <w:spacing w:val="-5"/>
                        <w:sz w:val="11"/>
                      </w:rPr>
                      <w:t>52</w:t>
                    </w:r>
                  </w:p>
                </w:txbxContent>
              </v:textbox>
              <w10:wrap type="none"/>
            </v:shape>
            <v:shape style="position:absolute;left:6979;top:-142;width:161;height:137" type="#_x0000_t202" id="docshape333" filled="false" stroked="false">
              <v:textbox inset="0,0,0,0">
                <w:txbxContent>
                  <w:p>
                    <w:pPr>
                      <w:spacing w:before="2"/>
                      <w:ind w:left="0" w:right="0" w:firstLine="0"/>
                      <w:jc w:val="left"/>
                      <w:rPr>
                        <w:sz w:val="11"/>
                      </w:rPr>
                    </w:pPr>
                    <w:r>
                      <w:rPr>
                        <w:spacing w:val="-5"/>
                        <w:sz w:val="11"/>
                      </w:rPr>
                      <w:t>21</w:t>
                    </w:r>
                  </w:p>
                </w:txbxContent>
              </v:textbox>
              <w10:wrap type="none"/>
            </v:shape>
            <v:shape style="position:absolute;left:7559;top:-142;width:755;height:137" type="#_x0000_t202" id="docshape334" filled="false" stroked="false">
              <v:textbox inset="0,0,0,0">
                <w:txbxContent>
                  <w:p>
                    <w:pPr>
                      <w:spacing w:before="2"/>
                      <w:ind w:left="0" w:right="0" w:firstLine="0"/>
                      <w:jc w:val="left"/>
                      <w:rPr>
                        <w:sz w:val="11"/>
                      </w:rPr>
                    </w:pPr>
                    <w:r>
                      <w:rPr>
                        <w:sz w:val="11"/>
                      </w:rPr>
                      <w:t>13</w:t>
                    </w:r>
                    <w:r>
                      <w:rPr>
                        <w:spacing w:val="53"/>
                        <w:sz w:val="11"/>
                      </w:rPr>
                      <w:t>  </w:t>
                    </w:r>
                    <w:r>
                      <w:rPr>
                        <w:sz w:val="11"/>
                      </w:rPr>
                      <w:t>4</w:t>
                    </w:r>
                    <w:r>
                      <w:rPr>
                        <w:spacing w:val="60"/>
                        <w:sz w:val="11"/>
                      </w:rPr>
                      <w:t> </w:t>
                    </w:r>
                    <w:r>
                      <w:rPr>
                        <w:color w:val="FFFFFF"/>
                        <w:sz w:val="11"/>
                      </w:rPr>
                      <w:t>6</w:t>
                    </w:r>
                    <w:r>
                      <w:rPr>
                        <w:color w:val="FFFFFF"/>
                        <w:spacing w:val="57"/>
                        <w:sz w:val="11"/>
                      </w:rPr>
                      <w:t> </w:t>
                    </w:r>
                    <w:r>
                      <w:rPr>
                        <w:spacing w:val="-10"/>
                        <w:sz w:val="11"/>
                      </w:rPr>
                      <w:t>5</w:t>
                    </w:r>
                  </w:p>
                </w:txbxContent>
              </v:textbox>
              <w10:wrap type="none"/>
            </v:shape>
            <w10:wrap type="none"/>
          </v:group>
        </w:pict>
      </w:r>
      <w:r>
        <w:rPr/>
        <w:pict>
          <v:group style="position:absolute;margin-left:245.487pt;margin-top:4.418428pt;width:170.75pt;height:7.8pt;mso-position-horizontal-relative:page;mso-position-vertical-relative:paragraph;z-index:15785472" id="docshapegroup335" coordorigin="4910,88" coordsize="3415,156">
            <v:rect style="position:absolute;left:4909;top:88;width:1777;height:156" id="docshape336" filled="true" fillcolor="#77923b" stroked="false">
              <v:fill type="solid"/>
            </v:rect>
            <v:rect style="position:absolute;left:6685;top:88;width:820;height:156" id="docshape337" filled="true" fillcolor="#9bba58" stroked="false">
              <v:fill type="solid"/>
            </v:rect>
            <v:rect style="position:absolute;left:7505;top:88;width:311;height:156" id="docshape338" filled="true" fillcolor="#f1f1f1" stroked="false">
              <v:fill type="solid"/>
            </v:rect>
            <v:rect style="position:absolute;left:7815;top:88;width:69;height:156" id="docshape339" filled="true" fillcolor="#94b3d6" stroked="false">
              <v:fill type="solid"/>
            </v:rect>
            <v:rect style="position:absolute;left:7884;top:88;width:173;height:156" id="docshape340" filled="true" fillcolor="#0063c7" stroked="false">
              <v:fill type="solid"/>
            </v:rect>
            <v:rect style="position:absolute;left:8056;top:88;width:268;height:156" id="docshape341" filled="true" fillcolor="#a6a6a6" stroked="false">
              <v:fill type="solid"/>
            </v:rect>
            <v:shape style="position:absolute;left:5733;top:95;width:161;height:137" type="#_x0000_t202" id="docshape342" filled="false" stroked="false">
              <v:textbox inset="0,0,0,0">
                <w:txbxContent>
                  <w:p>
                    <w:pPr>
                      <w:spacing w:before="2"/>
                      <w:ind w:left="0" w:right="0" w:firstLine="0"/>
                      <w:jc w:val="left"/>
                      <w:rPr>
                        <w:sz w:val="11"/>
                      </w:rPr>
                    </w:pPr>
                    <w:r>
                      <w:rPr>
                        <w:color w:val="FFFFFF"/>
                        <w:spacing w:val="-5"/>
                        <w:sz w:val="11"/>
                      </w:rPr>
                      <w:t>52</w:t>
                    </w:r>
                  </w:p>
                </w:txbxContent>
              </v:textbox>
              <w10:wrap type="none"/>
            </v:shape>
            <v:shape style="position:absolute;left:7030;top:95;width:161;height:137" type="#_x0000_t202" id="docshape343" filled="false" stroked="false">
              <v:textbox inset="0,0,0,0">
                <w:txbxContent>
                  <w:p>
                    <w:pPr>
                      <w:spacing w:before="2"/>
                      <w:ind w:left="0" w:right="0" w:firstLine="0"/>
                      <w:jc w:val="left"/>
                      <w:rPr>
                        <w:sz w:val="11"/>
                      </w:rPr>
                    </w:pPr>
                    <w:r>
                      <w:rPr>
                        <w:spacing w:val="-5"/>
                        <w:sz w:val="11"/>
                      </w:rPr>
                      <w:t>24</w:t>
                    </w:r>
                  </w:p>
                </w:txbxContent>
              </v:textbox>
              <w10:wrap type="none"/>
            </v:shape>
            <v:shape style="position:absolute;left:7628;top:95;width:638;height:137" type="#_x0000_t202" id="docshape344" filled="false" stroked="false">
              <v:textbox inset="0,0,0,0">
                <w:txbxContent>
                  <w:p>
                    <w:pPr>
                      <w:spacing w:before="2"/>
                      <w:ind w:left="0" w:right="0" w:firstLine="0"/>
                      <w:jc w:val="left"/>
                      <w:rPr>
                        <w:sz w:val="11"/>
                      </w:rPr>
                    </w:pPr>
                    <w:r>
                      <w:rPr>
                        <w:sz w:val="11"/>
                      </w:rPr>
                      <w:t>9</w:t>
                    </w:r>
                    <w:r>
                      <w:rPr>
                        <w:spacing w:val="78"/>
                        <w:sz w:val="11"/>
                      </w:rPr>
                      <w:t> </w:t>
                    </w:r>
                    <w:r>
                      <w:rPr>
                        <w:sz w:val="11"/>
                      </w:rPr>
                      <w:t>2</w:t>
                    </w:r>
                    <w:r>
                      <w:rPr>
                        <w:spacing w:val="9"/>
                        <w:sz w:val="11"/>
                      </w:rPr>
                      <w:t> </w:t>
                    </w:r>
                    <w:r>
                      <w:rPr>
                        <w:color w:val="FFFFFF"/>
                        <w:sz w:val="11"/>
                      </w:rPr>
                      <w:t>5</w:t>
                    </w:r>
                    <w:r>
                      <w:rPr>
                        <w:color w:val="FFFFFF"/>
                        <w:spacing w:val="45"/>
                        <w:sz w:val="11"/>
                      </w:rPr>
                      <w:t>  </w:t>
                    </w:r>
                    <w:r>
                      <w:rPr>
                        <w:spacing w:val="-10"/>
                        <w:sz w:val="11"/>
                      </w:rPr>
                      <w:t>9</w:t>
                    </w:r>
                  </w:p>
                </w:txbxContent>
              </v:textbox>
              <w10:wrap type="none"/>
            </v:shape>
            <w10:wrap type="none"/>
          </v:group>
        </w:pict>
      </w:r>
      <w:r>
        <w:rPr>
          <w:spacing w:val="-5"/>
          <w:sz w:val="11"/>
        </w:rPr>
        <w:t>75</w:t>
      </w:r>
      <w:r>
        <w:rPr>
          <w:sz w:val="11"/>
        </w:rPr>
        <w:tab/>
      </w:r>
      <w:r>
        <w:rPr>
          <w:spacing w:val="-10"/>
          <w:sz w:val="11"/>
        </w:rPr>
        <w:t>0</w:t>
      </w:r>
    </w:p>
    <w:p>
      <w:pPr>
        <w:spacing w:after="0"/>
        <w:jc w:val="left"/>
        <w:rPr>
          <w:sz w:val="11"/>
        </w:rPr>
        <w:sectPr>
          <w:type w:val="continuous"/>
          <w:pgSz w:w="11910" w:h="16840"/>
          <w:pgMar w:header="0" w:footer="996" w:top="560" w:bottom="280" w:left="460" w:right="320"/>
          <w:cols w:num="3" w:equalWidth="0">
            <w:col w:w="3029" w:space="40"/>
            <w:col w:w="1289" w:space="2193"/>
            <w:col w:w="4579"/>
          </w:cols>
        </w:sectPr>
      </w:pPr>
    </w:p>
    <w:p>
      <w:pPr>
        <w:pStyle w:val="BodyText"/>
        <w:rPr>
          <w:sz w:val="8"/>
        </w:rPr>
      </w:pPr>
    </w:p>
    <w:p>
      <w:pPr>
        <w:pStyle w:val="BodyText"/>
        <w:ind w:left="1414"/>
      </w:pPr>
      <w:r>
        <w:rPr/>
        <w:pict>
          <v:group style="width:388.9pt;height:29.35pt;mso-position-horizontal-relative:char;mso-position-vertical-relative:line" id="docshapegroup345" coordorigin="0,0" coordsize="7778,587">
            <v:rect style="position:absolute;left:0;top:0;width:7778;height:587" id="docshape346" filled="true" fillcolor="#f1f1f1" stroked="false">
              <v:fill type="solid"/>
            </v:rect>
            <v:shape style="position:absolute;left:3035;top:103;width:1475;height:388" id="docshape347" coordorigin="3035,103" coordsize="1475,388" path="m4268,336l3035,336,3035,491,4268,491,4268,336xm4510,103l3035,103,3035,259,4510,259,4510,103xe" filled="true" fillcolor="#77923b" stroked="false">
              <v:path arrowok="t"/>
              <v:fill type="solid"/>
            </v:shape>
            <v:shape style="position:absolute;left:4268;top:103;width:716;height:388" id="docshape348" coordorigin="4268,103" coordsize="716,388" path="m4846,336l4268,336,4268,491,4846,491,4846,336xm4984,103l4510,103,4510,259,4984,259,4984,103xe" filled="true" fillcolor="#9bba58" stroked="false">
              <v:path arrowok="t"/>
              <v:fill type="solid"/>
            </v:shape>
            <v:shape style="position:absolute;left:198;top:83;width:1595;height:412" type="#_x0000_t202" id="docshape349" filled="false" stroked="false">
              <v:textbox inset="0,0,0,0">
                <w:txbxContent>
                  <w:p>
                    <w:pPr>
                      <w:spacing w:line="247" w:lineRule="auto" w:before="0"/>
                      <w:ind w:left="0" w:right="0" w:firstLine="0"/>
                      <w:jc w:val="left"/>
                      <w:rPr>
                        <w:sz w:val="11"/>
                      </w:rPr>
                    </w:pPr>
                    <w:r>
                      <w:rPr>
                        <w:sz w:val="11"/>
                      </w:rPr>
                      <w:t>Helped</w:t>
                    </w:r>
                    <w:r>
                      <w:rPr>
                        <w:spacing w:val="25"/>
                        <w:sz w:val="11"/>
                      </w:rPr>
                      <w:t> </w:t>
                    </w:r>
                    <w:r>
                      <w:rPr>
                        <w:sz w:val="11"/>
                      </w:rPr>
                      <w:t>you decide </w:t>
                    </w:r>
                    <w:r>
                      <w:rPr>
                        <w:sz w:val="11"/>
                      </w:rPr>
                      <w:t>whether</w:t>
                    </w:r>
                    <w:r>
                      <w:rPr>
                        <w:spacing w:val="40"/>
                        <w:sz w:val="11"/>
                      </w:rPr>
                      <w:t> </w:t>
                    </w:r>
                    <w:r>
                      <w:rPr>
                        <w:sz w:val="11"/>
                      </w:rPr>
                      <w:t>or not to settle, without</w:t>
                    </w:r>
                    <w:r>
                      <w:rPr>
                        <w:spacing w:val="40"/>
                        <w:sz w:val="11"/>
                      </w:rPr>
                      <w:t> </w:t>
                    </w:r>
                    <w:r>
                      <w:rPr>
                        <w:sz w:val="11"/>
                      </w:rPr>
                      <w:t>undue</w:t>
                    </w:r>
                    <w:r>
                      <w:rPr>
                        <w:spacing w:val="-2"/>
                        <w:sz w:val="11"/>
                      </w:rPr>
                      <w:t> </w:t>
                    </w:r>
                    <w:r>
                      <w:rPr>
                        <w:sz w:val="11"/>
                      </w:rPr>
                      <w:t>influence</w:t>
                    </w:r>
                  </w:p>
                </w:txbxContent>
              </v:textbox>
              <w10:wrap type="none"/>
            </v:shape>
            <v:shape style="position:absolute;left:2224;top:114;width:698;height:370" type="#_x0000_t202" id="docshape350" filled="false" stroked="false">
              <v:textbox inset="0,0,0,0">
                <w:txbxContent>
                  <w:p>
                    <w:pPr>
                      <w:spacing w:before="5"/>
                      <w:ind w:left="0" w:right="0" w:firstLine="0"/>
                      <w:jc w:val="left"/>
                      <w:rPr>
                        <w:sz w:val="9"/>
                      </w:rPr>
                    </w:pPr>
                    <w:r>
                      <w:rPr>
                        <w:w w:val="105"/>
                        <w:sz w:val="9"/>
                      </w:rPr>
                      <w:t>Claimant</w:t>
                    </w:r>
                    <w:r>
                      <w:rPr>
                        <w:spacing w:val="-3"/>
                        <w:w w:val="105"/>
                        <w:sz w:val="9"/>
                      </w:rPr>
                      <w:t> </w:t>
                    </w:r>
                    <w:r>
                      <w:rPr>
                        <w:spacing w:val="-4"/>
                        <w:w w:val="105"/>
                        <w:sz w:val="9"/>
                      </w:rPr>
                      <w:t>side</w:t>
                    </w:r>
                  </w:p>
                  <w:p>
                    <w:pPr>
                      <w:spacing w:line="240" w:lineRule="auto" w:before="11"/>
                      <w:rPr>
                        <w:sz w:val="11"/>
                      </w:rPr>
                    </w:pPr>
                  </w:p>
                  <w:p>
                    <w:pPr>
                      <w:spacing w:before="0"/>
                      <w:ind w:left="0" w:right="0" w:firstLine="0"/>
                      <w:jc w:val="left"/>
                      <w:rPr>
                        <w:sz w:val="9"/>
                      </w:rPr>
                    </w:pPr>
                    <w:r>
                      <w:rPr>
                        <w:w w:val="105"/>
                        <w:sz w:val="9"/>
                      </w:rPr>
                      <w:t>Employer</w:t>
                    </w:r>
                    <w:r>
                      <w:rPr>
                        <w:spacing w:val="-3"/>
                        <w:w w:val="105"/>
                        <w:sz w:val="9"/>
                      </w:rPr>
                      <w:t> </w:t>
                    </w:r>
                    <w:r>
                      <w:rPr>
                        <w:spacing w:val="-4"/>
                        <w:w w:val="105"/>
                        <w:sz w:val="9"/>
                      </w:rPr>
                      <w:t>side</w:t>
                    </w:r>
                  </w:p>
                </w:txbxContent>
              </v:textbox>
              <w10:wrap type="none"/>
            </v:shape>
            <v:shape style="position:absolute;left:3585;top:108;width:280;height:373" type="#_x0000_t202" id="docshape351" filled="false" stroked="false">
              <v:textbox inset="0,0,0,0">
                <w:txbxContent>
                  <w:p>
                    <w:pPr>
                      <w:spacing w:before="2"/>
                      <w:ind w:left="119" w:right="0" w:firstLine="0"/>
                      <w:jc w:val="left"/>
                      <w:rPr>
                        <w:sz w:val="11"/>
                      </w:rPr>
                    </w:pPr>
                    <w:r>
                      <w:rPr>
                        <w:color w:val="FFFFFF"/>
                        <w:spacing w:val="-5"/>
                        <w:sz w:val="11"/>
                      </w:rPr>
                      <w:t>43</w:t>
                    </w:r>
                  </w:p>
                  <w:p>
                    <w:pPr>
                      <w:spacing w:before="102"/>
                      <w:ind w:left="0" w:right="0" w:firstLine="0"/>
                      <w:jc w:val="left"/>
                      <w:rPr>
                        <w:sz w:val="11"/>
                      </w:rPr>
                    </w:pPr>
                    <w:r>
                      <w:rPr>
                        <w:color w:val="FFFFFF"/>
                        <w:spacing w:val="-5"/>
                        <w:sz w:val="11"/>
                      </w:rPr>
                      <w:t>36</w:t>
                    </w:r>
                  </w:p>
                </w:txbxContent>
              </v:textbox>
              <w10:wrap type="none"/>
            </v:shape>
            <v:shape style="position:absolute;left:4678;top:108;width:161;height:137" type="#_x0000_t202" id="docshape352" filled="false" stroked="false">
              <v:textbox inset="0,0,0,0">
                <w:txbxContent>
                  <w:p>
                    <w:pPr>
                      <w:spacing w:before="2"/>
                      <w:ind w:left="0" w:right="0" w:firstLine="0"/>
                      <w:jc w:val="left"/>
                      <w:rPr>
                        <w:sz w:val="11"/>
                      </w:rPr>
                    </w:pPr>
                    <w:r>
                      <w:rPr>
                        <w:spacing w:val="-5"/>
                        <w:sz w:val="11"/>
                      </w:rPr>
                      <w:t>14</w:t>
                    </w:r>
                  </w:p>
                </w:txbxContent>
              </v:textbox>
              <w10:wrap type="none"/>
            </v:shape>
            <v:shape style="position:absolute;left:4490;top:345;width:161;height:137" type="#_x0000_t202" id="docshape353" filled="false" stroked="false">
              <v:textbox inset="0,0,0,0">
                <w:txbxContent>
                  <w:p>
                    <w:pPr>
                      <w:spacing w:before="2"/>
                      <w:ind w:left="0" w:right="0" w:firstLine="0"/>
                      <w:jc w:val="left"/>
                      <w:rPr>
                        <w:sz w:val="11"/>
                      </w:rPr>
                    </w:pPr>
                    <w:r>
                      <w:rPr>
                        <w:spacing w:val="-5"/>
                        <w:sz w:val="11"/>
                      </w:rPr>
                      <w:t>17</w:t>
                    </w:r>
                  </w:p>
                </w:txbxContent>
              </v:textbox>
              <w10:wrap type="none"/>
            </v:shape>
            <v:shape style="position:absolute;left:5087;top:108;width:1823;height:390" type="#_x0000_t202" id="docshape354" filled="false" stroked="false">
              <v:textbox inset="0,0,0,0">
                <w:txbxContent>
                  <w:p>
                    <w:pPr>
                      <w:tabs>
                        <w:tab w:pos="1661" w:val="left" w:leader="none"/>
                      </w:tabs>
                      <w:spacing w:before="6"/>
                      <w:ind w:left="85" w:right="0" w:firstLine="0"/>
                      <w:jc w:val="left"/>
                      <w:rPr>
                        <w:sz w:val="11"/>
                      </w:rPr>
                    </w:pPr>
                    <w:r>
                      <w:rPr>
                        <w:position w:val="1"/>
                        <w:sz w:val="11"/>
                      </w:rPr>
                      <w:t>15</w:t>
                    </w:r>
                    <w:r>
                      <w:rPr>
                        <w:spacing w:val="56"/>
                        <w:position w:val="1"/>
                        <w:sz w:val="11"/>
                      </w:rPr>
                      <w:t>  </w:t>
                    </w:r>
                    <w:r>
                      <w:rPr>
                        <w:color w:val="000000"/>
                        <w:spacing w:val="43"/>
                        <w:position w:val="1"/>
                        <w:sz w:val="11"/>
                        <w:shd w:fill="94B3D6" w:color="auto" w:val="clear"/>
                      </w:rPr>
                      <w:t> </w:t>
                    </w:r>
                    <w:r>
                      <w:rPr>
                        <w:color w:val="000000"/>
                        <w:position w:val="1"/>
                        <w:sz w:val="11"/>
                        <w:shd w:fill="94B3D6" w:color="auto" w:val="clear"/>
                      </w:rPr>
                      <w:t>6</w:t>
                    </w:r>
                    <w:r>
                      <w:rPr>
                        <w:color w:val="FFFFFF"/>
                        <w:spacing w:val="80"/>
                        <w:position w:val="1"/>
                        <w:sz w:val="11"/>
                        <w:shd w:fill="94B3D6" w:color="auto" w:val="clear"/>
                      </w:rPr>
                      <w:t>  </w:t>
                    </w:r>
                    <w:r>
                      <w:rPr>
                        <w:color w:val="FFFFFF"/>
                        <w:position w:val="1"/>
                        <w:sz w:val="11"/>
                        <w:shd w:fill="94B3D6" w:color="auto" w:val="clear"/>
                      </w:rPr>
                      <w:t>14</w:t>
                    </w:r>
                    <w:r>
                      <w:rPr>
                        <w:color w:val="000000"/>
                        <w:spacing w:val="80"/>
                        <w:w w:val="150"/>
                        <w:position w:val="1"/>
                        <w:sz w:val="11"/>
                        <w:shd w:fill="94B3D6" w:color="auto" w:val="clear"/>
                      </w:rPr>
                      <w:t>  </w:t>
                    </w:r>
                    <w:r>
                      <w:rPr>
                        <w:color w:val="000000"/>
                        <w:position w:val="1"/>
                        <w:sz w:val="11"/>
                        <w:shd w:fill="94B3D6" w:color="auto" w:val="clear"/>
                      </w:rPr>
                      <w:t>8</w:t>
                    </w:r>
                    <w:r>
                      <w:rPr>
                        <w:color w:val="000000"/>
                        <w:spacing w:val="67"/>
                        <w:position w:val="1"/>
                        <w:sz w:val="11"/>
                        <w:shd w:fill="94B3D6" w:color="auto" w:val="clear"/>
                      </w:rPr>
                      <w:t> </w:t>
                    </w:r>
                    <w:r>
                      <w:rPr>
                        <w:color w:val="000000"/>
                        <w:position w:val="1"/>
                        <w:sz w:val="11"/>
                      </w:rPr>
                      <w:tab/>
                    </w:r>
                    <w:r>
                      <w:rPr>
                        <w:color w:val="000000"/>
                        <w:spacing w:val="-5"/>
                        <w:sz w:val="11"/>
                      </w:rPr>
                      <w:t>57</w:t>
                    </w:r>
                  </w:p>
                  <w:p>
                    <w:pPr>
                      <w:tabs>
                        <w:tab w:pos="370" w:val="left" w:leader="none"/>
                        <w:tab w:pos="1361" w:val="left" w:leader="none"/>
                        <w:tab w:pos="1661" w:val="left" w:leader="none"/>
                      </w:tabs>
                      <w:spacing w:before="86"/>
                      <w:ind w:left="0" w:right="0" w:firstLine="0"/>
                      <w:jc w:val="left"/>
                      <w:rPr>
                        <w:sz w:val="11"/>
                      </w:rPr>
                    </w:pPr>
                    <w:r>
                      <w:rPr>
                        <w:spacing w:val="-5"/>
                        <w:position w:val="2"/>
                        <w:sz w:val="11"/>
                      </w:rPr>
                      <w:t>18</w:t>
                    </w:r>
                    <w:r>
                      <w:rPr>
                        <w:position w:val="2"/>
                        <w:sz w:val="11"/>
                      </w:rPr>
                      <w:tab/>
                    </w:r>
                    <w:r>
                      <w:rPr>
                        <w:color w:val="000000"/>
                        <w:spacing w:val="19"/>
                        <w:position w:val="2"/>
                        <w:sz w:val="11"/>
                        <w:shd w:fill="94B3D6" w:color="auto" w:val="clear"/>
                      </w:rPr>
                      <w:t> </w:t>
                    </w:r>
                    <w:r>
                      <w:rPr>
                        <w:color w:val="000000"/>
                        <w:position w:val="2"/>
                        <w:sz w:val="11"/>
                        <w:shd w:fill="94B3D6" w:color="auto" w:val="clear"/>
                      </w:rPr>
                      <w:t>5</w:t>
                    </w:r>
                    <w:r>
                      <w:rPr>
                        <w:color w:val="FFFFFF"/>
                        <w:spacing w:val="80"/>
                        <w:w w:val="150"/>
                        <w:position w:val="2"/>
                        <w:sz w:val="11"/>
                        <w:shd w:fill="94B3D6" w:color="auto" w:val="clear"/>
                      </w:rPr>
                      <w:t> </w:t>
                    </w:r>
                    <w:r>
                      <w:rPr>
                        <w:color w:val="FFFFFF"/>
                        <w:position w:val="2"/>
                        <w:sz w:val="11"/>
                        <w:shd w:fill="94B3D6" w:color="auto" w:val="clear"/>
                      </w:rPr>
                      <w:t>7</w:t>
                    </w:r>
                    <w:r>
                      <w:rPr>
                        <w:color w:val="000000"/>
                        <w:spacing w:val="68"/>
                        <w:position w:val="2"/>
                        <w:sz w:val="11"/>
                        <w:shd w:fill="94B3D6" w:color="auto" w:val="clear"/>
                      </w:rPr>
                      <w:t>   </w:t>
                    </w:r>
                    <w:r>
                      <w:rPr>
                        <w:color w:val="000000"/>
                        <w:position w:val="2"/>
                        <w:sz w:val="11"/>
                        <w:shd w:fill="94B3D6" w:color="auto" w:val="clear"/>
                      </w:rPr>
                      <w:t>17</w:t>
                      <w:tab/>
                    </w:r>
                    <w:r>
                      <w:rPr>
                        <w:color w:val="000000"/>
                        <w:position w:val="2"/>
                        <w:sz w:val="11"/>
                      </w:rPr>
                      <w:tab/>
                    </w:r>
                    <w:r>
                      <w:rPr>
                        <w:color w:val="000000"/>
                        <w:spacing w:val="-5"/>
                        <w:sz w:val="11"/>
                      </w:rPr>
                      <w:t>53</w:t>
                    </w:r>
                  </w:p>
                </w:txbxContent>
              </v:textbox>
              <w10:wrap type="none"/>
            </v:shape>
            <v:shape style="position:absolute;left:7374;top:123;width:161;height:376" type="#_x0000_t202" id="docshape355" filled="false" stroked="false">
              <v:textbox inset="0,0,0,0">
                <w:txbxContent>
                  <w:p>
                    <w:pPr>
                      <w:spacing w:before="2"/>
                      <w:ind w:left="0" w:right="0" w:firstLine="0"/>
                      <w:jc w:val="left"/>
                      <w:rPr>
                        <w:sz w:val="11"/>
                      </w:rPr>
                    </w:pPr>
                    <w:r>
                      <w:rPr>
                        <w:spacing w:val="-5"/>
                        <w:sz w:val="11"/>
                      </w:rPr>
                      <w:t>+3</w:t>
                    </w:r>
                  </w:p>
                  <w:p>
                    <w:pPr>
                      <w:spacing w:before="105"/>
                      <w:ind w:left="8" w:right="0" w:firstLine="0"/>
                      <w:jc w:val="left"/>
                      <w:rPr>
                        <w:sz w:val="11"/>
                      </w:rPr>
                    </w:pPr>
                    <w:r>
                      <w:rPr>
                        <w:sz w:val="11"/>
                      </w:rPr>
                      <w:t>-</w:t>
                    </w:r>
                    <w:r>
                      <w:rPr>
                        <w:spacing w:val="-10"/>
                        <w:sz w:val="11"/>
                      </w:rPr>
                      <w:t>2</w:t>
                    </w:r>
                  </w:p>
                </w:txbxContent>
              </v:textbox>
              <w10:wrap type="none"/>
            </v:shape>
          </v:group>
        </w:pict>
      </w:r>
      <w:r>
        <w:rPr/>
      </w:r>
    </w:p>
    <w:p>
      <w:pPr>
        <w:pStyle w:val="BodyText"/>
        <w:spacing w:before="9"/>
        <w:rPr>
          <w:sz w:val="5"/>
        </w:rPr>
      </w:pPr>
    </w:p>
    <w:p>
      <w:pPr>
        <w:spacing w:after="0"/>
        <w:rPr>
          <w:sz w:val="5"/>
        </w:rPr>
        <w:sectPr>
          <w:type w:val="continuous"/>
          <w:pgSz w:w="11910" w:h="16840"/>
          <w:pgMar w:header="0" w:footer="996" w:top="560" w:bottom="280" w:left="460" w:right="320"/>
        </w:sectPr>
      </w:pPr>
    </w:p>
    <w:p>
      <w:pPr>
        <w:spacing w:line="247" w:lineRule="auto" w:before="66"/>
        <w:ind w:left="1420" w:right="0" w:firstLine="0"/>
        <w:jc w:val="left"/>
        <w:rPr>
          <w:sz w:val="11"/>
        </w:rPr>
      </w:pPr>
      <w:r>
        <w:rPr/>
        <w:pict>
          <v:shape style="position:absolute;margin-left:345.508026pt;margin-top:4.954925pt;width:7.8pt;height:3.9pt;mso-position-horizontal-relative:page;mso-position-vertical-relative:paragraph;z-index:15784448" id="docshape356" coordorigin="6910,99" coordsize="156,78" path="m6988,177l6949,99,6910,177,6988,177xm7065,99l6979,99,7022,177,7065,99xe" filled="true" fillcolor="#666666" stroked="false">
            <v:path arrowok="t"/>
            <v:fill type="solid"/>
            <w10:wrap type="none"/>
          </v:shape>
        </w:pict>
      </w:r>
      <w:r>
        <w:rPr>
          <w:sz w:val="11"/>
        </w:rPr>
        <w:t>Unweighted</w:t>
      </w:r>
      <w:r>
        <w:rPr>
          <w:spacing w:val="28"/>
          <w:sz w:val="11"/>
        </w:rPr>
        <w:t> </w:t>
      </w:r>
      <w:r>
        <w:rPr>
          <w:sz w:val="11"/>
        </w:rPr>
        <w:t>base: All claimants-side</w:t>
      </w:r>
      <w:r>
        <w:rPr>
          <w:spacing w:val="31"/>
          <w:sz w:val="11"/>
        </w:rPr>
        <w:t> </w:t>
      </w:r>
      <w:r>
        <w:rPr>
          <w:sz w:val="11"/>
        </w:rPr>
        <w:t>partic</w:t>
      </w:r>
      <w:r>
        <w:rPr>
          <w:spacing w:val="-28"/>
          <w:sz w:val="11"/>
        </w:rPr>
        <w:t> </w:t>
      </w:r>
      <w:r>
        <w:rPr>
          <w:sz w:val="11"/>
        </w:rPr>
        <w:t>ipants and employers-side</w:t>
      </w:r>
      <w:r>
        <w:rPr>
          <w:spacing w:val="40"/>
          <w:sz w:val="11"/>
        </w:rPr>
        <w:t> </w:t>
      </w:r>
      <w:r>
        <w:rPr>
          <w:sz w:val="11"/>
        </w:rPr>
        <w:t>participants</w:t>
      </w:r>
      <w:r>
        <w:rPr>
          <w:spacing w:val="40"/>
          <w:sz w:val="11"/>
        </w:rPr>
        <w:t> </w:t>
      </w:r>
      <w:r>
        <w:rPr>
          <w:sz w:val="11"/>
        </w:rPr>
        <w:t>who took part in post-ET1 conciliation (257,</w:t>
      </w:r>
      <w:r>
        <w:rPr>
          <w:spacing w:val="40"/>
          <w:sz w:val="11"/>
        </w:rPr>
        <w:t> </w:t>
      </w:r>
      <w:r>
        <w:rPr>
          <w:sz w:val="11"/>
        </w:rPr>
        <w:t>264)</w:t>
      </w:r>
    </w:p>
    <w:p>
      <w:pPr>
        <w:spacing w:before="69"/>
        <w:ind w:left="464" w:right="0" w:firstLine="0"/>
        <w:jc w:val="left"/>
        <w:rPr>
          <w:sz w:val="11"/>
        </w:rPr>
      </w:pPr>
      <w:r>
        <w:rPr/>
        <w:br w:type="column"/>
      </w:r>
      <w:r>
        <w:rPr>
          <w:sz w:val="11"/>
        </w:rPr>
        <w:t>Statistically</w:t>
      </w:r>
      <w:r>
        <w:rPr>
          <w:spacing w:val="6"/>
          <w:sz w:val="11"/>
        </w:rPr>
        <w:t> </w:t>
      </w:r>
      <w:r>
        <w:rPr>
          <w:sz w:val="11"/>
        </w:rPr>
        <w:t>significant</w:t>
      </w:r>
      <w:r>
        <w:rPr>
          <w:spacing w:val="31"/>
          <w:sz w:val="11"/>
        </w:rPr>
        <w:t> </w:t>
      </w:r>
      <w:r>
        <w:rPr>
          <w:sz w:val="11"/>
        </w:rPr>
        <w:t>difference</w:t>
      </w:r>
      <w:r>
        <w:rPr>
          <w:spacing w:val="16"/>
          <w:sz w:val="11"/>
        </w:rPr>
        <w:t> </w:t>
      </w:r>
      <w:r>
        <w:rPr>
          <w:sz w:val="11"/>
        </w:rPr>
        <w:t>since</w:t>
      </w:r>
      <w:r>
        <w:rPr>
          <w:spacing w:val="16"/>
          <w:sz w:val="11"/>
        </w:rPr>
        <w:t> </w:t>
      </w:r>
      <w:r>
        <w:rPr>
          <w:spacing w:val="-4"/>
          <w:sz w:val="11"/>
        </w:rPr>
        <w:t>2016</w:t>
      </w:r>
    </w:p>
    <w:p>
      <w:pPr>
        <w:spacing w:after="0"/>
        <w:jc w:val="left"/>
        <w:rPr>
          <w:sz w:val="11"/>
        </w:rPr>
        <w:sectPr>
          <w:type w:val="continuous"/>
          <w:pgSz w:w="11910" w:h="16840"/>
          <w:pgMar w:header="0" w:footer="996" w:top="560" w:bottom="280" w:left="460" w:right="320"/>
          <w:cols w:num="2" w:equalWidth="0">
            <w:col w:w="6136" w:space="40"/>
            <w:col w:w="4954"/>
          </w:cols>
        </w:sectPr>
      </w:pPr>
    </w:p>
    <w:p>
      <w:pPr>
        <w:pStyle w:val="BodyText"/>
        <w:spacing w:before="4"/>
        <w:rPr>
          <w:sz w:val="17"/>
        </w:rPr>
      </w:pPr>
    </w:p>
    <w:p>
      <w:pPr>
        <w:pStyle w:val="BodyText"/>
        <w:spacing w:line="243" w:lineRule="exact" w:before="100"/>
        <w:ind w:left="1337"/>
        <w:jc w:val="both"/>
      </w:pPr>
      <w:r>
        <w:rPr/>
        <w:t>Ratings</w:t>
      </w:r>
      <w:r>
        <w:rPr>
          <w:spacing w:val="-6"/>
        </w:rPr>
        <w:t> </w:t>
      </w:r>
      <w:r>
        <w:rPr/>
        <w:t>were</w:t>
      </w:r>
      <w:r>
        <w:rPr>
          <w:spacing w:val="-3"/>
        </w:rPr>
        <w:t> </w:t>
      </w:r>
      <w:r>
        <w:rPr/>
        <w:t>largely</w:t>
      </w:r>
      <w:r>
        <w:rPr>
          <w:spacing w:val="-3"/>
        </w:rPr>
        <w:t> </w:t>
      </w:r>
      <w:r>
        <w:rPr/>
        <w:t>similar</w:t>
      </w:r>
      <w:r>
        <w:rPr>
          <w:spacing w:val="-2"/>
        </w:rPr>
        <w:t> </w:t>
      </w:r>
      <w:r>
        <w:rPr/>
        <w:t>across</w:t>
      </w:r>
      <w:r>
        <w:rPr>
          <w:spacing w:val="-3"/>
        </w:rPr>
        <w:t> </w:t>
      </w:r>
      <w:r>
        <w:rPr/>
        <w:t>subgroups,</w:t>
      </w:r>
      <w:r>
        <w:rPr>
          <w:spacing w:val="-3"/>
        </w:rPr>
        <w:t> </w:t>
      </w:r>
      <w:r>
        <w:rPr/>
        <w:t>with</w:t>
      </w:r>
      <w:r>
        <w:rPr>
          <w:spacing w:val="-4"/>
        </w:rPr>
        <w:t> </w:t>
      </w:r>
      <w:r>
        <w:rPr/>
        <w:t>a</w:t>
      </w:r>
      <w:r>
        <w:rPr>
          <w:spacing w:val="-2"/>
        </w:rPr>
        <w:t> </w:t>
      </w:r>
      <w:r>
        <w:rPr/>
        <w:t>handful</w:t>
      </w:r>
      <w:r>
        <w:rPr>
          <w:spacing w:val="-4"/>
        </w:rPr>
        <w:t> </w:t>
      </w:r>
      <w:r>
        <w:rPr/>
        <w:t>of</w:t>
      </w:r>
      <w:r>
        <w:rPr>
          <w:spacing w:val="-2"/>
        </w:rPr>
        <w:t> exceptions:</w:t>
      </w:r>
    </w:p>
    <w:p>
      <w:pPr>
        <w:pStyle w:val="ListParagraph"/>
        <w:numPr>
          <w:ilvl w:val="0"/>
          <w:numId w:val="40"/>
        </w:numPr>
        <w:tabs>
          <w:tab w:pos="2133" w:val="left" w:leader="none"/>
        </w:tabs>
        <w:spacing w:line="240" w:lineRule="auto" w:before="0" w:after="0"/>
        <w:ind w:left="2132" w:right="1474" w:hanging="360"/>
        <w:jc w:val="both"/>
        <w:rPr>
          <w:sz w:val="20"/>
        </w:rPr>
      </w:pPr>
      <w:r>
        <w:rPr>
          <w:sz w:val="20"/>
        </w:rPr>
        <w:t>Claimant and employer representatives were more likely than those they represent to agree that the conciliator ‘listened carefully to what you had to say’, ‘was trustworthy’ and ‘understood the circumstances of the case’.</w:t>
      </w:r>
    </w:p>
    <w:p>
      <w:pPr>
        <w:pStyle w:val="ListParagraph"/>
        <w:numPr>
          <w:ilvl w:val="0"/>
          <w:numId w:val="40"/>
        </w:numPr>
        <w:tabs>
          <w:tab w:pos="2133" w:val="left" w:leader="none"/>
        </w:tabs>
        <w:spacing w:line="240" w:lineRule="auto" w:before="0" w:after="0"/>
        <w:ind w:left="2132" w:right="1472" w:hanging="360"/>
        <w:jc w:val="both"/>
        <w:rPr>
          <w:sz w:val="20"/>
        </w:rPr>
      </w:pPr>
      <w:r>
        <w:rPr>
          <w:sz w:val="20"/>
        </w:rPr>
        <w:t>Claimant-side participants involved in fast track disputes were more likely than those involved in standard or open track disputes to agree that the conciliator ‘was knowledgeable’, ‘understood the circumstances of the case’, and ‘helped you decide whether or not to settle your case without undue influence’.</w:t>
      </w:r>
    </w:p>
    <w:p>
      <w:pPr>
        <w:pStyle w:val="ListParagraph"/>
        <w:numPr>
          <w:ilvl w:val="0"/>
          <w:numId w:val="40"/>
        </w:numPr>
        <w:tabs>
          <w:tab w:pos="2133" w:val="left" w:leader="none"/>
        </w:tabs>
        <w:spacing w:line="240" w:lineRule="auto" w:before="0" w:after="0"/>
        <w:ind w:left="2132" w:right="1473" w:hanging="360"/>
        <w:jc w:val="both"/>
        <w:rPr>
          <w:sz w:val="20"/>
        </w:rPr>
      </w:pPr>
      <w:r>
        <w:rPr>
          <w:sz w:val="20"/>
        </w:rPr>
        <w:t>Employer-side participants involved in a case which settled through post- ET1</w:t>
      </w:r>
      <w:r>
        <w:rPr>
          <w:spacing w:val="-6"/>
          <w:sz w:val="20"/>
        </w:rPr>
        <w:t> </w:t>
      </w:r>
      <w:r>
        <w:rPr>
          <w:sz w:val="20"/>
        </w:rPr>
        <w:t>conciliation</w:t>
      </w:r>
      <w:r>
        <w:rPr>
          <w:spacing w:val="-4"/>
          <w:sz w:val="20"/>
        </w:rPr>
        <w:t> </w:t>
      </w:r>
      <w:r>
        <w:rPr>
          <w:sz w:val="20"/>
        </w:rPr>
        <w:t>were</w:t>
      </w:r>
      <w:r>
        <w:rPr>
          <w:spacing w:val="-6"/>
          <w:sz w:val="20"/>
        </w:rPr>
        <w:t> </w:t>
      </w:r>
      <w:r>
        <w:rPr>
          <w:sz w:val="20"/>
        </w:rPr>
        <w:t>more</w:t>
      </w:r>
      <w:r>
        <w:rPr>
          <w:spacing w:val="-5"/>
          <w:sz w:val="20"/>
        </w:rPr>
        <w:t> </w:t>
      </w:r>
      <w:r>
        <w:rPr>
          <w:sz w:val="20"/>
        </w:rPr>
        <w:t>likely</w:t>
      </w:r>
      <w:r>
        <w:rPr>
          <w:spacing w:val="-4"/>
          <w:sz w:val="20"/>
        </w:rPr>
        <w:t> </w:t>
      </w:r>
      <w:r>
        <w:rPr>
          <w:sz w:val="20"/>
        </w:rPr>
        <w:t>to</w:t>
      </w:r>
      <w:r>
        <w:rPr>
          <w:spacing w:val="-6"/>
          <w:sz w:val="20"/>
        </w:rPr>
        <w:t> </w:t>
      </w:r>
      <w:r>
        <w:rPr>
          <w:sz w:val="20"/>
        </w:rPr>
        <w:t>agree</w:t>
      </w:r>
      <w:r>
        <w:rPr>
          <w:spacing w:val="-5"/>
          <w:sz w:val="20"/>
        </w:rPr>
        <w:t> </w:t>
      </w:r>
      <w:r>
        <w:rPr>
          <w:sz w:val="20"/>
        </w:rPr>
        <w:t>that</w:t>
      </w:r>
      <w:r>
        <w:rPr>
          <w:spacing w:val="-6"/>
          <w:sz w:val="20"/>
        </w:rPr>
        <w:t> </w:t>
      </w:r>
      <w:r>
        <w:rPr>
          <w:sz w:val="20"/>
        </w:rPr>
        <w:t>the</w:t>
      </w:r>
      <w:r>
        <w:rPr>
          <w:spacing w:val="-6"/>
          <w:sz w:val="20"/>
        </w:rPr>
        <w:t> </w:t>
      </w:r>
      <w:r>
        <w:rPr>
          <w:sz w:val="20"/>
        </w:rPr>
        <w:t>conciliator</w:t>
      </w:r>
      <w:r>
        <w:rPr>
          <w:spacing w:val="-5"/>
          <w:sz w:val="20"/>
        </w:rPr>
        <w:t> </w:t>
      </w:r>
      <w:r>
        <w:rPr>
          <w:sz w:val="20"/>
        </w:rPr>
        <w:t>‘was</w:t>
      </w:r>
      <w:r>
        <w:rPr>
          <w:spacing w:val="-5"/>
          <w:sz w:val="20"/>
        </w:rPr>
        <w:t> </w:t>
      </w:r>
      <w:r>
        <w:rPr>
          <w:sz w:val="20"/>
        </w:rPr>
        <w:t>actively involved</w:t>
      </w:r>
      <w:r>
        <w:rPr>
          <w:spacing w:val="-13"/>
          <w:sz w:val="20"/>
        </w:rPr>
        <w:t> </w:t>
      </w:r>
      <w:r>
        <w:rPr>
          <w:sz w:val="20"/>
        </w:rPr>
        <w:t>in</w:t>
      </w:r>
      <w:r>
        <w:rPr>
          <w:spacing w:val="-13"/>
          <w:sz w:val="20"/>
        </w:rPr>
        <w:t> </w:t>
      </w:r>
      <w:r>
        <w:rPr>
          <w:sz w:val="20"/>
        </w:rPr>
        <w:t>seeking</w:t>
      </w:r>
      <w:r>
        <w:rPr>
          <w:spacing w:val="-13"/>
          <w:sz w:val="20"/>
        </w:rPr>
        <w:t> </w:t>
      </w:r>
      <w:r>
        <w:rPr>
          <w:sz w:val="20"/>
        </w:rPr>
        <w:t>an</w:t>
      </w:r>
      <w:r>
        <w:rPr>
          <w:spacing w:val="-15"/>
          <w:sz w:val="20"/>
        </w:rPr>
        <w:t> </w:t>
      </w:r>
      <w:r>
        <w:rPr>
          <w:sz w:val="20"/>
        </w:rPr>
        <w:t>agreement</w:t>
      </w:r>
      <w:r>
        <w:rPr>
          <w:spacing w:val="-12"/>
          <w:sz w:val="20"/>
        </w:rPr>
        <w:t> </w:t>
      </w:r>
      <w:r>
        <w:rPr>
          <w:sz w:val="20"/>
        </w:rPr>
        <w:t>to</w:t>
      </w:r>
      <w:r>
        <w:rPr>
          <w:spacing w:val="-13"/>
          <w:sz w:val="20"/>
        </w:rPr>
        <w:t> </w:t>
      </w:r>
      <w:r>
        <w:rPr>
          <w:sz w:val="20"/>
        </w:rPr>
        <w:t>settle’</w:t>
      </w:r>
      <w:r>
        <w:rPr>
          <w:spacing w:val="-12"/>
          <w:sz w:val="20"/>
        </w:rPr>
        <w:t> </w:t>
      </w:r>
      <w:r>
        <w:rPr>
          <w:sz w:val="20"/>
        </w:rPr>
        <w:t>and</w:t>
      </w:r>
      <w:r>
        <w:rPr>
          <w:spacing w:val="-14"/>
          <w:sz w:val="20"/>
        </w:rPr>
        <w:t> </w:t>
      </w:r>
      <w:r>
        <w:rPr>
          <w:sz w:val="20"/>
        </w:rPr>
        <w:t>‘helped</w:t>
      </w:r>
      <w:r>
        <w:rPr>
          <w:spacing w:val="-13"/>
          <w:sz w:val="20"/>
        </w:rPr>
        <w:t> </w:t>
      </w:r>
      <w:r>
        <w:rPr>
          <w:sz w:val="20"/>
        </w:rPr>
        <w:t>you</w:t>
      </w:r>
      <w:r>
        <w:rPr>
          <w:spacing w:val="-13"/>
          <w:sz w:val="20"/>
        </w:rPr>
        <w:t> </w:t>
      </w:r>
      <w:r>
        <w:rPr>
          <w:sz w:val="20"/>
        </w:rPr>
        <w:t>decide</w:t>
      </w:r>
      <w:r>
        <w:rPr>
          <w:spacing w:val="-14"/>
          <w:sz w:val="20"/>
        </w:rPr>
        <w:t> </w:t>
      </w:r>
      <w:r>
        <w:rPr>
          <w:sz w:val="20"/>
        </w:rPr>
        <w:t>whether or not to settle your case without</w:t>
      </w:r>
      <w:r>
        <w:rPr>
          <w:spacing w:val="-1"/>
          <w:sz w:val="20"/>
        </w:rPr>
        <w:t> </w:t>
      </w:r>
      <w:r>
        <w:rPr>
          <w:sz w:val="20"/>
        </w:rPr>
        <w:t>undue influence’ than those who did not </w:t>
      </w:r>
      <w:r>
        <w:rPr>
          <w:spacing w:val="-2"/>
          <w:sz w:val="20"/>
        </w:rPr>
        <w:t>settle.</w:t>
      </w:r>
    </w:p>
    <w:p>
      <w:pPr>
        <w:pStyle w:val="ListParagraph"/>
        <w:numPr>
          <w:ilvl w:val="0"/>
          <w:numId w:val="40"/>
        </w:numPr>
        <w:tabs>
          <w:tab w:pos="2133" w:val="left" w:leader="none"/>
        </w:tabs>
        <w:spacing w:line="240" w:lineRule="auto" w:before="0" w:after="0"/>
        <w:ind w:left="2132" w:right="1472" w:hanging="360"/>
        <w:jc w:val="both"/>
        <w:rPr>
          <w:sz w:val="20"/>
        </w:rPr>
      </w:pPr>
      <w:r>
        <w:rPr>
          <w:sz w:val="20"/>
        </w:rPr>
        <w:t>Claimant-side participants who did not take part in EC prior to post-ET1 conciliation were more likely to agree that the conciliator was knowledgeable than those who did.</w:t>
      </w:r>
    </w:p>
    <w:p>
      <w:pPr>
        <w:pStyle w:val="BodyText"/>
        <w:spacing w:before="6"/>
        <w:rPr>
          <w:sz w:val="19"/>
        </w:rPr>
      </w:pPr>
    </w:p>
    <w:p>
      <w:pPr>
        <w:pStyle w:val="BodyText"/>
        <w:ind w:left="1336" w:right="1474"/>
        <w:jc w:val="both"/>
      </w:pPr>
      <w:r>
        <w:rPr/>
        <w:t>Big majorities of claimant and employer-side participants felt that the conciliator had</w:t>
      </w:r>
      <w:r>
        <w:rPr>
          <w:spacing w:val="-2"/>
        </w:rPr>
        <w:t> </w:t>
      </w:r>
      <w:r>
        <w:rPr/>
        <w:t>been</w:t>
      </w:r>
      <w:r>
        <w:rPr>
          <w:spacing w:val="-2"/>
        </w:rPr>
        <w:t> </w:t>
      </w:r>
      <w:r>
        <w:rPr/>
        <w:t>even-handed</w:t>
      </w:r>
      <w:r>
        <w:rPr>
          <w:spacing w:val="-3"/>
        </w:rPr>
        <w:t> </w:t>
      </w:r>
      <w:r>
        <w:rPr/>
        <w:t>in</w:t>
      </w:r>
      <w:r>
        <w:rPr>
          <w:spacing w:val="-2"/>
        </w:rPr>
        <w:t> </w:t>
      </w:r>
      <w:r>
        <w:rPr/>
        <w:t>how</w:t>
      </w:r>
      <w:r>
        <w:rPr>
          <w:spacing w:val="-2"/>
        </w:rPr>
        <w:t> </w:t>
      </w:r>
      <w:r>
        <w:rPr/>
        <w:t>they</w:t>
      </w:r>
      <w:r>
        <w:rPr>
          <w:spacing w:val="-2"/>
        </w:rPr>
        <w:t> </w:t>
      </w:r>
      <w:r>
        <w:rPr/>
        <w:t>dealt</w:t>
      </w:r>
      <w:r>
        <w:rPr>
          <w:spacing w:val="-2"/>
        </w:rPr>
        <w:t> </w:t>
      </w:r>
      <w:r>
        <w:rPr/>
        <w:t>with</w:t>
      </w:r>
      <w:r>
        <w:rPr>
          <w:spacing w:val="-2"/>
        </w:rPr>
        <w:t> </w:t>
      </w:r>
      <w:r>
        <w:rPr/>
        <w:t>the</w:t>
      </w:r>
      <w:r>
        <w:rPr>
          <w:spacing w:val="-3"/>
        </w:rPr>
        <w:t> </w:t>
      </w:r>
      <w:r>
        <w:rPr/>
        <w:t>dispute</w:t>
      </w:r>
      <w:r>
        <w:rPr>
          <w:spacing w:val="-4"/>
        </w:rPr>
        <w:t> </w:t>
      </w:r>
      <w:r>
        <w:rPr/>
        <w:t>(75</w:t>
      </w:r>
      <w:r>
        <w:rPr>
          <w:spacing w:val="-2"/>
        </w:rPr>
        <w:t> </w:t>
      </w:r>
      <w:r>
        <w:rPr/>
        <w:t>per</w:t>
      </w:r>
      <w:r>
        <w:rPr>
          <w:spacing w:val="-2"/>
        </w:rPr>
        <w:t> </w:t>
      </w:r>
      <w:r>
        <w:rPr/>
        <w:t>cent</w:t>
      </w:r>
      <w:r>
        <w:rPr>
          <w:spacing w:val="-2"/>
        </w:rPr>
        <w:t> </w:t>
      </w:r>
      <w:r>
        <w:rPr/>
        <w:t>and</w:t>
      </w:r>
      <w:r>
        <w:rPr>
          <w:spacing w:val="-2"/>
        </w:rPr>
        <w:t> </w:t>
      </w:r>
      <w:r>
        <w:rPr/>
        <w:t>85</w:t>
      </w:r>
      <w:r>
        <w:rPr>
          <w:spacing w:val="-3"/>
        </w:rPr>
        <w:t> </w:t>
      </w:r>
      <w:r>
        <w:rPr/>
        <w:t>per cent respectively). Compared with the 2016 survey, this represents an eight- percentage</w:t>
      </w:r>
      <w:r>
        <w:rPr>
          <w:spacing w:val="-14"/>
        </w:rPr>
        <w:t> </w:t>
      </w:r>
      <w:r>
        <w:rPr/>
        <w:t>point</w:t>
      </w:r>
      <w:r>
        <w:rPr>
          <w:spacing w:val="-12"/>
        </w:rPr>
        <w:t> </w:t>
      </w:r>
      <w:r>
        <w:rPr/>
        <w:t>drop</w:t>
      </w:r>
      <w:r>
        <w:rPr>
          <w:spacing w:val="-13"/>
        </w:rPr>
        <w:t> </w:t>
      </w:r>
      <w:r>
        <w:rPr/>
        <w:t>among</w:t>
      </w:r>
      <w:r>
        <w:rPr>
          <w:spacing w:val="-13"/>
        </w:rPr>
        <w:t> </w:t>
      </w:r>
      <w:r>
        <w:rPr/>
        <w:t>claimants,</w:t>
      </w:r>
      <w:r>
        <w:rPr>
          <w:spacing w:val="-13"/>
        </w:rPr>
        <w:t> </w:t>
      </w:r>
      <w:r>
        <w:rPr/>
        <w:t>while</w:t>
      </w:r>
      <w:r>
        <w:rPr>
          <w:spacing w:val="-13"/>
        </w:rPr>
        <w:t> </w:t>
      </w:r>
      <w:r>
        <w:rPr/>
        <w:t>there</w:t>
      </w:r>
      <w:r>
        <w:rPr>
          <w:spacing w:val="-13"/>
        </w:rPr>
        <w:t> </w:t>
      </w:r>
      <w:r>
        <w:rPr/>
        <w:t>has</w:t>
      </w:r>
      <w:r>
        <w:rPr>
          <w:spacing w:val="-13"/>
        </w:rPr>
        <w:t> </w:t>
      </w:r>
      <w:r>
        <w:rPr/>
        <w:t>been</w:t>
      </w:r>
      <w:r>
        <w:rPr>
          <w:spacing w:val="-12"/>
        </w:rPr>
        <w:t> </w:t>
      </w:r>
      <w:r>
        <w:rPr/>
        <w:t>no</w:t>
      </w:r>
      <w:r>
        <w:rPr>
          <w:spacing w:val="-13"/>
        </w:rPr>
        <w:t> </w:t>
      </w:r>
      <w:r>
        <w:rPr/>
        <w:t>movement</w:t>
      </w:r>
      <w:r>
        <w:rPr>
          <w:spacing w:val="-12"/>
        </w:rPr>
        <w:t> </w:t>
      </w:r>
      <w:r>
        <w:rPr/>
        <w:t>on</w:t>
      </w:r>
      <w:r>
        <w:rPr>
          <w:spacing w:val="-13"/>
        </w:rPr>
        <w:t> </w:t>
      </w:r>
      <w:r>
        <w:rPr/>
        <w:t>the employer-side.</w:t>
      </w:r>
      <w:r>
        <w:rPr>
          <w:spacing w:val="-18"/>
        </w:rPr>
        <w:t> </w:t>
      </w:r>
      <w:r>
        <w:rPr/>
        <w:t>However,</w:t>
      </w:r>
      <w:r>
        <w:rPr>
          <w:spacing w:val="-15"/>
        </w:rPr>
        <w:t> </w:t>
      </w:r>
      <w:r>
        <w:rPr/>
        <w:t>this</w:t>
      </w:r>
      <w:r>
        <w:rPr>
          <w:spacing w:val="-17"/>
        </w:rPr>
        <w:t> </w:t>
      </w:r>
      <w:r>
        <w:rPr/>
        <w:t>fall</w:t>
      </w:r>
      <w:r>
        <w:rPr>
          <w:spacing w:val="-17"/>
        </w:rPr>
        <w:t> </w:t>
      </w:r>
      <w:r>
        <w:rPr/>
        <w:t>on</w:t>
      </w:r>
      <w:r>
        <w:rPr>
          <w:spacing w:val="-17"/>
        </w:rPr>
        <w:t> </w:t>
      </w:r>
      <w:r>
        <w:rPr/>
        <w:t>the</w:t>
      </w:r>
      <w:r>
        <w:rPr>
          <w:spacing w:val="-18"/>
        </w:rPr>
        <w:t> </w:t>
      </w:r>
      <w:r>
        <w:rPr/>
        <w:t>claimant-side</w:t>
      </w:r>
      <w:r>
        <w:rPr>
          <w:spacing w:val="-18"/>
        </w:rPr>
        <w:t> </w:t>
      </w:r>
      <w:r>
        <w:rPr/>
        <w:t>was</w:t>
      </w:r>
      <w:r>
        <w:rPr>
          <w:spacing w:val="-17"/>
        </w:rPr>
        <w:t> </w:t>
      </w:r>
      <w:r>
        <w:rPr/>
        <w:t>offset</w:t>
      </w:r>
      <w:r>
        <w:rPr>
          <w:spacing w:val="-17"/>
        </w:rPr>
        <w:t> </w:t>
      </w:r>
      <w:r>
        <w:rPr/>
        <w:t>by</w:t>
      </w:r>
      <w:r>
        <w:rPr>
          <w:spacing w:val="-17"/>
        </w:rPr>
        <w:t> </w:t>
      </w:r>
      <w:r>
        <w:rPr/>
        <w:t>proportion</w:t>
      </w:r>
      <w:r>
        <w:rPr>
          <w:spacing w:val="-16"/>
        </w:rPr>
        <w:t> </w:t>
      </w:r>
      <w:r>
        <w:rPr/>
        <w:t>who said the conciliator was on their side increasing from four to thirteen per cent – with claimants slightly more likely than reps to believe this was the case.</w:t>
      </w:r>
    </w:p>
    <w:p>
      <w:pPr>
        <w:pStyle w:val="BodyText"/>
      </w:pPr>
    </w:p>
    <w:p>
      <w:pPr>
        <w:pStyle w:val="BodyText"/>
        <w:ind w:left="1336" w:right="1474"/>
        <w:jc w:val="both"/>
      </w:pPr>
      <w:r>
        <w:rPr/>
        <w:t>Employer-side</w:t>
      </w:r>
      <w:r>
        <w:rPr>
          <w:spacing w:val="-12"/>
        </w:rPr>
        <w:t> </w:t>
      </w:r>
      <w:r>
        <w:rPr/>
        <w:t>participants</w:t>
      </w:r>
      <w:r>
        <w:rPr>
          <w:spacing w:val="-13"/>
        </w:rPr>
        <w:t> </w:t>
      </w:r>
      <w:r>
        <w:rPr/>
        <w:t>were</w:t>
      </w:r>
      <w:r>
        <w:rPr>
          <w:spacing w:val="-12"/>
        </w:rPr>
        <w:t> </w:t>
      </w:r>
      <w:r>
        <w:rPr/>
        <w:t>more</w:t>
      </w:r>
      <w:r>
        <w:rPr>
          <w:spacing w:val="-12"/>
        </w:rPr>
        <w:t> </w:t>
      </w:r>
      <w:r>
        <w:rPr/>
        <w:t>likely</w:t>
      </w:r>
      <w:r>
        <w:rPr>
          <w:spacing w:val="-11"/>
        </w:rPr>
        <w:t> </w:t>
      </w:r>
      <w:r>
        <w:rPr/>
        <w:t>to</w:t>
      </w:r>
      <w:r>
        <w:rPr>
          <w:spacing w:val="-12"/>
        </w:rPr>
        <w:t> </w:t>
      </w:r>
      <w:r>
        <w:rPr/>
        <w:t>feel</w:t>
      </w:r>
      <w:r>
        <w:rPr>
          <w:spacing w:val="-13"/>
        </w:rPr>
        <w:t> </w:t>
      </w:r>
      <w:r>
        <w:rPr/>
        <w:t>that</w:t>
      </w:r>
      <w:r>
        <w:rPr>
          <w:spacing w:val="-12"/>
        </w:rPr>
        <w:t> </w:t>
      </w:r>
      <w:r>
        <w:rPr/>
        <w:t>the</w:t>
      </w:r>
      <w:r>
        <w:rPr>
          <w:spacing w:val="-12"/>
        </w:rPr>
        <w:t> </w:t>
      </w:r>
      <w:r>
        <w:rPr/>
        <w:t>conciliator</w:t>
      </w:r>
      <w:r>
        <w:rPr>
          <w:spacing w:val="-11"/>
        </w:rPr>
        <w:t> </w:t>
      </w:r>
      <w:r>
        <w:rPr/>
        <w:t>had</w:t>
      </w:r>
      <w:r>
        <w:rPr>
          <w:spacing w:val="-13"/>
        </w:rPr>
        <w:t> </w:t>
      </w:r>
      <w:r>
        <w:rPr/>
        <w:t>been</w:t>
      </w:r>
      <w:r>
        <w:rPr>
          <w:spacing w:val="-11"/>
        </w:rPr>
        <w:t> </w:t>
      </w:r>
      <w:r>
        <w:rPr/>
        <w:t>on the side of the claimant (11 per</w:t>
      </w:r>
      <w:r>
        <w:rPr>
          <w:spacing w:val="-1"/>
        </w:rPr>
        <w:t> </w:t>
      </w:r>
      <w:r>
        <w:rPr/>
        <w:t>cent)</w:t>
      </w:r>
      <w:r>
        <w:rPr>
          <w:spacing w:val="-1"/>
        </w:rPr>
        <w:t> </w:t>
      </w:r>
      <w:r>
        <w:rPr/>
        <w:t>than theirs (two per</w:t>
      </w:r>
      <w:r>
        <w:rPr>
          <w:spacing w:val="-1"/>
        </w:rPr>
        <w:t> </w:t>
      </w:r>
      <w:r>
        <w:rPr/>
        <w:t>cent). Eight per cent of claimant-side participants said that Acas had been more on the side of the </w:t>
      </w:r>
      <w:r>
        <w:rPr>
          <w:spacing w:val="-2"/>
        </w:rPr>
        <w:t>employer.</w:t>
      </w:r>
    </w:p>
    <w:p>
      <w:pPr>
        <w:spacing w:after="0"/>
        <w:jc w:val="both"/>
        <w:sectPr>
          <w:type w:val="continuous"/>
          <w:pgSz w:w="11910" w:h="16840"/>
          <w:pgMar w:header="0" w:footer="996" w:top="560" w:bottom="280" w:left="460" w:right="320"/>
        </w:sectPr>
      </w:pPr>
    </w:p>
    <w:p>
      <w:pPr>
        <w:pStyle w:val="BodyText"/>
        <w:spacing w:before="84"/>
        <w:ind w:left="1337" w:right="1471"/>
        <w:jc w:val="both"/>
      </w:pPr>
      <w:r>
        <w:rPr/>
        <w:t>Reflecting</w:t>
      </w:r>
      <w:r>
        <w:rPr>
          <w:spacing w:val="-4"/>
        </w:rPr>
        <w:t> </w:t>
      </w:r>
      <w:r>
        <w:rPr/>
        <w:t>trends</w:t>
      </w:r>
      <w:r>
        <w:rPr>
          <w:spacing w:val="-4"/>
        </w:rPr>
        <w:t> </w:t>
      </w:r>
      <w:r>
        <w:rPr/>
        <w:t>observed</w:t>
      </w:r>
      <w:r>
        <w:rPr>
          <w:spacing w:val="-4"/>
        </w:rPr>
        <w:t> </w:t>
      </w:r>
      <w:r>
        <w:rPr/>
        <w:t>in</w:t>
      </w:r>
      <w:r>
        <w:rPr>
          <w:spacing w:val="-4"/>
        </w:rPr>
        <w:t> </w:t>
      </w:r>
      <w:r>
        <w:rPr/>
        <w:t>2016,</w:t>
      </w:r>
      <w:r>
        <w:rPr>
          <w:spacing w:val="-6"/>
        </w:rPr>
        <w:t> </w:t>
      </w:r>
      <w:r>
        <w:rPr/>
        <w:t>there</w:t>
      </w:r>
      <w:r>
        <w:rPr>
          <w:spacing w:val="-5"/>
        </w:rPr>
        <w:t> </w:t>
      </w:r>
      <w:r>
        <w:rPr/>
        <w:t>were</w:t>
      </w:r>
      <w:r>
        <w:rPr>
          <w:spacing w:val="-6"/>
        </w:rPr>
        <w:t> </w:t>
      </w:r>
      <w:r>
        <w:rPr/>
        <w:t>some</w:t>
      </w:r>
      <w:r>
        <w:rPr>
          <w:spacing w:val="-5"/>
        </w:rPr>
        <w:t> </w:t>
      </w:r>
      <w:r>
        <w:rPr/>
        <w:t>significant</w:t>
      </w:r>
      <w:r>
        <w:rPr>
          <w:spacing w:val="-5"/>
        </w:rPr>
        <w:t> </w:t>
      </w:r>
      <w:r>
        <w:rPr/>
        <w:t>differences</w:t>
      </w:r>
      <w:r>
        <w:rPr>
          <w:spacing w:val="-4"/>
        </w:rPr>
        <w:t> </w:t>
      </w:r>
      <w:r>
        <w:rPr/>
        <w:t>across </w:t>
      </w:r>
      <w:r>
        <w:rPr>
          <w:spacing w:val="-2"/>
        </w:rPr>
        <w:t>subgroups:</w:t>
      </w:r>
    </w:p>
    <w:p>
      <w:pPr>
        <w:pStyle w:val="ListParagraph"/>
        <w:numPr>
          <w:ilvl w:val="0"/>
          <w:numId w:val="40"/>
        </w:numPr>
        <w:tabs>
          <w:tab w:pos="2058" w:val="left" w:leader="none"/>
        </w:tabs>
        <w:spacing w:line="240" w:lineRule="auto" w:before="0" w:after="0"/>
        <w:ind w:left="2057" w:right="1472" w:hanging="360"/>
        <w:jc w:val="both"/>
        <w:rPr>
          <w:sz w:val="20"/>
        </w:rPr>
      </w:pPr>
      <w:r>
        <w:rPr>
          <w:sz w:val="20"/>
        </w:rPr>
        <w:t>Representatives remained more likely than those they represented to feel that the conciliator had been even-handed: 83 per cent of claimant representatives and 92 per cent of employer representatives said the conciliator had been even handed compared with 68 per cent of claimants and 71 per cent of employers who said the same.</w:t>
      </w:r>
    </w:p>
    <w:p>
      <w:pPr>
        <w:pStyle w:val="ListParagraph"/>
        <w:numPr>
          <w:ilvl w:val="0"/>
          <w:numId w:val="40"/>
        </w:numPr>
        <w:tabs>
          <w:tab w:pos="2058" w:val="left" w:leader="none"/>
        </w:tabs>
        <w:spacing w:line="240" w:lineRule="auto" w:before="0" w:after="0"/>
        <w:ind w:left="2057" w:right="1473" w:hanging="360"/>
        <w:jc w:val="both"/>
        <w:rPr>
          <w:sz w:val="20"/>
        </w:rPr>
      </w:pPr>
      <w:r>
        <w:rPr>
          <w:sz w:val="20"/>
        </w:rPr>
        <w:t>Claimant and employer-side participants involved in open track disputes were more likely to report that the conciliator had been even handed than those involved in fast or standard track disputes.</w:t>
      </w:r>
    </w:p>
    <w:p>
      <w:pPr>
        <w:pStyle w:val="ListParagraph"/>
        <w:numPr>
          <w:ilvl w:val="0"/>
          <w:numId w:val="40"/>
        </w:numPr>
        <w:tabs>
          <w:tab w:pos="2058" w:val="left" w:leader="none"/>
        </w:tabs>
        <w:spacing w:line="240" w:lineRule="auto" w:before="0" w:after="0"/>
        <w:ind w:left="2057" w:right="1474" w:hanging="360"/>
        <w:jc w:val="both"/>
        <w:rPr>
          <w:sz w:val="20"/>
        </w:rPr>
      </w:pPr>
      <w:r>
        <w:rPr>
          <w:sz w:val="20"/>
        </w:rPr>
        <w:t>Similarly, those who reached a settlement through post-ET1 conciliation were more likely to report that the conciliator had been even handed (80 per cent among claimant-side participants and 88 per cent among employer-side</w:t>
      </w:r>
      <w:r>
        <w:rPr>
          <w:spacing w:val="-8"/>
          <w:sz w:val="20"/>
        </w:rPr>
        <w:t> </w:t>
      </w:r>
      <w:r>
        <w:rPr>
          <w:sz w:val="20"/>
        </w:rPr>
        <w:t>participants)</w:t>
      </w:r>
      <w:r>
        <w:rPr>
          <w:spacing w:val="-8"/>
          <w:sz w:val="20"/>
        </w:rPr>
        <w:t> </w:t>
      </w:r>
      <w:r>
        <w:rPr>
          <w:sz w:val="20"/>
        </w:rPr>
        <w:t>than</w:t>
      </w:r>
      <w:r>
        <w:rPr>
          <w:spacing w:val="-7"/>
          <w:sz w:val="20"/>
        </w:rPr>
        <w:t> </w:t>
      </w:r>
      <w:r>
        <w:rPr>
          <w:sz w:val="20"/>
        </w:rPr>
        <w:t>those</w:t>
      </w:r>
      <w:r>
        <w:rPr>
          <w:spacing w:val="-8"/>
          <w:sz w:val="20"/>
        </w:rPr>
        <w:t> </w:t>
      </w:r>
      <w:r>
        <w:rPr>
          <w:sz w:val="20"/>
        </w:rPr>
        <w:t>who</w:t>
      </w:r>
      <w:r>
        <w:rPr>
          <w:spacing w:val="-8"/>
          <w:sz w:val="20"/>
        </w:rPr>
        <w:t> </w:t>
      </w:r>
      <w:r>
        <w:rPr>
          <w:sz w:val="20"/>
        </w:rPr>
        <w:t>did</w:t>
      </w:r>
      <w:r>
        <w:rPr>
          <w:spacing w:val="-8"/>
          <w:sz w:val="20"/>
        </w:rPr>
        <w:t> </w:t>
      </w:r>
      <w:r>
        <w:rPr>
          <w:sz w:val="20"/>
        </w:rPr>
        <w:t>not</w:t>
      </w:r>
      <w:r>
        <w:rPr>
          <w:spacing w:val="-8"/>
          <w:sz w:val="20"/>
        </w:rPr>
        <w:t> </w:t>
      </w:r>
      <w:r>
        <w:rPr>
          <w:sz w:val="20"/>
        </w:rPr>
        <w:t>(65</w:t>
      </w:r>
      <w:r>
        <w:rPr>
          <w:spacing w:val="-8"/>
          <w:sz w:val="20"/>
        </w:rPr>
        <w:t> </w:t>
      </w:r>
      <w:r>
        <w:rPr>
          <w:sz w:val="20"/>
        </w:rPr>
        <w:t>per</w:t>
      </w:r>
      <w:r>
        <w:rPr>
          <w:spacing w:val="-8"/>
          <w:sz w:val="20"/>
        </w:rPr>
        <w:t> </w:t>
      </w:r>
      <w:r>
        <w:rPr>
          <w:sz w:val="20"/>
        </w:rPr>
        <w:t>cent</w:t>
      </w:r>
      <w:r>
        <w:rPr>
          <w:spacing w:val="-8"/>
          <w:sz w:val="20"/>
        </w:rPr>
        <w:t> </w:t>
      </w:r>
      <w:r>
        <w:rPr>
          <w:sz w:val="20"/>
        </w:rPr>
        <w:t>and</w:t>
      </w:r>
      <w:r>
        <w:rPr>
          <w:spacing w:val="-8"/>
          <w:sz w:val="20"/>
        </w:rPr>
        <w:t> </w:t>
      </w:r>
      <w:r>
        <w:rPr>
          <w:sz w:val="20"/>
        </w:rPr>
        <w:t>75</w:t>
      </w:r>
      <w:r>
        <w:rPr>
          <w:spacing w:val="-8"/>
          <w:sz w:val="20"/>
        </w:rPr>
        <w:t> </w:t>
      </w:r>
      <w:r>
        <w:rPr>
          <w:sz w:val="20"/>
        </w:rPr>
        <w:t>per cent respectively).</w:t>
      </w:r>
    </w:p>
    <w:p>
      <w:pPr>
        <w:pStyle w:val="BodyText"/>
        <w:spacing w:before="8"/>
        <w:rPr>
          <w:sz w:val="19"/>
        </w:rPr>
      </w:pPr>
    </w:p>
    <w:p>
      <w:pPr>
        <w:pStyle w:val="Heading3"/>
        <w:numPr>
          <w:ilvl w:val="1"/>
          <w:numId w:val="2"/>
        </w:numPr>
        <w:tabs>
          <w:tab w:pos="1973" w:val="left" w:leader="none"/>
        </w:tabs>
        <w:spacing w:line="240" w:lineRule="auto" w:before="0" w:after="0"/>
        <w:ind w:left="1972" w:right="0" w:hanging="636"/>
        <w:jc w:val="both"/>
      </w:pPr>
      <w:bookmarkStart w:name="15.3  Overall satisfaction with the serv" w:id="183"/>
      <w:bookmarkEnd w:id="183"/>
      <w:r>
        <w:rPr>
          <w:b w:val="0"/>
        </w:rPr>
      </w:r>
      <w:bookmarkStart w:name="_bookmark46" w:id="184"/>
      <w:bookmarkEnd w:id="184"/>
      <w:r>
        <w:rPr/>
        <w:t>O</w:t>
      </w:r>
      <w:r>
        <w:rPr/>
        <w:t>verall</w:t>
      </w:r>
      <w:r>
        <w:rPr>
          <w:spacing w:val="-6"/>
        </w:rPr>
        <w:t> </w:t>
      </w:r>
      <w:r>
        <w:rPr/>
        <w:t>satisfaction</w:t>
      </w:r>
      <w:r>
        <w:rPr>
          <w:spacing w:val="-7"/>
        </w:rPr>
        <w:t> </w:t>
      </w:r>
      <w:r>
        <w:rPr/>
        <w:t>with</w:t>
      </w:r>
      <w:r>
        <w:rPr>
          <w:spacing w:val="-5"/>
        </w:rPr>
        <w:t> </w:t>
      </w:r>
      <w:r>
        <w:rPr/>
        <w:t>the</w:t>
      </w:r>
      <w:r>
        <w:rPr>
          <w:spacing w:val="-4"/>
        </w:rPr>
        <w:t> </w:t>
      </w:r>
      <w:r>
        <w:rPr/>
        <w:t>service</w:t>
      </w:r>
      <w:r>
        <w:rPr>
          <w:spacing w:val="-7"/>
        </w:rPr>
        <w:t> </w:t>
      </w:r>
      <w:r>
        <w:rPr/>
        <w:t>received</w:t>
      </w:r>
      <w:r>
        <w:rPr>
          <w:spacing w:val="-5"/>
        </w:rPr>
        <w:t> </w:t>
      </w:r>
      <w:r>
        <w:rPr/>
        <w:t>from</w:t>
      </w:r>
      <w:r>
        <w:rPr>
          <w:spacing w:val="-5"/>
        </w:rPr>
        <w:t> </w:t>
      </w:r>
      <w:r>
        <w:rPr>
          <w:spacing w:val="-4"/>
        </w:rPr>
        <w:t>Acas</w:t>
      </w:r>
    </w:p>
    <w:p>
      <w:pPr>
        <w:pStyle w:val="BodyText"/>
        <w:spacing w:before="121"/>
        <w:ind w:left="1336" w:right="1473"/>
        <w:jc w:val="both"/>
      </w:pPr>
      <w:r>
        <w:rPr/>
        <w:t>Both claimant and employer side participants who had contact with a conciliator after an ET claim was submitted were asked to rate their overall satisfaction with the service they received from Acas.</w:t>
      </w:r>
    </w:p>
    <w:p>
      <w:pPr>
        <w:pStyle w:val="BodyText"/>
        <w:spacing w:before="12"/>
        <w:rPr>
          <w:sz w:val="19"/>
        </w:rPr>
      </w:pPr>
    </w:p>
    <w:p>
      <w:pPr>
        <w:pStyle w:val="BodyText"/>
        <w:ind w:left="1336" w:right="1474"/>
        <w:jc w:val="both"/>
      </w:pPr>
      <w:r>
        <w:rPr/>
        <w:t>Eight in ten of those who proceeded to post-ET1 conciliation reported that they were</w:t>
      </w:r>
      <w:r>
        <w:rPr>
          <w:spacing w:val="-6"/>
        </w:rPr>
        <w:t> </w:t>
      </w:r>
      <w:r>
        <w:rPr/>
        <w:t>satisfied</w:t>
      </w:r>
      <w:r>
        <w:rPr>
          <w:spacing w:val="-5"/>
        </w:rPr>
        <w:t> </w:t>
      </w:r>
      <w:r>
        <w:rPr/>
        <w:t>with</w:t>
      </w:r>
      <w:r>
        <w:rPr>
          <w:spacing w:val="-6"/>
        </w:rPr>
        <w:t> </w:t>
      </w:r>
      <w:r>
        <w:rPr/>
        <w:t>the</w:t>
      </w:r>
      <w:r>
        <w:rPr>
          <w:spacing w:val="-7"/>
        </w:rPr>
        <w:t> </w:t>
      </w:r>
      <w:r>
        <w:rPr/>
        <w:t>service</w:t>
      </w:r>
      <w:r>
        <w:rPr>
          <w:spacing w:val="-6"/>
        </w:rPr>
        <w:t> </w:t>
      </w:r>
      <w:r>
        <w:rPr/>
        <w:t>they</w:t>
      </w:r>
      <w:r>
        <w:rPr>
          <w:spacing w:val="-6"/>
        </w:rPr>
        <w:t> </w:t>
      </w:r>
      <w:r>
        <w:rPr/>
        <w:t>received:</w:t>
      </w:r>
      <w:r>
        <w:rPr>
          <w:spacing w:val="-5"/>
        </w:rPr>
        <w:t> </w:t>
      </w:r>
      <w:r>
        <w:rPr/>
        <w:t>79</w:t>
      </w:r>
      <w:r>
        <w:rPr>
          <w:spacing w:val="-6"/>
        </w:rPr>
        <w:t> </w:t>
      </w:r>
      <w:r>
        <w:rPr/>
        <w:t>per</w:t>
      </w:r>
      <w:r>
        <w:rPr>
          <w:spacing w:val="-6"/>
        </w:rPr>
        <w:t> </w:t>
      </w:r>
      <w:r>
        <w:rPr/>
        <w:t>cent</w:t>
      </w:r>
      <w:r>
        <w:rPr>
          <w:spacing w:val="-5"/>
        </w:rPr>
        <w:t> </w:t>
      </w:r>
      <w:r>
        <w:rPr/>
        <w:t>on</w:t>
      </w:r>
      <w:r>
        <w:rPr>
          <w:spacing w:val="-5"/>
        </w:rPr>
        <w:t> </w:t>
      </w:r>
      <w:r>
        <w:rPr/>
        <w:t>the</w:t>
      </w:r>
      <w:r>
        <w:rPr>
          <w:spacing w:val="-6"/>
        </w:rPr>
        <w:t> </w:t>
      </w:r>
      <w:r>
        <w:rPr/>
        <w:t>claimant</w:t>
      </w:r>
      <w:r>
        <w:rPr>
          <w:spacing w:val="-5"/>
        </w:rPr>
        <w:t> </w:t>
      </w:r>
      <w:r>
        <w:rPr/>
        <w:t>side</w:t>
      </w:r>
      <w:r>
        <w:rPr>
          <w:spacing w:val="-6"/>
        </w:rPr>
        <w:t> </w:t>
      </w:r>
      <w:r>
        <w:rPr/>
        <w:t>and 81 per cent on the employer side.</w:t>
      </w:r>
    </w:p>
    <w:p>
      <w:pPr>
        <w:pStyle w:val="BodyText"/>
      </w:pPr>
    </w:p>
    <w:p>
      <w:pPr>
        <w:pStyle w:val="Heading3"/>
        <w:ind w:left="1336"/>
      </w:pPr>
      <w:r>
        <w:rPr/>
        <w:t>Figure</w:t>
      </w:r>
      <w:r>
        <w:rPr>
          <w:spacing w:val="-9"/>
        </w:rPr>
        <w:t> </w:t>
      </w:r>
      <w:r>
        <w:rPr/>
        <w:t>31.</w:t>
      </w:r>
      <w:r>
        <w:rPr>
          <w:spacing w:val="-6"/>
        </w:rPr>
        <w:t> </w:t>
      </w:r>
      <w:r>
        <w:rPr/>
        <w:t>Satisfaction</w:t>
      </w:r>
      <w:r>
        <w:rPr>
          <w:spacing w:val="-6"/>
        </w:rPr>
        <w:t> </w:t>
      </w:r>
      <w:r>
        <w:rPr/>
        <w:t>with</w:t>
      </w:r>
      <w:r>
        <w:rPr>
          <w:spacing w:val="-4"/>
        </w:rPr>
        <w:t> </w:t>
      </w:r>
      <w:r>
        <w:rPr/>
        <w:t>the</w:t>
      </w:r>
      <w:r>
        <w:rPr>
          <w:spacing w:val="-4"/>
        </w:rPr>
        <w:t> </w:t>
      </w:r>
      <w:r>
        <w:rPr/>
        <w:t>service</w:t>
      </w:r>
      <w:r>
        <w:rPr>
          <w:spacing w:val="-5"/>
        </w:rPr>
        <w:t> </w:t>
      </w:r>
      <w:r>
        <w:rPr/>
        <w:t>received</w:t>
      </w:r>
      <w:r>
        <w:rPr>
          <w:spacing w:val="-4"/>
        </w:rPr>
        <w:t> </w:t>
      </w:r>
      <w:r>
        <w:rPr/>
        <w:t>from</w:t>
      </w:r>
      <w:r>
        <w:rPr>
          <w:spacing w:val="-4"/>
        </w:rPr>
        <w:t> </w:t>
      </w:r>
      <w:r>
        <w:rPr/>
        <w:t>Acas</w:t>
      </w:r>
      <w:r>
        <w:rPr>
          <w:spacing w:val="-5"/>
        </w:rPr>
        <w:t> </w:t>
      </w:r>
      <w:r>
        <w:rPr/>
        <w:t>(post-</w:t>
      </w:r>
      <w:r>
        <w:rPr>
          <w:spacing w:val="-4"/>
        </w:rPr>
        <w:t>ET1)</w:t>
      </w:r>
    </w:p>
    <w:p>
      <w:pPr>
        <w:pStyle w:val="BodyText"/>
        <w:rPr>
          <w:b/>
          <w:sz w:val="10"/>
        </w:rPr>
      </w:pPr>
    </w:p>
    <w:p>
      <w:pPr>
        <w:spacing w:after="0"/>
        <w:rPr>
          <w:sz w:val="10"/>
        </w:rPr>
        <w:sectPr>
          <w:pgSz w:w="11910" w:h="16840"/>
          <w:pgMar w:header="0" w:footer="996" w:top="1580" w:bottom="1180" w:left="460" w:right="320"/>
        </w:sectPr>
      </w:pPr>
    </w:p>
    <w:p>
      <w:pPr>
        <w:pStyle w:val="BodyText"/>
        <w:rPr>
          <w:b/>
          <w:sz w:val="14"/>
        </w:rPr>
      </w:pPr>
    </w:p>
    <w:p>
      <w:pPr>
        <w:pStyle w:val="BodyText"/>
        <w:spacing w:before="9"/>
        <w:rPr>
          <w:b/>
          <w:sz w:val="19"/>
        </w:rPr>
      </w:pPr>
    </w:p>
    <w:p>
      <w:pPr>
        <w:tabs>
          <w:tab w:pos="5085" w:val="left" w:leader="none"/>
        </w:tabs>
        <w:spacing w:before="1"/>
        <w:ind w:left="2072" w:right="0" w:firstLine="0"/>
        <w:jc w:val="left"/>
        <w:rPr>
          <w:sz w:val="11"/>
        </w:rPr>
      </w:pPr>
      <w:r>
        <w:rPr/>
        <w:pict>
          <v:rect style="position:absolute;margin-left:122.189201pt;margin-top:2.241559pt;width:3.05816pt;height:3.055937pt;mso-position-horizontal-relative:page;mso-position-vertical-relative:paragraph;z-index:15791616" id="docshape357" filled="true" fillcolor="#77923b" stroked="false">
            <v:fill type="solid"/>
            <w10:wrap type="none"/>
          </v:rect>
        </w:pict>
      </w:r>
      <w:r>
        <w:rPr/>
        <w:pict>
          <v:rect style="position:absolute;margin-left:272.52243pt;margin-top:2.241559pt;width:3.495675pt;height:3.055382pt;mso-position-horizontal-relative:page;mso-position-vertical-relative:paragraph;z-index:-18063872" id="docshape358" filled="true" fillcolor="#9bba58" stroked="false">
            <v:fill type="solid"/>
            <w10:wrap type="none"/>
          </v:rect>
        </w:pict>
      </w:r>
      <w:r>
        <w:rPr>
          <w:sz w:val="11"/>
        </w:rPr>
        <w:t>Extremely</w:t>
      </w:r>
      <w:r>
        <w:rPr>
          <w:spacing w:val="27"/>
          <w:sz w:val="11"/>
        </w:rPr>
        <w:t> </w:t>
      </w:r>
      <w:r>
        <w:rPr>
          <w:spacing w:val="-2"/>
          <w:sz w:val="11"/>
        </w:rPr>
        <w:t>satisfied</w:t>
      </w:r>
      <w:r>
        <w:rPr>
          <w:sz w:val="11"/>
        </w:rPr>
        <w:tab/>
        <w:t>Very</w:t>
      </w:r>
      <w:r>
        <w:rPr>
          <w:spacing w:val="11"/>
          <w:sz w:val="11"/>
        </w:rPr>
        <w:t> </w:t>
      </w:r>
      <w:r>
        <w:rPr>
          <w:spacing w:val="-2"/>
          <w:sz w:val="11"/>
        </w:rPr>
        <w:t>satisfied</w:t>
      </w:r>
    </w:p>
    <w:p>
      <w:pPr>
        <w:tabs>
          <w:tab w:pos="5085" w:val="left" w:leader="none"/>
        </w:tabs>
        <w:spacing w:before="24"/>
        <w:ind w:left="2072" w:right="0" w:firstLine="0"/>
        <w:jc w:val="left"/>
        <w:rPr>
          <w:sz w:val="11"/>
        </w:rPr>
      </w:pPr>
      <w:r>
        <w:rPr/>
        <w:pict>
          <v:rect style="position:absolute;margin-left:122.189201pt;margin-top:3.321124pt;width:3.05816pt;height:3.055937pt;mso-position-horizontal-relative:page;mso-position-vertical-relative:paragraph;z-index:15792640" id="docshape359" filled="true" fillcolor="#d6e3bc" stroked="false">
            <v:fill type="solid"/>
            <w10:wrap type="none"/>
          </v:rect>
        </w:pict>
      </w:r>
      <w:r>
        <w:rPr/>
        <w:pict>
          <v:rect style="position:absolute;margin-left:272.52243pt;margin-top:3.321124pt;width:3.495675pt;height:3.055382pt;mso-position-horizontal-relative:page;mso-position-vertical-relative:paragraph;z-index:-18062848" id="docshape360" filled="true" fillcolor="#f1f1f1" stroked="false">
            <v:fill type="solid"/>
            <w10:wrap type="none"/>
          </v:rect>
        </w:pict>
      </w:r>
      <w:r>
        <w:rPr>
          <w:spacing w:val="-2"/>
          <w:w w:val="105"/>
          <w:sz w:val="11"/>
        </w:rPr>
        <w:t>Satisfied</w:t>
      </w:r>
      <w:r>
        <w:rPr>
          <w:sz w:val="11"/>
        </w:rPr>
        <w:tab/>
      </w:r>
      <w:r>
        <w:rPr>
          <w:w w:val="105"/>
          <w:sz w:val="11"/>
        </w:rPr>
        <w:t>Neither</w:t>
      </w:r>
      <w:r>
        <w:rPr>
          <w:spacing w:val="2"/>
          <w:w w:val="105"/>
          <w:sz w:val="11"/>
        </w:rPr>
        <w:t> </w:t>
      </w:r>
      <w:r>
        <w:rPr>
          <w:w w:val="105"/>
          <w:sz w:val="11"/>
        </w:rPr>
        <w:t>satisfied</w:t>
      </w:r>
      <w:r>
        <w:rPr>
          <w:spacing w:val="-2"/>
          <w:w w:val="105"/>
          <w:sz w:val="11"/>
        </w:rPr>
        <w:t> </w:t>
      </w:r>
      <w:r>
        <w:rPr>
          <w:w w:val="105"/>
          <w:sz w:val="11"/>
        </w:rPr>
        <w:t>nor</w:t>
      </w:r>
      <w:r>
        <w:rPr>
          <w:spacing w:val="2"/>
          <w:w w:val="105"/>
          <w:sz w:val="11"/>
        </w:rPr>
        <w:t> </w:t>
      </w:r>
      <w:r>
        <w:rPr>
          <w:spacing w:val="-2"/>
          <w:w w:val="105"/>
          <w:sz w:val="11"/>
        </w:rPr>
        <w:t>dissatisfied</w:t>
      </w:r>
    </w:p>
    <w:p>
      <w:pPr>
        <w:tabs>
          <w:tab w:pos="5085" w:val="left" w:leader="none"/>
        </w:tabs>
        <w:spacing w:before="25"/>
        <w:ind w:left="2072" w:right="0" w:firstLine="0"/>
        <w:jc w:val="left"/>
        <w:rPr>
          <w:sz w:val="11"/>
        </w:rPr>
      </w:pPr>
      <w:r>
        <w:rPr/>
        <w:pict>
          <v:rect style="position:absolute;margin-left:122.189201pt;margin-top:3.30069pt;width:3.05816pt;height:3.055937pt;mso-position-horizontal-relative:page;mso-position-vertical-relative:paragraph;z-index:15793664" id="docshape361" filled="true" fillcolor="#94b3d6" stroked="false">
            <v:fill type="solid"/>
            <w10:wrap type="none"/>
          </v:rect>
        </w:pict>
      </w:r>
      <w:r>
        <w:rPr/>
        <w:pict>
          <v:rect style="position:absolute;margin-left:272.52243pt;margin-top:3.30069pt;width:3.495675pt;height:3.055382pt;mso-position-horizontal-relative:page;mso-position-vertical-relative:paragraph;z-index:-18061824" id="docshape362" filled="true" fillcolor="#0063c7" stroked="false">
            <v:fill type="solid"/>
            <w10:wrap type="none"/>
          </v:rect>
        </w:pict>
      </w:r>
      <w:r>
        <w:rPr>
          <w:spacing w:val="-2"/>
          <w:w w:val="105"/>
          <w:sz w:val="11"/>
        </w:rPr>
        <w:t>Dissatisfied</w:t>
      </w:r>
      <w:r>
        <w:rPr>
          <w:sz w:val="11"/>
        </w:rPr>
        <w:tab/>
      </w:r>
      <w:r>
        <w:rPr>
          <w:w w:val="105"/>
          <w:sz w:val="11"/>
        </w:rPr>
        <w:t>Very</w:t>
      </w:r>
      <w:r>
        <w:rPr>
          <w:spacing w:val="-3"/>
          <w:w w:val="105"/>
          <w:sz w:val="11"/>
        </w:rPr>
        <w:t> </w:t>
      </w:r>
      <w:r>
        <w:rPr>
          <w:spacing w:val="-2"/>
          <w:w w:val="105"/>
          <w:sz w:val="11"/>
        </w:rPr>
        <w:t>dissatisfied</w:t>
      </w:r>
    </w:p>
    <w:p>
      <w:pPr>
        <w:tabs>
          <w:tab w:pos="5085" w:val="left" w:leader="none"/>
        </w:tabs>
        <w:spacing w:before="25"/>
        <w:ind w:left="2072" w:right="0" w:firstLine="0"/>
        <w:jc w:val="left"/>
        <w:rPr>
          <w:sz w:val="11"/>
        </w:rPr>
      </w:pPr>
      <w:r>
        <w:rPr/>
        <w:pict>
          <v:rect style="position:absolute;margin-left:122.189201pt;margin-top:3.230255pt;width:3.058716pt;height:3.491865pt;mso-position-horizontal-relative:page;mso-position-vertical-relative:paragraph;z-index:15794688" id="docshape363" filled="true" fillcolor="#1f487c" stroked="false">
            <v:fill type="solid"/>
            <w10:wrap type="none"/>
          </v:rect>
        </w:pict>
      </w:r>
      <w:r>
        <w:rPr/>
        <w:pict>
          <v:rect style="position:absolute;margin-left:272.52243pt;margin-top:3.230255pt;width:3.495675pt;height:3.491865pt;mso-position-horizontal-relative:page;mso-position-vertical-relative:paragraph;z-index:-18060800" id="docshape364" filled="true" fillcolor="#a6a6a6" stroked="false">
            <v:fill type="solid"/>
            <w10:wrap type="none"/>
          </v:rect>
        </w:pict>
      </w:r>
      <w:r>
        <w:rPr>
          <w:sz w:val="11"/>
        </w:rPr>
        <w:t>Extremely</w:t>
      </w:r>
      <w:r>
        <w:rPr>
          <w:spacing w:val="27"/>
          <w:sz w:val="11"/>
        </w:rPr>
        <w:t> </w:t>
      </w:r>
      <w:r>
        <w:rPr>
          <w:spacing w:val="-2"/>
          <w:sz w:val="11"/>
        </w:rPr>
        <w:t>dissatisfied</w:t>
      </w:r>
      <w:r>
        <w:rPr>
          <w:sz w:val="11"/>
        </w:rPr>
        <w:tab/>
        <w:t>Don't</w:t>
      </w:r>
      <w:r>
        <w:rPr>
          <w:spacing w:val="11"/>
          <w:sz w:val="11"/>
        </w:rPr>
        <w:t> </w:t>
      </w:r>
      <w:r>
        <w:rPr>
          <w:spacing w:val="-4"/>
          <w:sz w:val="11"/>
        </w:rPr>
        <w:t>know</w:t>
      </w:r>
    </w:p>
    <w:p>
      <w:pPr>
        <w:spacing w:before="104"/>
        <w:ind w:left="1065" w:right="217" w:firstLine="0"/>
        <w:jc w:val="center"/>
        <w:rPr>
          <w:sz w:val="11"/>
        </w:rPr>
      </w:pPr>
      <w:r>
        <w:rPr/>
        <w:br w:type="column"/>
      </w:r>
      <w:r>
        <w:rPr>
          <w:spacing w:val="-10"/>
          <w:w w:val="105"/>
          <w:sz w:val="11"/>
        </w:rPr>
        <w:t>%</w:t>
      </w:r>
    </w:p>
    <w:p>
      <w:pPr>
        <w:spacing w:before="6"/>
        <w:ind w:left="846" w:right="0" w:firstLine="0"/>
        <w:jc w:val="center"/>
        <w:rPr>
          <w:sz w:val="11"/>
        </w:rPr>
      </w:pPr>
      <w:r>
        <w:rPr>
          <w:spacing w:val="-2"/>
          <w:w w:val="105"/>
          <w:sz w:val="11"/>
        </w:rPr>
        <w:t>Extremely</w:t>
      </w:r>
    </w:p>
    <w:p>
      <w:pPr>
        <w:spacing w:line="249" w:lineRule="auto" w:before="6"/>
        <w:ind w:left="836" w:right="0" w:firstLine="2"/>
        <w:jc w:val="center"/>
        <w:rPr>
          <w:sz w:val="11"/>
        </w:rPr>
      </w:pPr>
      <w:r>
        <w:rPr>
          <w:w w:val="105"/>
          <w:sz w:val="11"/>
        </w:rPr>
        <w:t>/ very / tend</w:t>
      </w:r>
      <w:r>
        <w:rPr>
          <w:spacing w:val="-11"/>
          <w:w w:val="105"/>
          <w:sz w:val="11"/>
        </w:rPr>
        <w:t> </w:t>
      </w:r>
      <w:r>
        <w:rPr>
          <w:w w:val="105"/>
          <w:sz w:val="11"/>
        </w:rPr>
        <w:t>to</w:t>
      </w:r>
      <w:r>
        <w:rPr>
          <w:spacing w:val="-10"/>
          <w:w w:val="105"/>
          <w:sz w:val="11"/>
        </w:rPr>
        <w:t> </w:t>
      </w:r>
      <w:r>
        <w:rPr>
          <w:w w:val="105"/>
          <w:sz w:val="11"/>
        </w:rPr>
        <w:t>be </w:t>
      </w:r>
      <w:r>
        <w:rPr>
          <w:spacing w:val="-2"/>
          <w:w w:val="105"/>
          <w:sz w:val="11"/>
        </w:rPr>
        <w:t>satisfied</w:t>
      </w:r>
    </w:p>
    <w:p>
      <w:pPr>
        <w:spacing w:before="104"/>
        <w:ind w:left="334" w:right="1981" w:firstLine="0"/>
        <w:jc w:val="center"/>
        <w:rPr>
          <w:sz w:val="11"/>
        </w:rPr>
      </w:pPr>
      <w:r>
        <w:rPr/>
        <w:br w:type="column"/>
      </w:r>
      <w:r>
        <w:rPr>
          <w:spacing w:val="-2"/>
          <w:sz w:val="11"/>
        </w:rPr>
        <w:t>+/-</w:t>
      </w:r>
      <w:r>
        <w:rPr>
          <w:spacing w:val="-10"/>
          <w:sz w:val="11"/>
        </w:rPr>
        <w:t>%</w:t>
      </w:r>
    </w:p>
    <w:p>
      <w:pPr>
        <w:spacing w:before="6"/>
        <w:ind w:left="169" w:right="1822" w:firstLine="0"/>
        <w:jc w:val="center"/>
        <w:rPr>
          <w:sz w:val="11"/>
        </w:rPr>
      </w:pPr>
      <w:r>
        <w:rPr>
          <w:w w:val="105"/>
          <w:sz w:val="11"/>
        </w:rPr>
        <w:t>since</w:t>
      </w:r>
      <w:r>
        <w:rPr>
          <w:spacing w:val="3"/>
          <w:w w:val="105"/>
          <w:sz w:val="11"/>
        </w:rPr>
        <w:t> </w:t>
      </w:r>
      <w:r>
        <w:rPr>
          <w:spacing w:val="-4"/>
          <w:w w:val="105"/>
          <w:sz w:val="11"/>
        </w:rPr>
        <w:t>2016</w:t>
      </w:r>
    </w:p>
    <w:p>
      <w:pPr>
        <w:spacing w:after="0"/>
        <w:jc w:val="center"/>
        <w:rPr>
          <w:sz w:val="11"/>
        </w:rPr>
        <w:sectPr>
          <w:type w:val="continuous"/>
          <w:pgSz w:w="11910" w:h="16840"/>
          <w:pgMar w:header="0" w:footer="996" w:top="560" w:bottom="280" w:left="460" w:right="320"/>
          <w:cols w:num="3" w:equalWidth="0">
            <w:col w:w="6966" w:space="40"/>
            <w:col w:w="1437" w:space="39"/>
            <w:col w:w="2648"/>
          </w:cols>
        </w:sectPr>
      </w:pPr>
    </w:p>
    <w:p>
      <w:pPr>
        <w:pStyle w:val="BodyText"/>
      </w:pPr>
    </w:p>
    <w:p>
      <w:pPr>
        <w:pStyle w:val="BodyText"/>
        <w:spacing w:before="6"/>
        <w:rPr>
          <w:sz w:val="24"/>
        </w:rPr>
      </w:pPr>
    </w:p>
    <w:p>
      <w:pPr>
        <w:spacing w:after="0"/>
        <w:rPr>
          <w:sz w:val="24"/>
        </w:rPr>
        <w:sectPr>
          <w:type w:val="continuous"/>
          <w:pgSz w:w="11910" w:h="16840"/>
          <w:pgMar w:header="0" w:footer="996" w:top="560" w:bottom="280" w:left="460" w:right="320"/>
        </w:sectPr>
      </w:pPr>
    </w:p>
    <w:p>
      <w:pPr>
        <w:spacing w:before="120"/>
        <w:ind w:left="1508" w:right="0" w:firstLine="0"/>
        <w:jc w:val="left"/>
        <w:rPr>
          <w:sz w:val="11"/>
        </w:rPr>
      </w:pPr>
      <w:r>
        <w:rPr>
          <w:sz w:val="11"/>
        </w:rPr>
        <w:t>Claimant-</w:t>
      </w:r>
      <w:r>
        <w:rPr>
          <w:spacing w:val="-4"/>
          <w:sz w:val="11"/>
        </w:rPr>
        <w:t>side</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3"/>
        <w:rPr>
          <w:sz w:val="11"/>
        </w:rPr>
      </w:pPr>
    </w:p>
    <w:p>
      <w:pPr>
        <w:spacing w:before="0"/>
        <w:ind w:left="1508" w:right="0" w:firstLine="0"/>
        <w:jc w:val="left"/>
        <w:rPr>
          <w:sz w:val="11"/>
        </w:rPr>
      </w:pPr>
      <w:r>
        <w:rPr>
          <w:sz w:val="11"/>
        </w:rPr>
        <w:t>Employer-</w:t>
      </w:r>
      <w:r>
        <w:rPr>
          <w:spacing w:val="-4"/>
          <w:sz w:val="11"/>
        </w:rPr>
        <w:t>side</w:t>
      </w:r>
    </w:p>
    <w:p>
      <w:pPr>
        <w:tabs>
          <w:tab w:pos="2331" w:val="left" w:leader="none"/>
        </w:tabs>
        <w:spacing w:before="104"/>
        <w:ind w:left="1508" w:right="0" w:firstLine="0"/>
        <w:jc w:val="left"/>
        <w:rPr>
          <w:sz w:val="11"/>
        </w:rPr>
      </w:pPr>
      <w:r>
        <w:rPr/>
        <w:br w:type="column"/>
      </w:r>
      <w:r>
        <w:rPr>
          <w:spacing w:val="-5"/>
          <w:w w:val="105"/>
          <w:sz w:val="11"/>
        </w:rPr>
        <w:t>79</w:t>
      </w:r>
      <w:r>
        <w:rPr>
          <w:sz w:val="11"/>
        </w:rPr>
        <w:tab/>
      </w:r>
      <w:r>
        <w:rPr>
          <w:spacing w:val="-5"/>
          <w:w w:val="105"/>
          <w:sz w:val="11"/>
        </w:rPr>
        <w:t>+5</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tabs>
          <w:tab w:pos="2339" w:val="left" w:leader="none"/>
        </w:tabs>
        <w:spacing w:before="106"/>
        <w:ind w:left="1508" w:right="0" w:firstLine="0"/>
        <w:jc w:val="left"/>
        <w:rPr>
          <w:sz w:val="11"/>
        </w:rPr>
      </w:pPr>
      <w:r>
        <w:rPr/>
        <w:pict>
          <v:group style="position:absolute;margin-left:157.150406pt;margin-top:-63.922661pt;width:243.85pt;height:36.25pt;mso-position-horizontal-relative:page;mso-position-vertical-relative:paragraph;z-index:15790592" id="docshapegroup365" coordorigin="3143,-1278" coordsize="4877,725">
            <v:rect style="position:absolute;left:3143;top:-1279;width:542;height:725" id="docshape366" filled="true" fillcolor="#77923b" stroked="false">
              <v:fill type="solid"/>
            </v:rect>
            <v:rect style="position:absolute;left:3684;top:-1279;width:1810;height:725" id="docshape367" filled="true" fillcolor="#9bba58" stroked="false">
              <v:fill type="solid"/>
            </v:rect>
            <v:rect style="position:absolute;left:5494;top:-1279;width:1521;height:725" id="docshape368" filled="true" fillcolor="#d6e3bc" stroked="false">
              <v:fill type="solid"/>
            </v:rect>
            <v:rect style="position:absolute;left:7014;top:-1279;width:341;height:725" id="docshape369" filled="true" fillcolor="#f1f1f1" stroked="false">
              <v:fill type="solid"/>
            </v:rect>
            <v:rect style="position:absolute;left:7355;top:-1279;width:149;height:725" id="docshape370" filled="true" fillcolor="#94b3d6" stroked="false">
              <v:fill type="solid"/>
            </v:rect>
            <v:rect style="position:absolute;left:7504;top:-1279;width:193;height:725" id="docshape371" filled="true" fillcolor="#0063c7" stroked="false">
              <v:fill type="solid"/>
            </v:rect>
            <v:rect style="position:absolute;left:7696;top:-1279;width:245;height:725" id="docshape372" filled="true" fillcolor="#1f487c" stroked="false">
              <v:fill type="solid"/>
            </v:rect>
            <v:rect style="position:absolute;left:7941;top:-1279;width:53;height:725" id="docshape373" filled="true" fillcolor="#a6a6a6" stroked="false">
              <v:fill type="solid"/>
            </v:rect>
            <v:shape style="position:absolute;left:3337;top:-990;width:163;height:138" type="#_x0000_t202" id="docshape374" filled="false" stroked="false">
              <v:textbox inset="0,0,0,0">
                <w:txbxContent>
                  <w:p>
                    <w:pPr>
                      <w:spacing w:before="3"/>
                      <w:ind w:left="0" w:right="0" w:firstLine="0"/>
                      <w:jc w:val="left"/>
                      <w:rPr>
                        <w:sz w:val="11"/>
                      </w:rPr>
                    </w:pPr>
                    <w:r>
                      <w:rPr>
                        <w:color w:val="FFFFFF"/>
                        <w:spacing w:val="-5"/>
                        <w:w w:val="105"/>
                        <w:sz w:val="11"/>
                      </w:rPr>
                      <w:t>11</w:t>
                    </w:r>
                  </w:p>
                </w:txbxContent>
              </v:textbox>
              <w10:wrap type="none"/>
            </v:shape>
            <v:shape style="position:absolute;left:4512;top:-990;width:163;height:138" type="#_x0000_t202" id="docshape375" filled="false" stroked="false">
              <v:textbox inset="0,0,0,0">
                <w:txbxContent>
                  <w:p>
                    <w:pPr>
                      <w:spacing w:before="3"/>
                      <w:ind w:left="0" w:right="0" w:firstLine="0"/>
                      <w:jc w:val="left"/>
                      <w:rPr>
                        <w:sz w:val="11"/>
                      </w:rPr>
                    </w:pPr>
                    <w:r>
                      <w:rPr>
                        <w:spacing w:val="-5"/>
                        <w:w w:val="105"/>
                        <w:sz w:val="11"/>
                      </w:rPr>
                      <w:t>37</w:t>
                    </w:r>
                  </w:p>
                </w:txbxContent>
              </v:textbox>
              <w10:wrap type="none"/>
            </v:shape>
            <v:shape style="position:absolute;left:6178;top:-990;width:163;height:138" type="#_x0000_t202" id="docshape376" filled="false" stroked="false">
              <v:textbox inset="0,0,0,0">
                <w:txbxContent>
                  <w:p>
                    <w:pPr>
                      <w:spacing w:before="3"/>
                      <w:ind w:left="0" w:right="0" w:firstLine="0"/>
                      <w:jc w:val="left"/>
                      <w:rPr>
                        <w:sz w:val="11"/>
                      </w:rPr>
                    </w:pPr>
                    <w:r>
                      <w:rPr>
                        <w:spacing w:val="-5"/>
                        <w:w w:val="105"/>
                        <w:sz w:val="11"/>
                      </w:rPr>
                      <w:t>31</w:t>
                    </w:r>
                  </w:p>
                </w:txbxContent>
              </v:textbox>
              <w10:wrap type="none"/>
            </v:shape>
            <v:shape style="position:absolute;left:7143;top:-990;width:876;height:138" type="#_x0000_t202" id="docshape377" filled="false" stroked="false">
              <v:textbox inset="0,0,0,0">
                <w:txbxContent>
                  <w:p>
                    <w:pPr>
                      <w:spacing w:before="3"/>
                      <w:ind w:left="0" w:right="0" w:firstLine="0"/>
                      <w:jc w:val="left"/>
                      <w:rPr>
                        <w:sz w:val="11"/>
                      </w:rPr>
                    </w:pPr>
                    <w:r>
                      <w:rPr>
                        <w:w w:val="105"/>
                        <w:sz w:val="11"/>
                      </w:rPr>
                      <w:t>7</w:t>
                    </w:r>
                    <w:r>
                      <w:rPr>
                        <w:spacing w:val="44"/>
                        <w:w w:val="105"/>
                        <w:sz w:val="11"/>
                      </w:rPr>
                      <w:t>  </w:t>
                    </w:r>
                    <w:r>
                      <w:rPr>
                        <w:w w:val="105"/>
                        <w:sz w:val="11"/>
                      </w:rPr>
                      <w:t>3</w:t>
                    </w:r>
                    <w:r>
                      <w:rPr>
                        <w:spacing w:val="57"/>
                        <w:w w:val="105"/>
                        <w:sz w:val="11"/>
                      </w:rPr>
                      <w:t> </w:t>
                    </w:r>
                    <w:r>
                      <w:rPr>
                        <w:color w:val="FFFFFF"/>
                        <w:w w:val="105"/>
                        <w:sz w:val="11"/>
                      </w:rPr>
                      <w:t>4</w:t>
                    </w:r>
                    <w:r>
                      <w:rPr>
                        <w:color w:val="FFFFFF"/>
                        <w:spacing w:val="32"/>
                        <w:w w:val="105"/>
                        <w:sz w:val="11"/>
                      </w:rPr>
                      <w:t>  </w:t>
                    </w:r>
                    <w:r>
                      <w:rPr>
                        <w:color w:val="FFFFFF"/>
                        <w:w w:val="105"/>
                        <w:sz w:val="11"/>
                      </w:rPr>
                      <w:t>5</w:t>
                    </w:r>
                    <w:r>
                      <w:rPr>
                        <w:color w:val="FFFFFF"/>
                        <w:spacing w:val="33"/>
                        <w:w w:val="105"/>
                        <w:sz w:val="11"/>
                      </w:rPr>
                      <w:t> </w:t>
                    </w:r>
                    <w:r>
                      <w:rPr>
                        <w:color w:val="FFFFFF"/>
                        <w:spacing w:val="-10"/>
                        <w:w w:val="105"/>
                        <w:sz w:val="11"/>
                      </w:rPr>
                      <w:t>1</w:t>
                    </w:r>
                  </w:p>
                </w:txbxContent>
              </v:textbox>
              <w10:wrap type="none"/>
            </v:shape>
            <w10:wrap type="none"/>
          </v:group>
        </w:pict>
      </w:r>
      <w:r>
        <w:rPr/>
        <w:pict>
          <v:group style="position:absolute;margin-left:157.150406pt;margin-top:-9.799354pt;width:244.75pt;height:36.7pt;mso-position-horizontal-relative:page;mso-position-vertical-relative:paragraph;z-index:15791104" id="docshapegroup378" coordorigin="3143,-196" coordsize="4895,734">
            <v:rect style="position:absolute;left:3143;top:-196;width:542;height:734" id="docshape379" filled="true" fillcolor="#77923b" stroked="false">
              <v:fill type="solid"/>
            </v:rect>
            <v:rect style="position:absolute;left:3684;top:-196;width:1810;height:734" id="docshape380" filled="true" fillcolor="#9bba58" stroked="false">
              <v:fill type="solid"/>
            </v:rect>
            <v:rect style="position:absolute;left:5494;top:-196;width:1565;height:734" id="docshape381" filled="true" fillcolor="#d6e3bc" stroked="false">
              <v:fill type="solid"/>
            </v:rect>
            <v:rect style="position:absolute;left:7058;top:-196;width:394;height:734" id="docshape382" filled="true" fillcolor="#f1f1f1" stroked="false">
              <v:fill type="solid"/>
            </v:rect>
            <v:rect style="position:absolute;left:7452;top:-196;width:193;height:734" id="docshape383" filled="true" fillcolor="#94b3d6" stroked="false">
              <v:fill type="solid"/>
            </v:rect>
            <v:rect style="position:absolute;left:7644;top:-196;width:149;height:734" id="docshape384" filled="true" fillcolor="#0063c7" stroked="false">
              <v:fill type="solid"/>
            </v:rect>
            <v:rect style="position:absolute;left:7792;top:-196;width:149;height:734" id="docshape385" filled="true" fillcolor="#1f487c" stroked="false">
              <v:fill type="solid"/>
            </v:rect>
            <v:rect style="position:absolute;left:7941;top:-196;width:97;height:734" id="docshape386" filled="true" fillcolor="#a6a6a6" stroked="false">
              <v:fill type="solid"/>
            </v:rect>
            <v:shape style="position:absolute;left:3337;top:99;width:163;height:138" type="#_x0000_t202" id="docshape387" filled="false" stroked="false">
              <v:textbox inset="0,0,0,0">
                <w:txbxContent>
                  <w:p>
                    <w:pPr>
                      <w:spacing w:before="3"/>
                      <w:ind w:left="0" w:right="0" w:firstLine="0"/>
                      <w:jc w:val="left"/>
                      <w:rPr>
                        <w:sz w:val="11"/>
                      </w:rPr>
                    </w:pPr>
                    <w:r>
                      <w:rPr>
                        <w:color w:val="FFFFFF"/>
                        <w:spacing w:val="-5"/>
                        <w:w w:val="105"/>
                        <w:sz w:val="11"/>
                      </w:rPr>
                      <w:t>11</w:t>
                    </w:r>
                  </w:p>
                </w:txbxContent>
              </v:textbox>
              <w10:wrap type="none"/>
            </v:shape>
            <v:shape style="position:absolute;left:4512;top:99;width:163;height:138" type="#_x0000_t202" id="docshape388" filled="false" stroked="false">
              <v:textbox inset="0,0,0,0">
                <w:txbxContent>
                  <w:p>
                    <w:pPr>
                      <w:spacing w:before="3"/>
                      <w:ind w:left="0" w:right="0" w:firstLine="0"/>
                      <w:jc w:val="left"/>
                      <w:rPr>
                        <w:sz w:val="11"/>
                      </w:rPr>
                    </w:pPr>
                    <w:r>
                      <w:rPr>
                        <w:spacing w:val="-5"/>
                        <w:w w:val="105"/>
                        <w:sz w:val="11"/>
                      </w:rPr>
                      <w:t>37</w:t>
                    </w:r>
                  </w:p>
                </w:txbxContent>
              </v:textbox>
              <w10:wrap type="none"/>
            </v:shape>
            <v:shape style="position:absolute;left:6202;top:99;width:163;height:138" type="#_x0000_t202" id="docshape389" filled="false" stroked="false">
              <v:textbox inset="0,0,0,0">
                <w:txbxContent>
                  <w:p>
                    <w:pPr>
                      <w:spacing w:before="3"/>
                      <w:ind w:left="0" w:right="0" w:firstLine="0"/>
                      <w:jc w:val="left"/>
                      <w:rPr>
                        <w:sz w:val="11"/>
                      </w:rPr>
                    </w:pPr>
                    <w:r>
                      <w:rPr>
                        <w:spacing w:val="-5"/>
                        <w:w w:val="105"/>
                        <w:sz w:val="11"/>
                      </w:rPr>
                      <w:t>32</w:t>
                    </w:r>
                  </w:p>
                </w:txbxContent>
              </v:textbox>
              <w10:wrap type="none"/>
            </v:shape>
            <v:shape style="position:absolute;left:7217;top:99;width:804;height:138" type="#_x0000_t202" id="docshape390" filled="false" stroked="false">
              <v:textbox inset="0,0,0,0">
                <w:txbxContent>
                  <w:p>
                    <w:pPr>
                      <w:tabs>
                        <w:tab w:pos="293" w:val="left" w:leader="none"/>
                      </w:tabs>
                      <w:spacing w:before="3"/>
                      <w:ind w:left="0" w:right="0" w:firstLine="0"/>
                      <w:jc w:val="left"/>
                      <w:rPr>
                        <w:sz w:val="11"/>
                      </w:rPr>
                    </w:pPr>
                    <w:r>
                      <w:rPr>
                        <w:spacing w:val="-10"/>
                        <w:w w:val="105"/>
                        <w:sz w:val="11"/>
                      </w:rPr>
                      <w:t>8</w:t>
                    </w:r>
                    <w:r>
                      <w:rPr>
                        <w:sz w:val="11"/>
                      </w:rPr>
                      <w:tab/>
                    </w:r>
                    <w:r>
                      <w:rPr>
                        <w:w w:val="105"/>
                        <w:sz w:val="11"/>
                      </w:rPr>
                      <w:t>4</w:t>
                    </w:r>
                    <w:r>
                      <w:rPr>
                        <w:spacing w:val="55"/>
                        <w:w w:val="105"/>
                        <w:sz w:val="11"/>
                      </w:rPr>
                      <w:t> </w:t>
                    </w:r>
                    <w:r>
                      <w:rPr>
                        <w:color w:val="FFFFFF"/>
                        <w:w w:val="105"/>
                        <w:sz w:val="11"/>
                      </w:rPr>
                      <w:t>3</w:t>
                    </w:r>
                    <w:r>
                      <w:rPr>
                        <w:color w:val="FFFFFF"/>
                        <w:spacing w:val="31"/>
                        <w:w w:val="105"/>
                        <w:sz w:val="11"/>
                      </w:rPr>
                      <w:t> </w:t>
                    </w:r>
                    <w:r>
                      <w:rPr>
                        <w:color w:val="FFFFFF"/>
                        <w:w w:val="105"/>
                        <w:sz w:val="11"/>
                      </w:rPr>
                      <w:t>3</w:t>
                    </w:r>
                    <w:r>
                      <w:rPr>
                        <w:color w:val="FFFFFF"/>
                        <w:spacing w:val="-13"/>
                        <w:w w:val="105"/>
                        <w:sz w:val="11"/>
                      </w:rPr>
                      <w:t> </w:t>
                    </w:r>
                    <w:r>
                      <w:rPr>
                        <w:color w:val="FFFFFF"/>
                        <w:spacing w:val="-10"/>
                        <w:w w:val="105"/>
                        <w:sz w:val="11"/>
                      </w:rPr>
                      <w:t>2</w:t>
                    </w:r>
                  </w:p>
                </w:txbxContent>
              </v:textbox>
              <w10:wrap type="none"/>
            </v:shape>
            <w10:wrap type="none"/>
          </v:group>
        </w:pict>
      </w:r>
      <w:r>
        <w:rPr>
          <w:spacing w:val="-5"/>
          <w:sz w:val="11"/>
        </w:rPr>
        <w:t>81</w:t>
      </w:r>
      <w:r>
        <w:rPr>
          <w:sz w:val="11"/>
        </w:rPr>
        <w:tab/>
        <w:t>-</w:t>
      </w:r>
      <w:r>
        <w:rPr>
          <w:spacing w:val="-10"/>
          <w:sz w:val="11"/>
        </w:rPr>
        <w:t>5</w:t>
      </w:r>
    </w:p>
    <w:p>
      <w:pPr>
        <w:spacing w:after="0"/>
        <w:jc w:val="left"/>
        <w:rPr>
          <w:sz w:val="11"/>
        </w:rPr>
        <w:sectPr>
          <w:type w:val="continuous"/>
          <w:pgSz w:w="11910" w:h="16840"/>
          <w:pgMar w:header="0" w:footer="996" w:top="560" w:bottom="280" w:left="460" w:right="320"/>
          <w:cols w:num="2" w:equalWidth="0">
            <w:col w:w="2351" w:space="4219"/>
            <w:col w:w="4560"/>
          </w:cols>
        </w:sectPr>
      </w:pPr>
    </w:p>
    <w:p>
      <w:pPr>
        <w:pStyle w:val="BodyText"/>
      </w:pPr>
    </w:p>
    <w:p>
      <w:pPr>
        <w:pStyle w:val="BodyText"/>
        <w:rPr>
          <w:sz w:val="17"/>
        </w:rPr>
      </w:pPr>
    </w:p>
    <w:p>
      <w:pPr>
        <w:spacing w:after="0"/>
        <w:rPr>
          <w:sz w:val="17"/>
        </w:rPr>
        <w:sectPr>
          <w:type w:val="continuous"/>
          <w:pgSz w:w="11910" w:h="16840"/>
          <w:pgMar w:header="0" w:footer="996" w:top="560" w:bottom="280" w:left="460" w:right="320"/>
        </w:sectPr>
      </w:pPr>
    </w:p>
    <w:p>
      <w:pPr>
        <w:spacing w:line="249" w:lineRule="auto" w:before="104"/>
        <w:ind w:left="1421" w:right="0" w:firstLine="0"/>
        <w:jc w:val="left"/>
        <w:rPr>
          <w:sz w:val="11"/>
        </w:rPr>
      </w:pPr>
      <w:r>
        <w:rPr>
          <w:w w:val="105"/>
          <w:sz w:val="11"/>
        </w:rPr>
        <w:t>Unweighted</w:t>
      </w:r>
      <w:r>
        <w:rPr>
          <w:w w:val="105"/>
          <w:sz w:val="11"/>
        </w:rPr>
        <w:t> base:</w:t>
      </w:r>
      <w:r>
        <w:rPr>
          <w:spacing w:val="-9"/>
          <w:w w:val="105"/>
          <w:sz w:val="11"/>
        </w:rPr>
        <w:t> </w:t>
      </w:r>
      <w:r>
        <w:rPr>
          <w:w w:val="105"/>
          <w:sz w:val="11"/>
        </w:rPr>
        <w:t>All</w:t>
      </w:r>
      <w:r>
        <w:rPr>
          <w:spacing w:val="-6"/>
          <w:w w:val="105"/>
          <w:sz w:val="11"/>
        </w:rPr>
        <w:t> </w:t>
      </w:r>
      <w:r>
        <w:rPr>
          <w:w w:val="105"/>
          <w:sz w:val="11"/>
        </w:rPr>
        <w:t>claimant-side</w:t>
      </w:r>
      <w:r>
        <w:rPr>
          <w:spacing w:val="6"/>
          <w:w w:val="105"/>
          <w:sz w:val="11"/>
        </w:rPr>
        <w:t> </w:t>
      </w:r>
      <w:r>
        <w:rPr>
          <w:w w:val="105"/>
          <w:sz w:val="11"/>
        </w:rPr>
        <w:t>partic</w:t>
      </w:r>
      <w:r>
        <w:rPr>
          <w:spacing w:val="-30"/>
          <w:w w:val="105"/>
          <w:sz w:val="11"/>
        </w:rPr>
        <w:t> </w:t>
      </w:r>
      <w:r>
        <w:rPr>
          <w:w w:val="105"/>
          <w:sz w:val="11"/>
        </w:rPr>
        <w:t>ipants</w:t>
      </w:r>
      <w:r>
        <w:rPr>
          <w:spacing w:val="-7"/>
          <w:w w:val="105"/>
          <w:sz w:val="11"/>
        </w:rPr>
        <w:t> </w:t>
      </w:r>
      <w:r>
        <w:rPr>
          <w:w w:val="105"/>
          <w:sz w:val="11"/>
        </w:rPr>
        <w:t>and</w:t>
      </w:r>
      <w:r>
        <w:rPr>
          <w:spacing w:val="-3"/>
          <w:w w:val="105"/>
          <w:sz w:val="11"/>
        </w:rPr>
        <w:t> </w:t>
      </w:r>
      <w:r>
        <w:rPr>
          <w:w w:val="105"/>
          <w:sz w:val="11"/>
        </w:rPr>
        <w:t>employer-side</w:t>
      </w:r>
      <w:r>
        <w:rPr>
          <w:spacing w:val="12"/>
          <w:w w:val="105"/>
          <w:sz w:val="11"/>
        </w:rPr>
        <w:t> </w:t>
      </w:r>
      <w:r>
        <w:rPr>
          <w:w w:val="105"/>
          <w:sz w:val="11"/>
        </w:rPr>
        <w:t>participants who took part in post-ET1</w:t>
      </w:r>
      <w:r>
        <w:rPr>
          <w:spacing w:val="-4"/>
          <w:w w:val="105"/>
          <w:sz w:val="11"/>
        </w:rPr>
        <w:t> </w:t>
      </w:r>
      <w:r>
        <w:rPr>
          <w:w w:val="105"/>
          <w:sz w:val="11"/>
        </w:rPr>
        <w:t>conciliation (257, 264)</w:t>
      </w:r>
    </w:p>
    <w:p>
      <w:pPr>
        <w:spacing w:before="106"/>
        <w:ind w:left="1257" w:right="0" w:firstLine="0"/>
        <w:jc w:val="left"/>
        <w:rPr>
          <w:sz w:val="11"/>
        </w:rPr>
      </w:pPr>
      <w:r>
        <w:rPr/>
        <w:br w:type="column"/>
      </w:r>
      <w:r>
        <w:rPr>
          <w:w w:val="105"/>
          <w:sz w:val="11"/>
        </w:rPr>
        <w:t>No</w:t>
      </w:r>
      <w:r>
        <w:rPr>
          <w:spacing w:val="4"/>
          <w:w w:val="105"/>
          <w:sz w:val="11"/>
        </w:rPr>
        <w:t> </w:t>
      </w:r>
      <w:r>
        <w:rPr>
          <w:w w:val="105"/>
          <w:sz w:val="11"/>
        </w:rPr>
        <w:t>significant</w:t>
      </w:r>
      <w:r>
        <w:rPr>
          <w:spacing w:val="9"/>
          <w:w w:val="105"/>
          <w:sz w:val="11"/>
        </w:rPr>
        <w:t> </w:t>
      </w:r>
      <w:r>
        <w:rPr>
          <w:w w:val="105"/>
          <w:sz w:val="11"/>
        </w:rPr>
        <w:t>change</w:t>
      </w:r>
      <w:r>
        <w:rPr>
          <w:spacing w:val="-1"/>
          <w:w w:val="105"/>
          <w:sz w:val="11"/>
        </w:rPr>
        <w:t> </w:t>
      </w:r>
      <w:r>
        <w:rPr>
          <w:w w:val="105"/>
          <w:sz w:val="11"/>
        </w:rPr>
        <w:t>since</w:t>
      </w:r>
      <w:r>
        <w:rPr>
          <w:spacing w:val="-2"/>
          <w:w w:val="105"/>
          <w:sz w:val="11"/>
        </w:rPr>
        <w:t> </w:t>
      </w:r>
      <w:r>
        <w:rPr>
          <w:spacing w:val="-4"/>
          <w:w w:val="105"/>
          <w:sz w:val="11"/>
        </w:rPr>
        <w:t>2016</w:t>
      </w:r>
    </w:p>
    <w:p>
      <w:pPr>
        <w:spacing w:after="0"/>
        <w:jc w:val="left"/>
        <w:rPr>
          <w:sz w:val="11"/>
        </w:rPr>
        <w:sectPr>
          <w:type w:val="continuous"/>
          <w:pgSz w:w="11910" w:h="16840"/>
          <w:pgMar w:header="0" w:footer="996" w:top="560" w:bottom="280" w:left="460" w:right="320"/>
          <w:cols w:num="2" w:equalWidth="0">
            <w:col w:w="6079" w:space="40"/>
            <w:col w:w="5011"/>
          </w:cols>
        </w:sectPr>
      </w:pPr>
    </w:p>
    <w:p>
      <w:pPr>
        <w:pStyle w:val="BodyText"/>
        <w:rPr>
          <w:sz w:val="18"/>
        </w:rPr>
      </w:pPr>
    </w:p>
    <w:p>
      <w:pPr>
        <w:pStyle w:val="BodyText"/>
        <w:spacing w:before="100"/>
        <w:ind w:left="1336" w:right="1474"/>
        <w:jc w:val="both"/>
      </w:pPr>
      <w:r>
        <w:rPr/>
        <w:t>As in the previous wave, satisfaction was lower among those who did not proceed to</w:t>
      </w:r>
      <w:r>
        <w:rPr>
          <w:spacing w:val="-17"/>
        </w:rPr>
        <w:t> </w:t>
      </w:r>
      <w:r>
        <w:rPr/>
        <w:t>post-ET1</w:t>
      </w:r>
      <w:r>
        <w:rPr>
          <w:spacing w:val="-18"/>
        </w:rPr>
        <w:t> </w:t>
      </w:r>
      <w:r>
        <w:rPr/>
        <w:t>conciliation.</w:t>
      </w:r>
      <w:r>
        <w:rPr>
          <w:spacing w:val="-16"/>
        </w:rPr>
        <w:t> </w:t>
      </w:r>
      <w:r>
        <w:rPr/>
        <w:t>Among</w:t>
      </w:r>
      <w:r>
        <w:rPr>
          <w:spacing w:val="-17"/>
        </w:rPr>
        <w:t> </w:t>
      </w:r>
      <w:r>
        <w:rPr/>
        <w:t>claimant-side</w:t>
      </w:r>
      <w:r>
        <w:rPr>
          <w:spacing w:val="-17"/>
        </w:rPr>
        <w:t> </w:t>
      </w:r>
      <w:r>
        <w:rPr/>
        <w:t>participants</w:t>
      </w:r>
      <w:r>
        <w:rPr>
          <w:spacing w:val="-17"/>
        </w:rPr>
        <w:t> </w:t>
      </w:r>
      <w:r>
        <w:rPr/>
        <w:t>62</w:t>
      </w:r>
      <w:r>
        <w:rPr>
          <w:spacing w:val="-16"/>
        </w:rPr>
        <w:t> </w:t>
      </w:r>
      <w:r>
        <w:rPr/>
        <w:t>per</w:t>
      </w:r>
      <w:r>
        <w:rPr>
          <w:spacing w:val="-17"/>
        </w:rPr>
        <w:t> </w:t>
      </w:r>
      <w:r>
        <w:rPr/>
        <w:t>cent</w:t>
      </w:r>
      <w:r>
        <w:rPr>
          <w:spacing w:val="-17"/>
        </w:rPr>
        <w:t> </w:t>
      </w:r>
      <w:r>
        <w:rPr/>
        <w:t>of</w:t>
      </w:r>
      <w:r>
        <w:rPr>
          <w:spacing w:val="-16"/>
        </w:rPr>
        <w:t> </w:t>
      </w:r>
      <w:r>
        <w:rPr/>
        <w:t>those</w:t>
      </w:r>
      <w:r>
        <w:rPr>
          <w:spacing w:val="-18"/>
        </w:rPr>
        <w:t> </w:t>
      </w:r>
      <w:r>
        <w:rPr/>
        <w:t>who dealt with a conciliator but ultimately did not engage in conciliation reported that they were satisfied with the service provided by Acas. For employer-side participants the comparable figure was 54 per cent.</w:t>
      </w:r>
    </w:p>
    <w:p>
      <w:pPr>
        <w:pStyle w:val="BodyText"/>
        <w:spacing w:before="1"/>
      </w:pPr>
    </w:p>
    <w:p>
      <w:pPr>
        <w:pStyle w:val="BodyText"/>
        <w:spacing w:before="1"/>
        <w:ind w:left="1336" w:right="1475"/>
        <w:jc w:val="both"/>
      </w:pPr>
      <w:r>
        <w:rPr/>
        <w:t>Where conciliation took place, satisfaction was higher among those whose cases resulted</w:t>
      </w:r>
      <w:r>
        <w:rPr>
          <w:spacing w:val="-8"/>
        </w:rPr>
        <w:t> </w:t>
      </w:r>
      <w:r>
        <w:rPr/>
        <w:t>in</w:t>
      </w:r>
      <w:r>
        <w:rPr>
          <w:spacing w:val="-7"/>
        </w:rPr>
        <w:t> </w:t>
      </w:r>
      <w:r>
        <w:rPr/>
        <w:t>a</w:t>
      </w:r>
      <w:r>
        <w:rPr>
          <w:spacing w:val="-8"/>
        </w:rPr>
        <w:t> </w:t>
      </w:r>
      <w:r>
        <w:rPr/>
        <w:t>settlement.</w:t>
      </w:r>
      <w:r>
        <w:rPr>
          <w:spacing w:val="-8"/>
        </w:rPr>
        <w:t> </w:t>
      </w:r>
      <w:r>
        <w:rPr/>
        <w:t>Eighty-eight</w:t>
      </w:r>
      <w:r>
        <w:rPr>
          <w:spacing w:val="-8"/>
        </w:rPr>
        <w:t> </w:t>
      </w:r>
      <w:r>
        <w:rPr/>
        <w:t>per</w:t>
      </w:r>
      <w:r>
        <w:rPr>
          <w:spacing w:val="-8"/>
        </w:rPr>
        <w:t> </w:t>
      </w:r>
      <w:r>
        <w:rPr/>
        <w:t>cent</w:t>
      </w:r>
      <w:r>
        <w:rPr>
          <w:spacing w:val="-9"/>
        </w:rPr>
        <w:t> </w:t>
      </w:r>
      <w:r>
        <w:rPr/>
        <w:t>of</w:t>
      </w:r>
      <w:r>
        <w:rPr>
          <w:spacing w:val="-7"/>
        </w:rPr>
        <w:t> </w:t>
      </w:r>
      <w:r>
        <w:rPr/>
        <w:t>claimant-side</w:t>
      </w:r>
      <w:r>
        <w:rPr>
          <w:spacing w:val="-8"/>
        </w:rPr>
        <w:t> </w:t>
      </w:r>
      <w:r>
        <w:rPr/>
        <w:t>participants</w:t>
      </w:r>
      <w:r>
        <w:rPr>
          <w:spacing w:val="-8"/>
        </w:rPr>
        <w:t> </w:t>
      </w:r>
      <w:r>
        <w:rPr/>
        <w:t>and</w:t>
      </w:r>
      <w:r>
        <w:rPr>
          <w:spacing w:val="-8"/>
        </w:rPr>
        <w:t> </w:t>
      </w:r>
      <w:r>
        <w:rPr/>
        <w:t>86 per cent of employer-side participants who settled their case reported that they were</w:t>
      </w:r>
      <w:r>
        <w:rPr>
          <w:spacing w:val="-6"/>
        </w:rPr>
        <w:t> </w:t>
      </w:r>
      <w:r>
        <w:rPr/>
        <w:t>satisfied,</w:t>
      </w:r>
      <w:r>
        <w:rPr>
          <w:spacing w:val="-5"/>
        </w:rPr>
        <w:t> </w:t>
      </w:r>
      <w:r>
        <w:rPr/>
        <w:t>compared</w:t>
      </w:r>
      <w:r>
        <w:rPr>
          <w:spacing w:val="-5"/>
        </w:rPr>
        <w:t> </w:t>
      </w:r>
      <w:r>
        <w:rPr/>
        <w:t>with</w:t>
      </w:r>
      <w:r>
        <w:rPr>
          <w:spacing w:val="-5"/>
        </w:rPr>
        <w:t> </w:t>
      </w:r>
      <w:r>
        <w:rPr/>
        <w:t>63</w:t>
      </w:r>
      <w:r>
        <w:rPr>
          <w:spacing w:val="-7"/>
        </w:rPr>
        <w:t> </w:t>
      </w:r>
      <w:r>
        <w:rPr/>
        <w:t>per</w:t>
      </w:r>
      <w:r>
        <w:rPr>
          <w:spacing w:val="-6"/>
        </w:rPr>
        <w:t> </w:t>
      </w:r>
      <w:r>
        <w:rPr/>
        <w:t>cent</w:t>
      </w:r>
      <w:r>
        <w:rPr>
          <w:spacing w:val="-5"/>
        </w:rPr>
        <w:t> </w:t>
      </w:r>
      <w:r>
        <w:rPr/>
        <w:t>of</w:t>
      </w:r>
      <w:r>
        <w:rPr>
          <w:spacing w:val="-6"/>
        </w:rPr>
        <w:t> </w:t>
      </w:r>
      <w:r>
        <w:rPr/>
        <w:t>claimant-side</w:t>
      </w:r>
      <w:r>
        <w:rPr>
          <w:spacing w:val="-6"/>
        </w:rPr>
        <w:t> </w:t>
      </w:r>
      <w:r>
        <w:rPr/>
        <w:t>participants</w:t>
      </w:r>
      <w:r>
        <w:rPr>
          <w:spacing w:val="-5"/>
        </w:rPr>
        <w:t> </w:t>
      </w:r>
      <w:r>
        <w:rPr/>
        <w:t>and</w:t>
      </w:r>
      <w:r>
        <w:rPr>
          <w:spacing w:val="-5"/>
        </w:rPr>
        <w:t> </w:t>
      </w:r>
      <w:r>
        <w:rPr/>
        <w:t>67</w:t>
      </w:r>
      <w:r>
        <w:rPr>
          <w:spacing w:val="-7"/>
        </w:rPr>
        <w:t> </w:t>
      </w:r>
      <w:r>
        <w:rPr/>
        <w:t>per cent of employer-side participants who did not settle.</w:t>
      </w:r>
    </w:p>
    <w:p>
      <w:pPr>
        <w:spacing w:after="0"/>
        <w:jc w:val="both"/>
        <w:sectPr>
          <w:type w:val="continuous"/>
          <w:pgSz w:w="11910" w:h="16840"/>
          <w:pgMar w:header="0" w:footer="996" w:top="560" w:bottom="280" w:left="460" w:right="320"/>
        </w:sectPr>
      </w:pPr>
    </w:p>
    <w:p>
      <w:pPr>
        <w:pStyle w:val="BodyText"/>
        <w:spacing w:before="82"/>
        <w:ind w:left="1337" w:right="1472"/>
        <w:jc w:val="both"/>
      </w:pPr>
      <w:r>
        <w:rPr/>
        <w:t>Focusing still on participants who took part in post-ET1 conciliation, claimant and employer representatives tended to report higher satisfaction than those they represented. Nine in ten (91 per cent) claimant representatives and employer representatives (89 per cent) said they were satisfied with the service they had received from Acas, compared with 70 per cent of claimants and 66 per cent of </w:t>
      </w:r>
      <w:r>
        <w:rPr>
          <w:spacing w:val="-2"/>
        </w:rPr>
        <w:t>employers.</w:t>
      </w:r>
    </w:p>
    <w:p>
      <w:pPr>
        <w:pStyle w:val="BodyText"/>
        <w:spacing w:before="11"/>
        <w:rPr>
          <w:sz w:val="19"/>
        </w:rPr>
      </w:pPr>
    </w:p>
    <w:p>
      <w:pPr>
        <w:pStyle w:val="BodyText"/>
        <w:spacing w:before="1"/>
        <w:ind w:left="1337" w:right="1474"/>
        <w:jc w:val="both"/>
      </w:pPr>
      <w:r>
        <w:rPr/>
        <w:t>As</w:t>
      </w:r>
      <w:r>
        <w:rPr>
          <w:spacing w:val="-17"/>
        </w:rPr>
        <w:t> </w:t>
      </w:r>
      <w:r>
        <w:rPr/>
        <w:t>in</w:t>
      </w:r>
      <w:r>
        <w:rPr>
          <w:spacing w:val="-17"/>
        </w:rPr>
        <w:t> </w:t>
      </w:r>
      <w:r>
        <w:rPr/>
        <w:t>2016,</w:t>
      </w:r>
      <w:r>
        <w:rPr>
          <w:spacing w:val="-17"/>
        </w:rPr>
        <w:t> </w:t>
      </w:r>
      <w:r>
        <w:rPr/>
        <w:t>case</w:t>
      </w:r>
      <w:r>
        <w:rPr>
          <w:spacing w:val="-17"/>
        </w:rPr>
        <w:t> </w:t>
      </w:r>
      <w:r>
        <w:rPr/>
        <w:t>track</w:t>
      </w:r>
      <w:r>
        <w:rPr>
          <w:spacing w:val="-17"/>
        </w:rPr>
        <w:t> </w:t>
      </w:r>
      <w:r>
        <w:rPr/>
        <w:t>had</w:t>
      </w:r>
      <w:r>
        <w:rPr>
          <w:spacing w:val="-17"/>
        </w:rPr>
        <w:t> </w:t>
      </w:r>
      <w:r>
        <w:rPr/>
        <w:t>a</w:t>
      </w:r>
      <w:r>
        <w:rPr>
          <w:spacing w:val="-17"/>
        </w:rPr>
        <w:t> </w:t>
      </w:r>
      <w:r>
        <w:rPr/>
        <w:t>limited</w:t>
      </w:r>
      <w:r>
        <w:rPr>
          <w:spacing w:val="-16"/>
        </w:rPr>
        <w:t> </w:t>
      </w:r>
      <w:r>
        <w:rPr/>
        <w:t>impact</w:t>
      </w:r>
      <w:r>
        <w:rPr>
          <w:spacing w:val="-17"/>
        </w:rPr>
        <w:t> </w:t>
      </w:r>
      <w:r>
        <w:rPr/>
        <w:t>on</w:t>
      </w:r>
      <w:r>
        <w:rPr>
          <w:spacing w:val="-17"/>
        </w:rPr>
        <w:t> </w:t>
      </w:r>
      <w:r>
        <w:rPr/>
        <w:t>satisfaction</w:t>
      </w:r>
      <w:r>
        <w:rPr>
          <w:spacing w:val="-17"/>
        </w:rPr>
        <w:t> </w:t>
      </w:r>
      <w:r>
        <w:rPr/>
        <w:t>with</w:t>
      </w:r>
      <w:r>
        <w:rPr>
          <w:spacing w:val="-17"/>
        </w:rPr>
        <w:t> </w:t>
      </w:r>
      <w:r>
        <w:rPr/>
        <w:t>the</w:t>
      </w:r>
      <w:r>
        <w:rPr>
          <w:spacing w:val="-17"/>
        </w:rPr>
        <w:t> </w:t>
      </w:r>
      <w:r>
        <w:rPr/>
        <w:t>service</w:t>
      </w:r>
      <w:r>
        <w:rPr>
          <w:spacing w:val="-17"/>
        </w:rPr>
        <w:t> </w:t>
      </w:r>
      <w:r>
        <w:rPr/>
        <w:t>provided by Acas. Employer-side participants involved in open or standard track disputes tended</w:t>
      </w:r>
      <w:r>
        <w:rPr>
          <w:spacing w:val="-7"/>
        </w:rPr>
        <w:t> </w:t>
      </w:r>
      <w:r>
        <w:rPr/>
        <w:t>to</w:t>
      </w:r>
      <w:r>
        <w:rPr>
          <w:spacing w:val="-7"/>
        </w:rPr>
        <w:t> </w:t>
      </w:r>
      <w:r>
        <w:rPr/>
        <w:t>report</w:t>
      </w:r>
      <w:r>
        <w:rPr>
          <w:spacing w:val="-5"/>
        </w:rPr>
        <w:t> </w:t>
      </w:r>
      <w:r>
        <w:rPr/>
        <w:t>higher</w:t>
      </w:r>
      <w:r>
        <w:rPr>
          <w:spacing w:val="-6"/>
        </w:rPr>
        <w:t> </w:t>
      </w:r>
      <w:r>
        <w:rPr/>
        <w:t>satisfaction</w:t>
      </w:r>
      <w:r>
        <w:rPr>
          <w:spacing w:val="-6"/>
        </w:rPr>
        <w:t> </w:t>
      </w:r>
      <w:r>
        <w:rPr/>
        <w:t>than</w:t>
      </w:r>
      <w:r>
        <w:rPr>
          <w:spacing w:val="-6"/>
        </w:rPr>
        <w:t> </w:t>
      </w:r>
      <w:r>
        <w:rPr/>
        <w:t>those</w:t>
      </w:r>
      <w:r>
        <w:rPr>
          <w:spacing w:val="-6"/>
        </w:rPr>
        <w:t> </w:t>
      </w:r>
      <w:r>
        <w:rPr/>
        <w:t>involved</w:t>
      </w:r>
      <w:r>
        <w:rPr>
          <w:spacing w:val="-5"/>
        </w:rPr>
        <w:t> </w:t>
      </w:r>
      <w:r>
        <w:rPr/>
        <w:t>in</w:t>
      </w:r>
      <w:r>
        <w:rPr>
          <w:spacing w:val="-6"/>
        </w:rPr>
        <w:t> </w:t>
      </w:r>
      <w:r>
        <w:rPr/>
        <w:t>fast</w:t>
      </w:r>
      <w:r>
        <w:rPr>
          <w:spacing w:val="-6"/>
        </w:rPr>
        <w:t> </w:t>
      </w:r>
      <w:r>
        <w:rPr/>
        <w:t>track</w:t>
      </w:r>
      <w:r>
        <w:rPr>
          <w:spacing w:val="-8"/>
        </w:rPr>
        <w:t> </w:t>
      </w:r>
      <w:r>
        <w:rPr/>
        <w:t>disputes.</w:t>
      </w:r>
      <w:r>
        <w:rPr>
          <w:spacing w:val="-6"/>
        </w:rPr>
        <w:t> </w:t>
      </w:r>
      <w:r>
        <w:rPr/>
        <w:t>This trend was not reflected among claimant-side participants.</w:t>
      </w:r>
    </w:p>
    <w:p>
      <w:pPr>
        <w:pStyle w:val="BodyText"/>
      </w:pPr>
    </w:p>
    <w:p>
      <w:pPr>
        <w:pStyle w:val="BodyText"/>
        <w:ind w:left="1337" w:right="1472"/>
        <w:jc w:val="both"/>
      </w:pPr>
      <w:r>
        <w:rPr/>
        <w:t>Similarly, the number of conciliators in contact with a participant during post-ET1 conciliation did not have an impact on overall satisfaction: those in contact with one</w:t>
      </w:r>
      <w:r>
        <w:rPr>
          <w:spacing w:val="-6"/>
        </w:rPr>
        <w:t> </w:t>
      </w:r>
      <w:r>
        <w:rPr/>
        <w:t>and</w:t>
      </w:r>
      <w:r>
        <w:rPr>
          <w:spacing w:val="-6"/>
        </w:rPr>
        <w:t> </w:t>
      </w:r>
      <w:r>
        <w:rPr/>
        <w:t>multiple</w:t>
      </w:r>
      <w:r>
        <w:rPr>
          <w:spacing w:val="-6"/>
        </w:rPr>
        <w:t> </w:t>
      </w:r>
      <w:r>
        <w:rPr/>
        <w:t>conciliators</w:t>
      </w:r>
      <w:r>
        <w:rPr>
          <w:spacing w:val="-5"/>
        </w:rPr>
        <w:t> </w:t>
      </w:r>
      <w:r>
        <w:rPr/>
        <w:t>(i.e.</w:t>
      </w:r>
      <w:r>
        <w:rPr>
          <w:spacing w:val="-6"/>
        </w:rPr>
        <w:t> </w:t>
      </w:r>
      <w:r>
        <w:rPr/>
        <w:t>teams</w:t>
      </w:r>
      <w:r>
        <w:rPr>
          <w:spacing w:val="-5"/>
        </w:rPr>
        <w:t> </w:t>
      </w:r>
      <w:r>
        <w:rPr/>
        <w:t>providing</w:t>
      </w:r>
      <w:r>
        <w:rPr>
          <w:spacing w:val="-5"/>
        </w:rPr>
        <w:t> </w:t>
      </w:r>
      <w:r>
        <w:rPr/>
        <w:t>absence</w:t>
      </w:r>
      <w:r>
        <w:rPr>
          <w:spacing w:val="-6"/>
        </w:rPr>
        <w:t> </w:t>
      </w:r>
      <w:r>
        <w:rPr/>
        <w:t>cover)</w:t>
      </w:r>
      <w:r>
        <w:rPr>
          <w:spacing w:val="-5"/>
        </w:rPr>
        <w:t> </w:t>
      </w:r>
      <w:r>
        <w:rPr/>
        <w:t>reported</w:t>
      </w:r>
      <w:r>
        <w:rPr>
          <w:spacing w:val="-5"/>
        </w:rPr>
        <w:t> </w:t>
      </w:r>
      <w:r>
        <w:rPr/>
        <w:t>similar levels</w:t>
      </w:r>
      <w:r>
        <w:rPr>
          <w:spacing w:val="-1"/>
        </w:rPr>
        <w:t> </w:t>
      </w:r>
      <w:r>
        <w:rPr/>
        <w:t>of</w:t>
      </w:r>
      <w:r>
        <w:rPr>
          <w:spacing w:val="-2"/>
        </w:rPr>
        <w:t> </w:t>
      </w:r>
      <w:r>
        <w:rPr/>
        <w:t>satisfaction.</w:t>
      </w:r>
      <w:r>
        <w:rPr>
          <w:spacing w:val="-1"/>
        </w:rPr>
        <w:t> </w:t>
      </w:r>
      <w:r>
        <w:rPr/>
        <w:t>A</w:t>
      </w:r>
      <w:r>
        <w:rPr>
          <w:spacing w:val="-2"/>
        </w:rPr>
        <w:t> </w:t>
      </w:r>
      <w:r>
        <w:rPr/>
        <w:t>similar</w:t>
      </w:r>
      <w:r>
        <w:rPr>
          <w:spacing w:val="-1"/>
        </w:rPr>
        <w:t> </w:t>
      </w:r>
      <w:r>
        <w:rPr/>
        <w:t>pattern</w:t>
      </w:r>
      <w:r>
        <w:rPr>
          <w:spacing w:val="-1"/>
        </w:rPr>
        <w:t> </w:t>
      </w:r>
      <w:r>
        <w:rPr/>
        <w:t>was</w:t>
      </w:r>
      <w:r>
        <w:rPr>
          <w:spacing w:val="-2"/>
        </w:rPr>
        <w:t> </w:t>
      </w:r>
      <w:r>
        <w:rPr/>
        <w:t>observed</w:t>
      </w:r>
      <w:r>
        <w:rPr>
          <w:spacing w:val="-1"/>
        </w:rPr>
        <w:t> </w:t>
      </w:r>
      <w:r>
        <w:rPr/>
        <w:t>at</w:t>
      </w:r>
      <w:r>
        <w:rPr>
          <w:spacing w:val="-2"/>
        </w:rPr>
        <w:t> </w:t>
      </w:r>
      <w:r>
        <w:rPr/>
        <w:t>EC</w:t>
      </w:r>
      <w:r>
        <w:rPr>
          <w:spacing w:val="-2"/>
        </w:rPr>
        <w:t> </w:t>
      </w:r>
      <w:r>
        <w:rPr/>
        <w:t>stage</w:t>
      </w:r>
      <w:r>
        <w:rPr>
          <w:spacing w:val="-3"/>
        </w:rPr>
        <w:t> </w:t>
      </w:r>
      <w:r>
        <w:rPr/>
        <w:t>for</w:t>
      </w:r>
      <w:r>
        <w:rPr>
          <w:spacing w:val="-1"/>
        </w:rPr>
        <w:t> </w:t>
      </w:r>
      <w:r>
        <w:rPr/>
        <w:t>claimant-side participants,</w:t>
      </w:r>
      <w:r>
        <w:rPr>
          <w:spacing w:val="-18"/>
        </w:rPr>
        <w:t> </w:t>
      </w:r>
      <w:r>
        <w:rPr/>
        <w:t>although</w:t>
      </w:r>
      <w:r>
        <w:rPr>
          <w:spacing w:val="-18"/>
        </w:rPr>
        <w:t> </w:t>
      </w:r>
      <w:r>
        <w:rPr/>
        <w:t>employer-side</w:t>
      </w:r>
      <w:r>
        <w:rPr>
          <w:spacing w:val="-17"/>
        </w:rPr>
        <w:t> </w:t>
      </w:r>
      <w:r>
        <w:rPr/>
        <w:t>participants</w:t>
      </w:r>
      <w:r>
        <w:rPr>
          <w:spacing w:val="-17"/>
        </w:rPr>
        <w:t> </w:t>
      </w:r>
      <w:r>
        <w:rPr/>
        <w:t>in</w:t>
      </w:r>
      <w:r>
        <w:rPr>
          <w:spacing w:val="-18"/>
        </w:rPr>
        <w:t> </w:t>
      </w:r>
      <w:r>
        <w:rPr/>
        <w:t>EC</w:t>
      </w:r>
      <w:r>
        <w:rPr>
          <w:spacing w:val="-17"/>
        </w:rPr>
        <w:t> </w:t>
      </w:r>
      <w:r>
        <w:rPr/>
        <w:t>were</w:t>
      </w:r>
      <w:r>
        <w:rPr>
          <w:spacing w:val="-18"/>
        </w:rPr>
        <w:t> </w:t>
      </w:r>
      <w:r>
        <w:rPr/>
        <w:t>more</w:t>
      </w:r>
      <w:r>
        <w:rPr>
          <w:spacing w:val="-17"/>
        </w:rPr>
        <w:t> </w:t>
      </w:r>
      <w:r>
        <w:rPr/>
        <w:t>likely</w:t>
      </w:r>
      <w:r>
        <w:rPr>
          <w:spacing w:val="-17"/>
        </w:rPr>
        <w:t> </w:t>
      </w:r>
      <w:r>
        <w:rPr/>
        <w:t>to</w:t>
      </w:r>
      <w:r>
        <w:rPr>
          <w:spacing w:val="-18"/>
        </w:rPr>
        <w:t> </w:t>
      </w:r>
      <w:r>
        <w:rPr/>
        <w:t>say</w:t>
      </w:r>
      <w:r>
        <w:rPr>
          <w:spacing w:val="-17"/>
        </w:rPr>
        <w:t> </w:t>
      </w:r>
      <w:r>
        <w:rPr/>
        <w:t>they were satisfied with the service provided if they had only had contact with one </w:t>
      </w:r>
      <w:r>
        <w:rPr>
          <w:spacing w:val="-2"/>
        </w:rPr>
        <w:t>conciliator.</w:t>
      </w:r>
    </w:p>
    <w:p>
      <w:pPr>
        <w:pStyle w:val="BodyText"/>
        <w:spacing w:before="1"/>
        <w:rPr>
          <w:sz w:val="22"/>
        </w:rPr>
      </w:pPr>
    </w:p>
    <w:p>
      <w:pPr>
        <w:pStyle w:val="BodyText"/>
        <w:spacing w:line="259" w:lineRule="auto"/>
        <w:ind w:left="1337" w:right="1472"/>
      </w:pPr>
      <w:r>
        <w:rPr/>
        <w:t>Among</w:t>
      </w:r>
      <w:r>
        <w:rPr>
          <w:spacing w:val="-3"/>
        </w:rPr>
        <w:t> </w:t>
      </w:r>
      <w:r>
        <w:rPr/>
        <w:t>the</w:t>
      </w:r>
      <w:r>
        <w:rPr>
          <w:spacing w:val="-5"/>
        </w:rPr>
        <w:t> </w:t>
      </w:r>
      <w:r>
        <w:rPr/>
        <w:t>minority</w:t>
      </w:r>
      <w:r>
        <w:rPr>
          <w:spacing w:val="-3"/>
        </w:rPr>
        <w:t> </w:t>
      </w:r>
      <w:r>
        <w:rPr/>
        <w:t>who</w:t>
      </w:r>
      <w:r>
        <w:rPr>
          <w:spacing w:val="-3"/>
        </w:rPr>
        <w:t> </w:t>
      </w:r>
      <w:r>
        <w:rPr/>
        <w:t>said</w:t>
      </w:r>
      <w:r>
        <w:rPr>
          <w:spacing w:val="-3"/>
        </w:rPr>
        <w:t> </w:t>
      </w:r>
      <w:r>
        <w:rPr/>
        <w:t>they</w:t>
      </w:r>
      <w:r>
        <w:rPr>
          <w:spacing w:val="-5"/>
        </w:rPr>
        <w:t> </w:t>
      </w:r>
      <w:r>
        <w:rPr/>
        <w:t>were</w:t>
      </w:r>
      <w:r>
        <w:rPr>
          <w:spacing w:val="-4"/>
        </w:rPr>
        <w:t> </w:t>
      </w:r>
      <w:r>
        <w:rPr/>
        <w:t>dissatisfied</w:t>
      </w:r>
      <w:r>
        <w:rPr>
          <w:spacing w:val="-3"/>
        </w:rPr>
        <w:t> </w:t>
      </w:r>
      <w:r>
        <w:rPr/>
        <w:t>with</w:t>
      </w:r>
      <w:r>
        <w:rPr>
          <w:spacing w:val="-4"/>
        </w:rPr>
        <w:t> </w:t>
      </w:r>
      <w:r>
        <w:rPr/>
        <w:t>the</w:t>
      </w:r>
      <w:r>
        <w:rPr>
          <w:spacing w:val="-4"/>
        </w:rPr>
        <w:t> </w:t>
      </w:r>
      <w:r>
        <w:rPr/>
        <w:t>service</w:t>
      </w:r>
      <w:r>
        <w:rPr>
          <w:spacing w:val="-4"/>
        </w:rPr>
        <w:t> </w:t>
      </w:r>
      <w:r>
        <w:rPr/>
        <w:t>provided</w:t>
      </w:r>
      <w:r>
        <w:rPr>
          <w:spacing w:val="-3"/>
        </w:rPr>
        <w:t> </w:t>
      </w:r>
      <w:r>
        <w:rPr/>
        <w:t>by Acas, the most common reason given for dissatisfaction was that the service or communication was seen to have been poor (59 per cent and 52 per cent of claimant and employer side participants respectively said the service had been poor; 50 per cent and 49 per cent said the communication had been poor).</w:t>
      </w:r>
    </w:p>
    <w:p>
      <w:pPr>
        <w:pStyle w:val="BodyText"/>
        <w:spacing w:line="259" w:lineRule="auto"/>
        <w:ind w:left="1337" w:right="1472"/>
      </w:pPr>
      <w:r>
        <w:rPr/>
        <w:t>Dissatisfied claimant-side participants were more likely to report that there had been</w:t>
      </w:r>
      <w:r>
        <w:rPr>
          <w:spacing w:val="-2"/>
        </w:rPr>
        <w:t> </w:t>
      </w:r>
      <w:r>
        <w:rPr/>
        <w:t>minimal</w:t>
      </w:r>
      <w:r>
        <w:rPr>
          <w:spacing w:val="-3"/>
        </w:rPr>
        <w:t> </w:t>
      </w:r>
      <w:r>
        <w:rPr/>
        <w:t>input</w:t>
      </w:r>
      <w:r>
        <w:rPr>
          <w:spacing w:val="-2"/>
        </w:rPr>
        <w:t> </w:t>
      </w:r>
      <w:r>
        <w:rPr/>
        <w:t>from</w:t>
      </w:r>
      <w:r>
        <w:rPr>
          <w:spacing w:val="-3"/>
        </w:rPr>
        <w:t> </w:t>
      </w:r>
      <w:r>
        <w:rPr/>
        <w:t>Acas</w:t>
      </w:r>
      <w:r>
        <w:rPr>
          <w:spacing w:val="-2"/>
        </w:rPr>
        <w:t> </w:t>
      </w:r>
      <w:r>
        <w:rPr/>
        <w:t>(47</w:t>
      </w:r>
      <w:r>
        <w:rPr>
          <w:spacing w:val="-5"/>
        </w:rPr>
        <w:t> </w:t>
      </w:r>
      <w:r>
        <w:rPr/>
        <w:t>per</w:t>
      </w:r>
      <w:r>
        <w:rPr>
          <w:spacing w:val="-2"/>
        </w:rPr>
        <w:t> </w:t>
      </w:r>
      <w:r>
        <w:rPr/>
        <w:t>cent)</w:t>
      </w:r>
      <w:r>
        <w:rPr>
          <w:spacing w:val="-3"/>
        </w:rPr>
        <w:t> </w:t>
      </w:r>
      <w:r>
        <w:rPr/>
        <w:t>and</w:t>
      </w:r>
      <w:r>
        <w:rPr>
          <w:spacing w:val="-2"/>
        </w:rPr>
        <w:t> </w:t>
      </w:r>
      <w:r>
        <w:rPr/>
        <w:t>that</w:t>
      </w:r>
      <w:r>
        <w:rPr>
          <w:spacing w:val="-3"/>
        </w:rPr>
        <w:t> </w:t>
      </w:r>
      <w:r>
        <w:rPr/>
        <w:t>they</w:t>
      </w:r>
      <w:r>
        <w:rPr>
          <w:spacing w:val="-2"/>
        </w:rPr>
        <w:t> </w:t>
      </w:r>
      <w:r>
        <w:rPr/>
        <w:t>were</w:t>
      </w:r>
      <w:r>
        <w:rPr>
          <w:spacing w:val="-4"/>
        </w:rPr>
        <w:t> </w:t>
      </w:r>
      <w:r>
        <w:rPr/>
        <w:t>unhappy</w:t>
      </w:r>
      <w:r>
        <w:rPr>
          <w:spacing w:val="-3"/>
        </w:rPr>
        <w:t> </w:t>
      </w:r>
      <w:r>
        <w:rPr/>
        <w:t>with</w:t>
      </w:r>
      <w:r>
        <w:rPr>
          <w:spacing w:val="-2"/>
        </w:rPr>
        <w:t> </w:t>
      </w:r>
      <w:r>
        <w:rPr/>
        <w:t>the outcome (30 per cent), while dissatisfied employer-side participants were more likely to perceive that Acas had not been neutral (30 per cent).</w:t>
      </w:r>
    </w:p>
    <w:p>
      <w:pPr>
        <w:spacing w:after="0" w:line="259" w:lineRule="auto"/>
        <w:sectPr>
          <w:pgSz w:w="11910" w:h="16840"/>
          <w:pgMar w:header="0" w:footer="996" w:top="1340" w:bottom="1180" w:left="460" w:right="320"/>
        </w:sectPr>
      </w:pPr>
    </w:p>
    <w:p>
      <w:pPr>
        <w:pStyle w:val="Heading2"/>
        <w:numPr>
          <w:ilvl w:val="0"/>
          <w:numId w:val="2"/>
        </w:numPr>
        <w:tabs>
          <w:tab w:pos="2058" w:val="left" w:leader="none"/>
        </w:tabs>
        <w:spacing w:line="240" w:lineRule="auto" w:before="82" w:after="0"/>
        <w:ind w:left="2057" w:right="0" w:hanging="721"/>
        <w:jc w:val="left"/>
      </w:pPr>
      <w:bookmarkStart w:name="16. DETAILS OF ET CASE OUTCOMES" w:id="185"/>
      <w:bookmarkEnd w:id="185"/>
      <w:r>
        <w:rPr>
          <w:b w:val="0"/>
        </w:rPr>
      </w:r>
      <w:bookmarkStart w:name="17." w:id="186"/>
      <w:bookmarkEnd w:id="186"/>
      <w:r>
        <w:rPr>
          <w:b w:val="0"/>
        </w:rPr>
      </w:r>
      <w:bookmarkStart w:name="16." w:id="187"/>
      <w:bookmarkEnd w:id="187"/>
      <w:r>
        <w:rPr>
          <w:b w:val="0"/>
        </w:rPr>
      </w:r>
      <w:bookmarkStart w:name="16.1  Case outcomes" w:id="188"/>
      <w:bookmarkEnd w:id="188"/>
      <w:r>
        <w:rPr>
          <w:b w:val="0"/>
        </w:rPr>
      </w:r>
      <w:bookmarkStart w:name="_bookmark47" w:id="189"/>
      <w:bookmarkEnd w:id="189"/>
      <w:r>
        <w:rPr>
          <w:b w:val="0"/>
        </w:rPr>
      </w:r>
      <w:bookmarkStart w:name="_bookmark48" w:id="190"/>
      <w:bookmarkEnd w:id="190"/>
      <w:r>
        <w:rPr/>
        <w:t>DE</w:t>
      </w:r>
      <w:r>
        <w:rPr/>
        <w:t>TAILS</w:t>
      </w:r>
      <w:r>
        <w:rPr>
          <w:spacing w:val="-9"/>
        </w:rPr>
        <w:t> </w:t>
      </w:r>
      <w:r>
        <w:rPr/>
        <w:t>OF</w:t>
      </w:r>
      <w:r>
        <w:rPr>
          <w:spacing w:val="-8"/>
        </w:rPr>
        <w:t> </w:t>
      </w:r>
      <w:r>
        <w:rPr/>
        <w:t>ET</w:t>
      </w:r>
      <w:r>
        <w:rPr>
          <w:spacing w:val="-9"/>
        </w:rPr>
        <w:t> </w:t>
      </w:r>
      <w:r>
        <w:rPr/>
        <w:t>CASE</w:t>
      </w:r>
      <w:r>
        <w:rPr>
          <w:spacing w:val="-9"/>
        </w:rPr>
        <w:t> </w:t>
      </w:r>
      <w:r>
        <w:rPr>
          <w:spacing w:val="-2"/>
        </w:rPr>
        <w:t>OUTCOMES</w:t>
      </w:r>
    </w:p>
    <w:p>
      <w:pPr>
        <w:pStyle w:val="BodyText"/>
        <w:rPr>
          <w:b/>
          <w:sz w:val="34"/>
        </w:rPr>
      </w:pPr>
    </w:p>
    <w:p>
      <w:pPr>
        <w:pStyle w:val="BodyText"/>
        <w:spacing w:before="210"/>
        <w:ind w:left="1337" w:right="1474"/>
        <w:jc w:val="both"/>
      </w:pPr>
      <w:r>
        <w:rPr>
          <w:b/>
        </w:rPr>
        <w:t>Synopsis: </w:t>
      </w:r>
      <w:r>
        <w:rPr/>
        <w:t>This chapter examines case outcomes and drivers of successful outcomes. It explores different case outcomes, including settlements, reasons for withdrawal,</w:t>
      </w:r>
      <w:r>
        <w:rPr>
          <w:spacing w:val="-18"/>
        </w:rPr>
        <w:t> </w:t>
      </w:r>
      <w:r>
        <w:rPr/>
        <w:t>and</w:t>
      </w:r>
      <w:r>
        <w:rPr>
          <w:spacing w:val="-18"/>
        </w:rPr>
        <w:t> </w:t>
      </w:r>
      <w:r>
        <w:rPr/>
        <w:t>what</w:t>
      </w:r>
      <w:r>
        <w:rPr>
          <w:spacing w:val="-17"/>
        </w:rPr>
        <w:t> </w:t>
      </w:r>
      <w:r>
        <w:rPr/>
        <w:t>the</w:t>
      </w:r>
      <w:r>
        <w:rPr>
          <w:spacing w:val="-18"/>
        </w:rPr>
        <w:t> </w:t>
      </w:r>
      <w:r>
        <w:rPr/>
        <w:t>tribunal</w:t>
      </w:r>
      <w:r>
        <w:rPr>
          <w:spacing w:val="-17"/>
        </w:rPr>
        <w:t> </w:t>
      </w:r>
      <w:r>
        <w:rPr/>
        <w:t>hearing</w:t>
      </w:r>
      <w:r>
        <w:rPr>
          <w:spacing w:val="-18"/>
        </w:rPr>
        <w:t> </w:t>
      </w:r>
      <w:r>
        <w:rPr/>
        <w:t>ordered</w:t>
      </w:r>
      <w:r>
        <w:rPr>
          <w:spacing w:val="-18"/>
        </w:rPr>
        <w:t> </w:t>
      </w:r>
      <w:r>
        <w:rPr/>
        <w:t>for</w:t>
      </w:r>
      <w:r>
        <w:rPr>
          <w:spacing w:val="-17"/>
        </w:rPr>
        <w:t> </w:t>
      </w:r>
      <w:r>
        <w:rPr/>
        <w:t>those</w:t>
      </w:r>
      <w:r>
        <w:rPr>
          <w:spacing w:val="-18"/>
        </w:rPr>
        <w:t> </w:t>
      </w:r>
      <w:r>
        <w:rPr/>
        <w:t>whose</w:t>
      </w:r>
      <w:r>
        <w:rPr>
          <w:spacing w:val="-17"/>
        </w:rPr>
        <w:t> </w:t>
      </w:r>
      <w:r>
        <w:rPr/>
        <w:t>cases</w:t>
      </w:r>
      <w:r>
        <w:rPr>
          <w:spacing w:val="-18"/>
        </w:rPr>
        <w:t> </w:t>
      </w:r>
      <w:r>
        <w:rPr/>
        <w:t>proceeded to this point. Finally, it examines satisfaction levels with case outcomes.</w:t>
      </w:r>
    </w:p>
    <w:p>
      <w:pPr>
        <w:pStyle w:val="BodyText"/>
      </w:pPr>
    </w:p>
    <w:p>
      <w:pPr>
        <w:pStyle w:val="BodyText"/>
        <w:spacing w:before="5"/>
        <w:rPr>
          <w:sz w:val="22"/>
        </w:rPr>
      </w:pPr>
    </w:p>
    <w:p>
      <w:pPr>
        <w:pStyle w:val="Heading3"/>
        <w:ind w:left="1445"/>
        <w:jc w:val="left"/>
      </w:pPr>
      <w:r>
        <w:rPr/>
        <w:pict>
          <v:group style="position:absolute;margin-left:84.660004pt;margin-top:-13.646279pt;width:463.7pt;height:537.8pt;mso-position-horizontal-relative:page;mso-position-vertical-relative:paragraph;z-index:-18060288" id="docshapegroup391" coordorigin="1693,-273" coordsize="9274,10756">
            <v:rect style="position:absolute;left:1722;top:-243;width:9215;height:10696" id="docshape392" filled="true" fillcolor="#f1f1f1" stroked="false">
              <v:fill type="solid"/>
            </v:rect>
            <v:shape style="position:absolute;left:1693;top:-273;width:9245;height:30" id="docshape393" coordorigin="1693,-273" coordsize="9245,30" path="m10938,-254l1722,-254,1722,-254,1712,-254,1712,-244,1712,-243,1722,-243,1722,-244,10938,-244,10938,-254xm10938,-273l1722,-273,1703,-273,1693,-273,1693,-263,1693,-243,1703,-243,1703,-263,1722,-263,10938,-263,10938,-273xe" filled="true" fillcolor="#000000" stroked="false">
              <v:path arrowok="t"/>
              <v:fill type="solid"/>
            </v:shape>
            <v:rect style="position:absolute;left:1722;top:-245;width:9216;height:2" id="docshape394" filled="true" fillcolor="#f1f1f1" stroked="false">
              <v:fill type="solid"/>
            </v:rect>
            <v:shape style="position:absolute;left:10938;top:-273;width:29;height:30" id="docshape395" coordorigin="10938,-273" coordsize="29,30" path="m10948,-254l10938,-254,10938,-244,10938,-243,10948,-243,10948,-244,10948,-254xm10967,-273l10967,-273,10957,-273,10938,-273,10938,-263,10957,-263,10957,-243,10967,-243,10967,-273xe" filled="true" fillcolor="#000000" stroked="false">
              <v:path arrowok="t"/>
              <v:fill type="solid"/>
            </v:shape>
            <v:rect style="position:absolute;left:1707;top:10452;width:9245;height:2" id="docshape396" filled="true" fillcolor="#f1f1f1" stroked="false">
              <v:fill type="solid"/>
            </v:rect>
            <v:shape style="position:absolute;left:1693;top:-243;width:9274;height:10726" id="docshape397" coordorigin="1693,-243" coordsize="9274,10726" path="m10948,-243l10938,-243,10938,10454,1722,10454,1722,-243,1712,-243,1712,10454,1712,10454,1712,10463,1722,10463,1722,10463,10938,10463,10948,10463,10948,10454,10948,10454,10948,-243xm10967,-243l10957,-243,10957,10454,10957,10473,10938,10473,1722,10473,1703,10473,1703,10454,1703,-243,1693,-243,1693,10454,1693,10473,1693,10483,1703,10483,1722,10483,10938,10483,10957,10483,10967,10483,10967,10483,10967,10454,10967,-243xe" filled="true" fillcolor="#000000" stroked="false">
              <v:path arrowok="t"/>
              <v:fill type="solid"/>
            </v:shape>
            <w10:wrap type="none"/>
          </v:group>
        </w:pict>
      </w:r>
      <w:r>
        <w:rPr/>
        <w:t>Key</w:t>
      </w:r>
      <w:r>
        <w:rPr>
          <w:spacing w:val="-2"/>
        </w:rPr>
        <w:t> </w:t>
      </w:r>
      <w:r>
        <w:rPr/>
        <w:t>trends</w:t>
      </w:r>
      <w:r>
        <w:rPr>
          <w:spacing w:val="-3"/>
        </w:rPr>
        <w:t> </w:t>
      </w:r>
      <w:r>
        <w:rPr/>
        <w:t>at</w:t>
      </w:r>
      <w:r>
        <w:rPr>
          <w:spacing w:val="-2"/>
        </w:rPr>
        <w:t> </w:t>
      </w:r>
      <w:r>
        <w:rPr/>
        <w:t>a</w:t>
      </w:r>
      <w:r>
        <w:rPr>
          <w:spacing w:val="-2"/>
        </w:rPr>
        <w:t> glance</w:t>
      </w:r>
    </w:p>
    <w:p>
      <w:pPr>
        <w:pStyle w:val="BodyText"/>
        <w:spacing w:before="1"/>
        <w:rPr>
          <w:b/>
        </w:rPr>
      </w:pPr>
    </w:p>
    <w:p>
      <w:pPr>
        <w:pStyle w:val="ListParagraph"/>
        <w:numPr>
          <w:ilvl w:val="0"/>
          <w:numId w:val="41"/>
        </w:numPr>
        <w:tabs>
          <w:tab w:pos="2076" w:val="left" w:leader="none"/>
        </w:tabs>
        <w:spacing w:line="240" w:lineRule="auto" w:before="0" w:after="0"/>
        <w:ind w:left="2075" w:right="738" w:hanging="360"/>
        <w:jc w:val="both"/>
        <w:rPr>
          <w:sz w:val="20"/>
        </w:rPr>
      </w:pPr>
      <w:r>
        <w:rPr>
          <w:sz w:val="20"/>
        </w:rPr>
        <w:t>Around</w:t>
      </w:r>
      <w:r>
        <w:rPr>
          <w:spacing w:val="-13"/>
          <w:sz w:val="20"/>
        </w:rPr>
        <w:t> </w:t>
      </w:r>
      <w:r>
        <w:rPr>
          <w:sz w:val="20"/>
        </w:rPr>
        <w:t>half</w:t>
      </w:r>
      <w:r>
        <w:rPr>
          <w:spacing w:val="-12"/>
          <w:sz w:val="20"/>
        </w:rPr>
        <w:t> </w:t>
      </w:r>
      <w:r>
        <w:rPr>
          <w:sz w:val="20"/>
        </w:rPr>
        <w:t>of</w:t>
      </w:r>
      <w:r>
        <w:rPr>
          <w:spacing w:val="-11"/>
          <w:sz w:val="20"/>
        </w:rPr>
        <w:t> </w:t>
      </w:r>
      <w:r>
        <w:rPr>
          <w:sz w:val="20"/>
        </w:rPr>
        <w:t>those</w:t>
      </w:r>
      <w:r>
        <w:rPr>
          <w:spacing w:val="-12"/>
          <w:sz w:val="20"/>
        </w:rPr>
        <w:t> </w:t>
      </w:r>
      <w:r>
        <w:rPr>
          <w:sz w:val="20"/>
        </w:rPr>
        <w:t>surveyed,</w:t>
      </w:r>
      <w:r>
        <w:rPr>
          <w:spacing w:val="-11"/>
          <w:sz w:val="20"/>
        </w:rPr>
        <w:t> </w:t>
      </w:r>
      <w:r>
        <w:rPr>
          <w:sz w:val="20"/>
        </w:rPr>
        <w:t>regardless</w:t>
      </w:r>
      <w:r>
        <w:rPr>
          <w:spacing w:val="-11"/>
          <w:sz w:val="20"/>
        </w:rPr>
        <w:t> </w:t>
      </w:r>
      <w:r>
        <w:rPr>
          <w:sz w:val="20"/>
        </w:rPr>
        <w:t>of</w:t>
      </w:r>
      <w:r>
        <w:rPr>
          <w:spacing w:val="-11"/>
          <w:sz w:val="20"/>
        </w:rPr>
        <w:t> </w:t>
      </w:r>
      <w:r>
        <w:rPr>
          <w:sz w:val="20"/>
        </w:rPr>
        <w:t>whether</w:t>
      </w:r>
      <w:r>
        <w:rPr>
          <w:spacing w:val="-12"/>
          <w:sz w:val="20"/>
        </w:rPr>
        <w:t> </w:t>
      </w:r>
      <w:r>
        <w:rPr>
          <w:sz w:val="20"/>
        </w:rPr>
        <w:t>conciliation</w:t>
      </w:r>
      <w:r>
        <w:rPr>
          <w:spacing w:val="-11"/>
          <w:sz w:val="20"/>
        </w:rPr>
        <w:t> </w:t>
      </w:r>
      <w:r>
        <w:rPr>
          <w:sz w:val="20"/>
        </w:rPr>
        <w:t>took</w:t>
      </w:r>
      <w:r>
        <w:rPr>
          <w:spacing w:val="-11"/>
          <w:sz w:val="20"/>
        </w:rPr>
        <w:t> </w:t>
      </w:r>
      <w:r>
        <w:rPr>
          <w:sz w:val="20"/>
        </w:rPr>
        <w:t>place</w:t>
      </w:r>
      <w:r>
        <w:rPr>
          <w:spacing w:val="-12"/>
          <w:sz w:val="20"/>
        </w:rPr>
        <w:t> </w:t>
      </w:r>
      <w:r>
        <w:rPr>
          <w:sz w:val="20"/>
        </w:rPr>
        <w:t>or</w:t>
      </w:r>
      <w:r>
        <w:rPr>
          <w:spacing w:val="-12"/>
          <w:sz w:val="20"/>
        </w:rPr>
        <w:t> </w:t>
      </w:r>
      <w:r>
        <w:rPr>
          <w:sz w:val="20"/>
        </w:rPr>
        <w:t>not, reached</w:t>
      </w:r>
      <w:r>
        <w:rPr>
          <w:spacing w:val="-13"/>
          <w:sz w:val="20"/>
        </w:rPr>
        <w:t> </w:t>
      </w:r>
      <w:r>
        <w:rPr>
          <w:sz w:val="20"/>
        </w:rPr>
        <w:t>a</w:t>
      </w:r>
      <w:r>
        <w:rPr>
          <w:spacing w:val="-14"/>
          <w:sz w:val="20"/>
        </w:rPr>
        <w:t> </w:t>
      </w:r>
      <w:r>
        <w:rPr>
          <w:sz w:val="20"/>
        </w:rPr>
        <w:t>COT3</w:t>
      </w:r>
      <w:r>
        <w:rPr>
          <w:spacing w:val="-13"/>
          <w:sz w:val="20"/>
        </w:rPr>
        <w:t> </w:t>
      </w:r>
      <w:r>
        <w:rPr>
          <w:sz w:val="20"/>
        </w:rPr>
        <w:t>settlement</w:t>
      </w:r>
      <w:r>
        <w:rPr>
          <w:spacing w:val="-12"/>
          <w:sz w:val="20"/>
        </w:rPr>
        <w:t> </w:t>
      </w:r>
      <w:r>
        <w:rPr>
          <w:sz w:val="20"/>
        </w:rPr>
        <w:t>and</w:t>
      </w:r>
      <w:r>
        <w:rPr>
          <w:spacing w:val="-14"/>
          <w:sz w:val="20"/>
        </w:rPr>
        <w:t> </w:t>
      </w:r>
      <w:r>
        <w:rPr>
          <w:sz w:val="20"/>
        </w:rPr>
        <w:t>a</w:t>
      </w:r>
      <w:r>
        <w:rPr>
          <w:spacing w:val="-14"/>
          <w:sz w:val="20"/>
        </w:rPr>
        <w:t> </w:t>
      </w:r>
      <w:r>
        <w:rPr>
          <w:sz w:val="20"/>
        </w:rPr>
        <w:t>further</w:t>
      </w:r>
      <w:r>
        <w:rPr>
          <w:spacing w:val="-13"/>
          <w:sz w:val="20"/>
        </w:rPr>
        <w:t> </w:t>
      </w:r>
      <w:r>
        <w:rPr>
          <w:sz w:val="20"/>
        </w:rPr>
        <w:t>six</w:t>
      </w:r>
      <w:r>
        <w:rPr>
          <w:spacing w:val="-14"/>
          <w:sz w:val="20"/>
        </w:rPr>
        <w:t> </w:t>
      </w:r>
      <w:r>
        <w:rPr>
          <w:sz w:val="20"/>
        </w:rPr>
        <w:t>per</w:t>
      </w:r>
      <w:r>
        <w:rPr>
          <w:spacing w:val="-14"/>
          <w:sz w:val="20"/>
        </w:rPr>
        <w:t> </w:t>
      </w:r>
      <w:r>
        <w:rPr>
          <w:sz w:val="20"/>
        </w:rPr>
        <w:t>cent</w:t>
      </w:r>
      <w:r>
        <w:rPr>
          <w:spacing w:val="-12"/>
          <w:sz w:val="20"/>
        </w:rPr>
        <w:t> </w:t>
      </w:r>
      <w:r>
        <w:rPr>
          <w:sz w:val="20"/>
        </w:rPr>
        <w:t>reached</w:t>
      </w:r>
      <w:r>
        <w:rPr>
          <w:spacing w:val="-13"/>
          <w:sz w:val="20"/>
        </w:rPr>
        <w:t> </w:t>
      </w:r>
      <w:r>
        <w:rPr>
          <w:sz w:val="20"/>
        </w:rPr>
        <w:t>a</w:t>
      </w:r>
      <w:r>
        <w:rPr>
          <w:spacing w:val="-14"/>
          <w:sz w:val="20"/>
        </w:rPr>
        <w:t> </w:t>
      </w:r>
      <w:r>
        <w:rPr>
          <w:sz w:val="20"/>
        </w:rPr>
        <w:t>private</w:t>
      </w:r>
      <w:r>
        <w:rPr>
          <w:spacing w:val="-14"/>
          <w:sz w:val="20"/>
        </w:rPr>
        <w:t> </w:t>
      </w:r>
      <w:r>
        <w:rPr>
          <w:sz w:val="20"/>
        </w:rPr>
        <w:t>settlement. One fifth progressed to a hearing and twelve per cent of claims were withdrawn.</w:t>
      </w:r>
    </w:p>
    <w:p>
      <w:pPr>
        <w:pStyle w:val="ListParagraph"/>
        <w:numPr>
          <w:ilvl w:val="0"/>
          <w:numId w:val="41"/>
        </w:numPr>
        <w:tabs>
          <w:tab w:pos="2076" w:val="left" w:leader="none"/>
        </w:tabs>
        <w:spacing w:line="240" w:lineRule="auto" w:before="0" w:after="0"/>
        <w:ind w:left="2075" w:right="737" w:hanging="360"/>
        <w:jc w:val="both"/>
        <w:rPr>
          <w:sz w:val="20"/>
        </w:rPr>
      </w:pPr>
      <w:r>
        <w:rPr>
          <w:sz w:val="20"/>
        </w:rPr>
        <w:t>Among</w:t>
      </w:r>
      <w:r>
        <w:rPr>
          <w:spacing w:val="-3"/>
          <w:sz w:val="20"/>
        </w:rPr>
        <w:t> </w:t>
      </w:r>
      <w:r>
        <w:rPr>
          <w:sz w:val="20"/>
        </w:rPr>
        <w:t>claimants,</w:t>
      </w:r>
      <w:r>
        <w:rPr>
          <w:spacing w:val="-4"/>
          <w:sz w:val="20"/>
        </w:rPr>
        <w:t> </w:t>
      </w:r>
      <w:r>
        <w:rPr>
          <w:sz w:val="20"/>
        </w:rPr>
        <w:t>driver</w:t>
      </w:r>
      <w:r>
        <w:rPr>
          <w:spacing w:val="-3"/>
          <w:sz w:val="20"/>
        </w:rPr>
        <w:t> </w:t>
      </w:r>
      <w:r>
        <w:rPr>
          <w:sz w:val="20"/>
        </w:rPr>
        <w:t>analysis</w:t>
      </w:r>
      <w:r>
        <w:rPr>
          <w:spacing w:val="-3"/>
          <w:sz w:val="20"/>
        </w:rPr>
        <w:t> </w:t>
      </w:r>
      <w:r>
        <w:rPr>
          <w:sz w:val="20"/>
        </w:rPr>
        <w:t>found</w:t>
      </w:r>
      <w:r>
        <w:rPr>
          <w:spacing w:val="-4"/>
          <w:sz w:val="20"/>
        </w:rPr>
        <w:t> </w:t>
      </w:r>
      <w:r>
        <w:rPr>
          <w:sz w:val="20"/>
        </w:rPr>
        <w:t>that</w:t>
      </w:r>
      <w:r>
        <w:rPr>
          <w:spacing w:val="-4"/>
          <w:sz w:val="20"/>
        </w:rPr>
        <w:t> </w:t>
      </w:r>
      <w:r>
        <w:rPr>
          <w:sz w:val="20"/>
        </w:rPr>
        <w:t>the</w:t>
      </w:r>
      <w:r>
        <w:rPr>
          <w:spacing w:val="-4"/>
          <w:sz w:val="20"/>
        </w:rPr>
        <w:t> </w:t>
      </w:r>
      <w:r>
        <w:rPr>
          <w:sz w:val="20"/>
        </w:rPr>
        <w:t>key</w:t>
      </w:r>
      <w:r>
        <w:rPr>
          <w:spacing w:val="-4"/>
          <w:sz w:val="20"/>
        </w:rPr>
        <w:t> </w:t>
      </w:r>
      <w:r>
        <w:rPr>
          <w:sz w:val="20"/>
        </w:rPr>
        <w:t>drivers</w:t>
      </w:r>
      <w:r>
        <w:rPr>
          <w:spacing w:val="-3"/>
          <w:sz w:val="20"/>
        </w:rPr>
        <w:t> </w:t>
      </w:r>
      <w:r>
        <w:rPr>
          <w:sz w:val="20"/>
        </w:rPr>
        <w:t>of</w:t>
      </w:r>
      <w:r>
        <w:rPr>
          <w:spacing w:val="-3"/>
          <w:sz w:val="20"/>
        </w:rPr>
        <w:t> </w:t>
      </w:r>
      <w:r>
        <w:rPr>
          <w:sz w:val="20"/>
        </w:rPr>
        <w:t>reaching</w:t>
      </w:r>
      <w:r>
        <w:rPr>
          <w:spacing w:val="-3"/>
          <w:sz w:val="20"/>
        </w:rPr>
        <w:t> </w:t>
      </w:r>
      <w:r>
        <w:rPr>
          <w:sz w:val="20"/>
        </w:rPr>
        <w:t>a</w:t>
      </w:r>
      <w:r>
        <w:rPr>
          <w:spacing w:val="-4"/>
          <w:sz w:val="20"/>
        </w:rPr>
        <w:t> </w:t>
      </w:r>
      <w:r>
        <w:rPr>
          <w:sz w:val="20"/>
        </w:rPr>
        <w:t>COT3</w:t>
      </w:r>
      <w:r>
        <w:rPr>
          <w:spacing w:val="-5"/>
          <w:sz w:val="20"/>
        </w:rPr>
        <w:t> </w:t>
      </w:r>
      <w:r>
        <w:rPr>
          <w:sz w:val="20"/>
        </w:rPr>
        <w:t>or private</w:t>
      </w:r>
      <w:r>
        <w:rPr>
          <w:spacing w:val="-5"/>
          <w:sz w:val="20"/>
        </w:rPr>
        <w:t> </w:t>
      </w:r>
      <w:r>
        <w:rPr>
          <w:sz w:val="20"/>
        </w:rPr>
        <w:t>settlement</w:t>
      </w:r>
      <w:r>
        <w:rPr>
          <w:spacing w:val="-4"/>
          <w:sz w:val="20"/>
        </w:rPr>
        <w:t> </w:t>
      </w:r>
      <w:r>
        <w:rPr>
          <w:sz w:val="20"/>
        </w:rPr>
        <w:t>were</w:t>
      </w:r>
      <w:r>
        <w:rPr>
          <w:spacing w:val="-6"/>
          <w:sz w:val="20"/>
        </w:rPr>
        <w:t> </w:t>
      </w:r>
      <w:r>
        <w:rPr>
          <w:sz w:val="20"/>
        </w:rPr>
        <w:t>external:</w:t>
      </w:r>
      <w:r>
        <w:rPr>
          <w:spacing w:val="-4"/>
          <w:sz w:val="20"/>
        </w:rPr>
        <w:t> </w:t>
      </w:r>
      <w:r>
        <w:rPr>
          <w:sz w:val="20"/>
        </w:rPr>
        <w:t>being</w:t>
      </w:r>
      <w:r>
        <w:rPr>
          <w:spacing w:val="-4"/>
          <w:sz w:val="20"/>
        </w:rPr>
        <w:t> </w:t>
      </w:r>
      <w:r>
        <w:rPr>
          <w:sz w:val="20"/>
        </w:rPr>
        <w:t>involved</w:t>
      </w:r>
      <w:r>
        <w:rPr>
          <w:spacing w:val="-4"/>
          <w:sz w:val="20"/>
        </w:rPr>
        <w:t> </w:t>
      </w:r>
      <w:r>
        <w:rPr>
          <w:sz w:val="20"/>
        </w:rPr>
        <w:t>in</w:t>
      </w:r>
      <w:r>
        <w:rPr>
          <w:spacing w:val="-4"/>
          <w:sz w:val="20"/>
        </w:rPr>
        <w:t> </w:t>
      </w:r>
      <w:r>
        <w:rPr>
          <w:sz w:val="20"/>
        </w:rPr>
        <w:t>open</w:t>
      </w:r>
      <w:r>
        <w:rPr>
          <w:spacing w:val="-5"/>
          <w:sz w:val="20"/>
        </w:rPr>
        <w:t> </w:t>
      </w:r>
      <w:r>
        <w:rPr>
          <w:sz w:val="20"/>
        </w:rPr>
        <w:t>and</w:t>
      </w:r>
      <w:r>
        <w:rPr>
          <w:spacing w:val="-4"/>
          <w:sz w:val="20"/>
        </w:rPr>
        <w:t> </w:t>
      </w:r>
      <w:r>
        <w:rPr>
          <w:sz w:val="20"/>
        </w:rPr>
        <w:t>standard</w:t>
      </w:r>
      <w:r>
        <w:rPr>
          <w:spacing w:val="-5"/>
          <w:sz w:val="20"/>
        </w:rPr>
        <w:t> </w:t>
      </w:r>
      <w:r>
        <w:rPr>
          <w:sz w:val="20"/>
        </w:rPr>
        <w:t>track</w:t>
      </w:r>
      <w:r>
        <w:rPr>
          <w:spacing w:val="-5"/>
          <w:sz w:val="20"/>
        </w:rPr>
        <w:t> </w:t>
      </w:r>
      <w:r>
        <w:rPr>
          <w:sz w:val="20"/>
        </w:rPr>
        <w:t>cases as well as working with an employer for less than five years were associated with a higher likelihood of reaching a settlement.</w:t>
      </w:r>
    </w:p>
    <w:p>
      <w:pPr>
        <w:pStyle w:val="ListParagraph"/>
        <w:numPr>
          <w:ilvl w:val="0"/>
          <w:numId w:val="41"/>
        </w:numPr>
        <w:tabs>
          <w:tab w:pos="2076" w:val="left" w:leader="none"/>
        </w:tabs>
        <w:spacing w:line="240" w:lineRule="auto" w:before="0" w:after="0"/>
        <w:ind w:left="2075" w:right="737" w:hanging="360"/>
        <w:jc w:val="both"/>
        <w:rPr>
          <w:sz w:val="20"/>
        </w:rPr>
      </w:pPr>
      <w:r>
        <w:rPr>
          <w:sz w:val="20"/>
        </w:rPr>
        <w:t>For employers, the key factors were internal and related to features of the case: agreeing</w:t>
      </w:r>
      <w:r>
        <w:rPr>
          <w:spacing w:val="-7"/>
          <w:sz w:val="20"/>
        </w:rPr>
        <w:t> </w:t>
      </w:r>
      <w:r>
        <w:rPr>
          <w:sz w:val="20"/>
        </w:rPr>
        <w:t>Acas</w:t>
      </w:r>
      <w:r>
        <w:rPr>
          <w:spacing w:val="-8"/>
          <w:sz w:val="20"/>
        </w:rPr>
        <w:t> </w:t>
      </w:r>
      <w:r>
        <w:rPr>
          <w:sz w:val="20"/>
        </w:rPr>
        <w:t>was</w:t>
      </w:r>
      <w:r>
        <w:rPr>
          <w:spacing w:val="-8"/>
          <w:sz w:val="20"/>
        </w:rPr>
        <w:t> </w:t>
      </w:r>
      <w:r>
        <w:rPr>
          <w:sz w:val="20"/>
        </w:rPr>
        <w:t>important</w:t>
      </w:r>
      <w:r>
        <w:rPr>
          <w:spacing w:val="-8"/>
          <w:sz w:val="20"/>
        </w:rPr>
        <w:t> </w:t>
      </w:r>
      <w:r>
        <w:rPr>
          <w:sz w:val="20"/>
        </w:rPr>
        <w:t>in</w:t>
      </w:r>
      <w:r>
        <w:rPr>
          <w:spacing w:val="-6"/>
          <w:sz w:val="20"/>
        </w:rPr>
        <w:t> </w:t>
      </w:r>
      <w:r>
        <w:rPr>
          <w:sz w:val="20"/>
        </w:rPr>
        <w:t>moving</w:t>
      </w:r>
      <w:r>
        <w:rPr>
          <w:spacing w:val="-7"/>
          <w:sz w:val="20"/>
        </w:rPr>
        <w:t> </w:t>
      </w:r>
      <w:r>
        <w:rPr>
          <w:sz w:val="20"/>
        </w:rPr>
        <w:t>the</w:t>
      </w:r>
      <w:r>
        <w:rPr>
          <w:spacing w:val="-8"/>
          <w:sz w:val="20"/>
        </w:rPr>
        <w:t> </w:t>
      </w:r>
      <w:r>
        <w:rPr>
          <w:sz w:val="20"/>
        </w:rPr>
        <w:t>two</w:t>
      </w:r>
      <w:r>
        <w:rPr>
          <w:spacing w:val="-7"/>
          <w:sz w:val="20"/>
        </w:rPr>
        <w:t> </w:t>
      </w:r>
      <w:r>
        <w:rPr>
          <w:sz w:val="20"/>
        </w:rPr>
        <w:t>sides</w:t>
      </w:r>
      <w:r>
        <w:rPr>
          <w:spacing w:val="-8"/>
          <w:sz w:val="20"/>
        </w:rPr>
        <w:t> </w:t>
      </w:r>
      <w:r>
        <w:rPr>
          <w:sz w:val="20"/>
        </w:rPr>
        <w:t>together,</w:t>
      </w:r>
      <w:r>
        <w:rPr>
          <w:spacing w:val="-7"/>
          <w:sz w:val="20"/>
        </w:rPr>
        <w:t> </w:t>
      </w:r>
      <w:r>
        <w:rPr>
          <w:sz w:val="20"/>
        </w:rPr>
        <w:t>good</w:t>
      </w:r>
      <w:r>
        <w:rPr>
          <w:spacing w:val="-7"/>
          <w:sz w:val="20"/>
        </w:rPr>
        <w:t> </w:t>
      </w:r>
      <w:r>
        <w:rPr>
          <w:sz w:val="20"/>
        </w:rPr>
        <w:t>availability</w:t>
      </w:r>
      <w:r>
        <w:rPr>
          <w:spacing w:val="-6"/>
          <w:sz w:val="20"/>
        </w:rPr>
        <w:t> </w:t>
      </w:r>
      <w:r>
        <w:rPr>
          <w:sz w:val="20"/>
        </w:rPr>
        <w:t>of the conciliators and equal levels of contact between the employer and Acas were associated with a higher likelihood of settlement. There was also a positive association between the</w:t>
      </w:r>
      <w:r>
        <w:rPr>
          <w:spacing w:val="-1"/>
          <w:sz w:val="20"/>
        </w:rPr>
        <w:t> </w:t>
      </w:r>
      <w:r>
        <w:rPr>
          <w:sz w:val="20"/>
        </w:rPr>
        <w:t>likelihood</w:t>
      </w:r>
      <w:r>
        <w:rPr>
          <w:spacing w:val="-1"/>
          <w:sz w:val="20"/>
        </w:rPr>
        <w:t> </w:t>
      </w:r>
      <w:r>
        <w:rPr>
          <w:sz w:val="20"/>
        </w:rPr>
        <w:t>of case</w:t>
      </w:r>
      <w:r>
        <w:rPr>
          <w:spacing w:val="-1"/>
          <w:sz w:val="20"/>
        </w:rPr>
        <w:t> </w:t>
      </w:r>
      <w:r>
        <w:rPr>
          <w:sz w:val="20"/>
        </w:rPr>
        <w:t>settlement and</w:t>
      </w:r>
      <w:r>
        <w:rPr>
          <w:spacing w:val="-2"/>
          <w:sz w:val="20"/>
        </w:rPr>
        <w:t> </w:t>
      </w:r>
      <w:r>
        <w:rPr>
          <w:sz w:val="20"/>
        </w:rPr>
        <w:t>the</w:t>
      </w:r>
      <w:r>
        <w:rPr>
          <w:spacing w:val="-1"/>
          <w:sz w:val="20"/>
        </w:rPr>
        <w:t> </w:t>
      </w:r>
      <w:r>
        <w:rPr>
          <w:sz w:val="20"/>
        </w:rPr>
        <w:t>presence</w:t>
      </w:r>
      <w:r>
        <w:rPr>
          <w:spacing w:val="-1"/>
          <w:sz w:val="20"/>
        </w:rPr>
        <w:t> </w:t>
      </w:r>
      <w:r>
        <w:rPr>
          <w:sz w:val="20"/>
        </w:rPr>
        <w:t>of a</w:t>
      </w:r>
      <w:r>
        <w:rPr>
          <w:spacing w:val="-1"/>
          <w:sz w:val="20"/>
        </w:rPr>
        <w:t> </w:t>
      </w:r>
      <w:r>
        <w:rPr>
          <w:sz w:val="20"/>
        </w:rPr>
        <w:t>Trade Union or Employer representative within the organisation.</w:t>
      </w:r>
    </w:p>
    <w:p>
      <w:pPr>
        <w:pStyle w:val="ListParagraph"/>
        <w:numPr>
          <w:ilvl w:val="0"/>
          <w:numId w:val="41"/>
        </w:numPr>
        <w:tabs>
          <w:tab w:pos="2076" w:val="left" w:leader="none"/>
        </w:tabs>
        <w:spacing w:line="237" w:lineRule="auto" w:before="0" w:after="0"/>
        <w:ind w:left="2075" w:right="738" w:hanging="360"/>
        <w:jc w:val="both"/>
        <w:rPr>
          <w:sz w:val="20"/>
        </w:rPr>
      </w:pPr>
      <w:r>
        <w:rPr>
          <w:sz w:val="20"/>
        </w:rPr>
        <w:t>All</w:t>
      </w:r>
      <w:r>
        <w:rPr>
          <w:spacing w:val="-2"/>
          <w:sz w:val="20"/>
        </w:rPr>
        <w:t> </w:t>
      </w:r>
      <w:r>
        <w:rPr>
          <w:sz w:val="20"/>
        </w:rPr>
        <w:t>involved in</w:t>
      </w:r>
      <w:r>
        <w:rPr>
          <w:spacing w:val="-1"/>
          <w:sz w:val="20"/>
        </w:rPr>
        <w:t> </w:t>
      </w:r>
      <w:r>
        <w:rPr>
          <w:sz w:val="20"/>
        </w:rPr>
        <w:t>fast</w:t>
      </w:r>
      <w:r>
        <w:rPr>
          <w:spacing w:val="-3"/>
          <w:sz w:val="20"/>
        </w:rPr>
        <w:t> </w:t>
      </w:r>
      <w:r>
        <w:rPr>
          <w:sz w:val="20"/>
        </w:rPr>
        <w:t>track cases</w:t>
      </w:r>
      <w:r>
        <w:rPr>
          <w:spacing w:val="-2"/>
          <w:sz w:val="20"/>
        </w:rPr>
        <w:t> </w:t>
      </w:r>
      <w:r>
        <w:rPr>
          <w:sz w:val="20"/>
        </w:rPr>
        <w:t>were</w:t>
      </w:r>
      <w:r>
        <w:rPr>
          <w:spacing w:val="-1"/>
          <w:sz w:val="20"/>
        </w:rPr>
        <w:t> </w:t>
      </w:r>
      <w:r>
        <w:rPr>
          <w:sz w:val="20"/>
        </w:rPr>
        <w:t>less</w:t>
      </w:r>
      <w:r>
        <w:rPr>
          <w:spacing w:val="-1"/>
          <w:sz w:val="20"/>
        </w:rPr>
        <w:t> </w:t>
      </w:r>
      <w:r>
        <w:rPr>
          <w:sz w:val="20"/>
        </w:rPr>
        <w:t>likely to</w:t>
      </w:r>
      <w:r>
        <w:rPr>
          <w:spacing w:val="-2"/>
          <w:sz w:val="20"/>
        </w:rPr>
        <w:t> </w:t>
      </w:r>
      <w:r>
        <w:rPr>
          <w:sz w:val="20"/>
        </w:rPr>
        <w:t>settle</w:t>
      </w:r>
      <w:r>
        <w:rPr>
          <w:spacing w:val="-3"/>
          <w:sz w:val="20"/>
        </w:rPr>
        <w:t> </w:t>
      </w:r>
      <w:r>
        <w:rPr>
          <w:sz w:val="20"/>
        </w:rPr>
        <w:t>than in</w:t>
      </w:r>
      <w:r>
        <w:rPr>
          <w:spacing w:val="-1"/>
          <w:sz w:val="20"/>
        </w:rPr>
        <w:t> </w:t>
      </w:r>
      <w:r>
        <w:rPr>
          <w:sz w:val="20"/>
        </w:rPr>
        <w:t>open</w:t>
      </w:r>
      <w:r>
        <w:rPr>
          <w:spacing w:val="-1"/>
          <w:sz w:val="20"/>
        </w:rPr>
        <w:t> </w:t>
      </w:r>
      <w:r>
        <w:rPr>
          <w:sz w:val="20"/>
        </w:rPr>
        <w:t>track cases</w:t>
      </w:r>
      <w:r>
        <w:rPr>
          <w:spacing w:val="-3"/>
          <w:sz w:val="20"/>
        </w:rPr>
        <w:t> </w:t>
      </w:r>
      <w:r>
        <w:rPr>
          <w:sz w:val="20"/>
        </w:rPr>
        <w:t>– either proceeding to a hearing or receiving a default judgement in their favour.</w:t>
      </w:r>
    </w:p>
    <w:p>
      <w:pPr>
        <w:pStyle w:val="ListParagraph"/>
        <w:numPr>
          <w:ilvl w:val="0"/>
          <w:numId w:val="41"/>
        </w:numPr>
        <w:tabs>
          <w:tab w:pos="2076" w:val="left" w:leader="none"/>
        </w:tabs>
        <w:spacing w:line="240" w:lineRule="auto" w:before="0" w:after="0"/>
        <w:ind w:left="2075" w:right="738" w:hanging="360"/>
        <w:jc w:val="both"/>
        <w:rPr>
          <w:sz w:val="20"/>
        </w:rPr>
      </w:pPr>
      <w:r>
        <w:rPr>
          <w:sz w:val="20"/>
        </w:rPr>
        <w:t>A majority of those who settled reported that this involved a financial payment to the</w:t>
      </w:r>
      <w:r>
        <w:rPr>
          <w:spacing w:val="-10"/>
          <w:sz w:val="20"/>
        </w:rPr>
        <w:t> </w:t>
      </w:r>
      <w:r>
        <w:rPr>
          <w:sz w:val="20"/>
        </w:rPr>
        <w:t>claimant.</w:t>
      </w:r>
      <w:r>
        <w:rPr>
          <w:spacing w:val="-9"/>
          <w:sz w:val="20"/>
        </w:rPr>
        <w:t> </w:t>
      </w:r>
      <w:r>
        <w:rPr>
          <w:sz w:val="20"/>
        </w:rPr>
        <w:t>The</w:t>
      </w:r>
      <w:r>
        <w:rPr>
          <w:spacing w:val="-9"/>
          <w:sz w:val="20"/>
        </w:rPr>
        <w:t> </w:t>
      </w:r>
      <w:r>
        <w:rPr>
          <w:sz w:val="20"/>
        </w:rPr>
        <w:t>average</w:t>
      </w:r>
      <w:r>
        <w:rPr>
          <w:spacing w:val="-9"/>
          <w:sz w:val="20"/>
        </w:rPr>
        <w:t> </w:t>
      </w:r>
      <w:r>
        <w:rPr>
          <w:sz w:val="20"/>
        </w:rPr>
        <w:t>(mean)</w:t>
      </w:r>
      <w:r>
        <w:rPr>
          <w:spacing w:val="-10"/>
          <w:sz w:val="20"/>
        </w:rPr>
        <w:t> </w:t>
      </w:r>
      <w:r>
        <w:rPr>
          <w:sz w:val="20"/>
        </w:rPr>
        <w:t>value</w:t>
      </w:r>
      <w:r>
        <w:rPr>
          <w:spacing w:val="-9"/>
          <w:sz w:val="20"/>
        </w:rPr>
        <w:t> </w:t>
      </w:r>
      <w:r>
        <w:rPr>
          <w:sz w:val="20"/>
        </w:rPr>
        <w:t>of</w:t>
      </w:r>
      <w:r>
        <w:rPr>
          <w:spacing w:val="-9"/>
          <w:sz w:val="20"/>
        </w:rPr>
        <w:t> </w:t>
      </w:r>
      <w:r>
        <w:rPr>
          <w:sz w:val="20"/>
        </w:rPr>
        <w:t>any</w:t>
      </w:r>
      <w:r>
        <w:rPr>
          <w:spacing w:val="-10"/>
          <w:sz w:val="20"/>
        </w:rPr>
        <w:t> </w:t>
      </w:r>
      <w:r>
        <w:rPr>
          <w:sz w:val="20"/>
        </w:rPr>
        <w:t>payment</w:t>
      </w:r>
      <w:r>
        <w:rPr>
          <w:spacing w:val="-9"/>
          <w:sz w:val="20"/>
        </w:rPr>
        <w:t> </w:t>
      </w:r>
      <w:r>
        <w:rPr>
          <w:sz w:val="20"/>
        </w:rPr>
        <w:t>reported</w:t>
      </w:r>
      <w:r>
        <w:rPr>
          <w:spacing w:val="-9"/>
          <w:sz w:val="20"/>
        </w:rPr>
        <w:t> </w:t>
      </w:r>
      <w:r>
        <w:rPr>
          <w:sz w:val="20"/>
        </w:rPr>
        <w:t>by</w:t>
      </w:r>
      <w:r>
        <w:rPr>
          <w:spacing w:val="-9"/>
          <w:sz w:val="20"/>
        </w:rPr>
        <w:t> </w:t>
      </w:r>
      <w:r>
        <w:rPr>
          <w:sz w:val="20"/>
        </w:rPr>
        <w:t>claimant-side participants</w:t>
      </w:r>
      <w:r>
        <w:rPr>
          <w:spacing w:val="-7"/>
          <w:sz w:val="20"/>
        </w:rPr>
        <w:t> </w:t>
      </w:r>
      <w:r>
        <w:rPr>
          <w:sz w:val="20"/>
        </w:rPr>
        <w:t>was</w:t>
      </w:r>
      <w:r>
        <w:rPr>
          <w:spacing w:val="-8"/>
          <w:sz w:val="20"/>
        </w:rPr>
        <w:t> </w:t>
      </w:r>
      <w:r>
        <w:rPr>
          <w:sz w:val="20"/>
        </w:rPr>
        <w:t>£9,298</w:t>
      </w:r>
      <w:r>
        <w:rPr>
          <w:spacing w:val="-7"/>
          <w:sz w:val="20"/>
        </w:rPr>
        <w:t> </w:t>
      </w:r>
      <w:r>
        <w:rPr>
          <w:sz w:val="20"/>
        </w:rPr>
        <w:t>and</w:t>
      </w:r>
      <w:r>
        <w:rPr>
          <w:spacing w:val="-8"/>
          <w:sz w:val="20"/>
        </w:rPr>
        <w:t> </w:t>
      </w:r>
      <w:r>
        <w:rPr>
          <w:sz w:val="20"/>
        </w:rPr>
        <w:t>the</w:t>
      </w:r>
      <w:r>
        <w:rPr>
          <w:spacing w:val="-7"/>
          <w:sz w:val="20"/>
        </w:rPr>
        <w:t> </w:t>
      </w:r>
      <w:r>
        <w:rPr>
          <w:sz w:val="20"/>
        </w:rPr>
        <w:t>equivalent</w:t>
      </w:r>
      <w:r>
        <w:rPr>
          <w:spacing w:val="-6"/>
          <w:sz w:val="20"/>
        </w:rPr>
        <w:t> </w:t>
      </w:r>
      <w:r>
        <w:rPr>
          <w:sz w:val="20"/>
        </w:rPr>
        <w:t>sum</w:t>
      </w:r>
      <w:r>
        <w:rPr>
          <w:spacing w:val="-7"/>
          <w:sz w:val="20"/>
        </w:rPr>
        <w:t> </w:t>
      </w:r>
      <w:r>
        <w:rPr>
          <w:sz w:val="20"/>
        </w:rPr>
        <w:t>cited</w:t>
      </w:r>
      <w:r>
        <w:rPr>
          <w:spacing w:val="-7"/>
          <w:sz w:val="20"/>
        </w:rPr>
        <w:t> </w:t>
      </w:r>
      <w:r>
        <w:rPr>
          <w:sz w:val="20"/>
        </w:rPr>
        <w:t>by</w:t>
      </w:r>
      <w:r>
        <w:rPr>
          <w:spacing w:val="-9"/>
          <w:sz w:val="20"/>
        </w:rPr>
        <w:t> </w:t>
      </w:r>
      <w:r>
        <w:rPr>
          <w:sz w:val="20"/>
        </w:rPr>
        <w:t>employers</w:t>
      </w:r>
      <w:r>
        <w:rPr>
          <w:spacing w:val="-7"/>
          <w:sz w:val="20"/>
        </w:rPr>
        <w:t> </w:t>
      </w:r>
      <w:r>
        <w:rPr>
          <w:sz w:val="20"/>
        </w:rPr>
        <w:t>was</w:t>
      </w:r>
      <w:r>
        <w:rPr>
          <w:spacing w:val="-7"/>
          <w:sz w:val="20"/>
        </w:rPr>
        <w:t> </w:t>
      </w:r>
      <w:r>
        <w:rPr>
          <w:sz w:val="20"/>
        </w:rPr>
        <w:t>£8,005;</w:t>
      </w:r>
      <w:r>
        <w:rPr>
          <w:spacing w:val="-6"/>
          <w:sz w:val="20"/>
        </w:rPr>
        <w:t> </w:t>
      </w:r>
      <w:r>
        <w:rPr>
          <w:sz w:val="20"/>
        </w:rPr>
        <w:t>a</w:t>
      </w:r>
    </w:p>
    <w:p>
      <w:pPr>
        <w:pStyle w:val="BodyText"/>
        <w:ind w:left="2075" w:right="738"/>
        <w:jc w:val="both"/>
      </w:pPr>
      <w:r>
        <w:rPr/>
        <w:t>£769 decrease and a £925 increase respectively, since 2016. By the time of the survey</w:t>
      </w:r>
      <w:r>
        <w:rPr>
          <w:spacing w:val="-11"/>
        </w:rPr>
        <w:t> </w:t>
      </w:r>
      <w:r>
        <w:rPr/>
        <w:t>virtually</w:t>
      </w:r>
      <w:r>
        <w:rPr>
          <w:spacing w:val="-11"/>
        </w:rPr>
        <w:t> </w:t>
      </w:r>
      <w:r>
        <w:rPr/>
        <w:t>all</w:t>
      </w:r>
      <w:r>
        <w:rPr>
          <w:spacing w:val="-13"/>
        </w:rPr>
        <w:t> </w:t>
      </w:r>
      <w:r>
        <w:rPr/>
        <w:t>payments</w:t>
      </w:r>
      <w:r>
        <w:rPr>
          <w:spacing w:val="-12"/>
        </w:rPr>
        <w:t> </w:t>
      </w:r>
      <w:r>
        <w:rPr/>
        <w:t>awarded</w:t>
      </w:r>
      <w:r>
        <w:rPr>
          <w:spacing w:val="-12"/>
        </w:rPr>
        <w:t> </w:t>
      </w:r>
      <w:r>
        <w:rPr/>
        <w:t>had</w:t>
      </w:r>
      <w:r>
        <w:rPr>
          <w:spacing w:val="-12"/>
        </w:rPr>
        <w:t> </w:t>
      </w:r>
      <w:r>
        <w:rPr/>
        <w:t>been</w:t>
      </w:r>
      <w:r>
        <w:rPr>
          <w:spacing w:val="-11"/>
        </w:rPr>
        <w:t> </w:t>
      </w:r>
      <w:r>
        <w:rPr/>
        <w:t>made:</w:t>
      </w:r>
      <w:r>
        <w:rPr>
          <w:spacing w:val="-11"/>
        </w:rPr>
        <w:t> </w:t>
      </w:r>
      <w:r>
        <w:rPr/>
        <w:t>this</w:t>
      </w:r>
      <w:r>
        <w:rPr>
          <w:spacing w:val="-12"/>
        </w:rPr>
        <w:t> </w:t>
      </w:r>
      <w:r>
        <w:rPr/>
        <w:t>was</w:t>
      </w:r>
      <w:r>
        <w:rPr>
          <w:spacing w:val="-12"/>
        </w:rPr>
        <w:t> </w:t>
      </w:r>
      <w:r>
        <w:rPr/>
        <w:t>the</w:t>
      </w:r>
      <w:r>
        <w:rPr>
          <w:spacing w:val="-12"/>
        </w:rPr>
        <w:t> </w:t>
      </w:r>
      <w:r>
        <w:rPr/>
        <w:t>case</w:t>
      </w:r>
      <w:r>
        <w:rPr>
          <w:spacing w:val="-12"/>
        </w:rPr>
        <w:t> </w:t>
      </w:r>
      <w:r>
        <w:rPr/>
        <w:t>for</w:t>
      </w:r>
      <w:r>
        <w:rPr>
          <w:spacing w:val="-12"/>
        </w:rPr>
        <w:t> </w:t>
      </w:r>
      <w:r>
        <w:rPr/>
        <w:t>98</w:t>
      </w:r>
      <w:r>
        <w:rPr>
          <w:spacing w:val="-12"/>
        </w:rPr>
        <w:t> </w:t>
      </w:r>
      <w:r>
        <w:rPr/>
        <w:t>per cent on the claimant side and 97 per cent on the employer side</w:t>
      </w:r>
    </w:p>
    <w:p>
      <w:pPr>
        <w:pStyle w:val="ListParagraph"/>
        <w:numPr>
          <w:ilvl w:val="0"/>
          <w:numId w:val="41"/>
        </w:numPr>
        <w:tabs>
          <w:tab w:pos="2076" w:val="left" w:leader="none"/>
        </w:tabs>
        <w:spacing w:line="240" w:lineRule="auto" w:before="0" w:after="0"/>
        <w:ind w:left="2075" w:right="739" w:hanging="360"/>
        <w:jc w:val="both"/>
        <w:rPr>
          <w:sz w:val="20"/>
        </w:rPr>
      </w:pPr>
      <w:r>
        <w:rPr>
          <w:sz w:val="20"/>
        </w:rPr>
        <w:t>A majority of participants agreed that Acas’ involvement had been important in helping move the parties closer to resolving the dispute (a key factor behind successful</w:t>
      </w:r>
      <w:r>
        <w:rPr>
          <w:spacing w:val="-6"/>
          <w:sz w:val="20"/>
        </w:rPr>
        <w:t> </w:t>
      </w:r>
      <w:r>
        <w:rPr>
          <w:sz w:val="20"/>
        </w:rPr>
        <w:t>case</w:t>
      </w:r>
      <w:r>
        <w:rPr>
          <w:spacing w:val="-6"/>
          <w:sz w:val="20"/>
        </w:rPr>
        <w:t> </w:t>
      </w:r>
      <w:r>
        <w:rPr>
          <w:sz w:val="20"/>
        </w:rPr>
        <w:t>settlement).</w:t>
      </w:r>
      <w:r>
        <w:rPr>
          <w:spacing w:val="-6"/>
          <w:sz w:val="20"/>
        </w:rPr>
        <w:t> </w:t>
      </w:r>
      <w:r>
        <w:rPr>
          <w:sz w:val="20"/>
        </w:rPr>
        <w:t>Similarly,</w:t>
      </w:r>
      <w:r>
        <w:rPr>
          <w:spacing w:val="-6"/>
          <w:sz w:val="20"/>
        </w:rPr>
        <w:t> </w:t>
      </w:r>
      <w:r>
        <w:rPr>
          <w:sz w:val="20"/>
        </w:rPr>
        <w:t>where</w:t>
      </w:r>
      <w:r>
        <w:rPr>
          <w:spacing w:val="-6"/>
          <w:sz w:val="20"/>
        </w:rPr>
        <w:t> </w:t>
      </w:r>
      <w:r>
        <w:rPr>
          <w:sz w:val="20"/>
        </w:rPr>
        <w:t>a</w:t>
      </w:r>
      <w:r>
        <w:rPr>
          <w:spacing w:val="-7"/>
          <w:sz w:val="20"/>
        </w:rPr>
        <w:t> </w:t>
      </w:r>
      <w:r>
        <w:rPr>
          <w:sz w:val="20"/>
        </w:rPr>
        <w:t>settlement</w:t>
      </w:r>
      <w:r>
        <w:rPr>
          <w:spacing w:val="-8"/>
          <w:sz w:val="20"/>
        </w:rPr>
        <w:t> </w:t>
      </w:r>
      <w:r>
        <w:rPr>
          <w:sz w:val="20"/>
        </w:rPr>
        <w:t>had</w:t>
      </w:r>
      <w:r>
        <w:rPr>
          <w:spacing w:val="-7"/>
          <w:sz w:val="20"/>
        </w:rPr>
        <w:t> </w:t>
      </w:r>
      <w:r>
        <w:rPr>
          <w:sz w:val="20"/>
        </w:rPr>
        <w:t>been</w:t>
      </w:r>
      <w:r>
        <w:rPr>
          <w:spacing w:val="-6"/>
          <w:sz w:val="20"/>
        </w:rPr>
        <w:t> </w:t>
      </w:r>
      <w:r>
        <w:rPr>
          <w:sz w:val="20"/>
        </w:rPr>
        <w:t>reached,</w:t>
      </w:r>
      <w:r>
        <w:rPr>
          <w:spacing w:val="-6"/>
          <w:sz w:val="20"/>
        </w:rPr>
        <w:t> </w:t>
      </w:r>
      <w:r>
        <w:rPr>
          <w:sz w:val="20"/>
        </w:rPr>
        <w:t>they tended to agree that Acas’ involvement had been a factor in resolving the case.</w:t>
      </w:r>
    </w:p>
    <w:p>
      <w:pPr>
        <w:pStyle w:val="ListParagraph"/>
        <w:numPr>
          <w:ilvl w:val="0"/>
          <w:numId w:val="41"/>
        </w:numPr>
        <w:tabs>
          <w:tab w:pos="2076" w:val="left" w:leader="none"/>
        </w:tabs>
        <w:spacing w:line="240" w:lineRule="auto" w:before="0" w:after="0"/>
        <w:ind w:left="2075" w:right="738" w:hanging="360"/>
        <w:jc w:val="both"/>
        <w:rPr>
          <w:sz w:val="20"/>
        </w:rPr>
      </w:pPr>
      <w:r>
        <w:rPr>
          <w:sz w:val="20"/>
        </w:rPr>
        <w:t>The ‘Acas effect’ – a measure of the number of cases where Acas’ assistance had aided</w:t>
      </w:r>
      <w:r>
        <w:rPr>
          <w:spacing w:val="-7"/>
          <w:sz w:val="20"/>
        </w:rPr>
        <w:t> </w:t>
      </w:r>
      <w:r>
        <w:rPr>
          <w:sz w:val="20"/>
        </w:rPr>
        <w:t>a</w:t>
      </w:r>
      <w:r>
        <w:rPr>
          <w:spacing w:val="-7"/>
          <w:sz w:val="20"/>
        </w:rPr>
        <w:t> </w:t>
      </w:r>
      <w:r>
        <w:rPr>
          <w:sz w:val="20"/>
        </w:rPr>
        <w:t>dispute</w:t>
      </w:r>
      <w:r>
        <w:rPr>
          <w:spacing w:val="-7"/>
          <w:sz w:val="20"/>
        </w:rPr>
        <w:t> </w:t>
      </w:r>
      <w:r>
        <w:rPr>
          <w:sz w:val="20"/>
        </w:rPr>
        <w:t>avoiding</w:t>
      </w:r>
      <w:r>
        <w:rPr>
          <w:spacing w:val="-7"/>
          <w:sz w:val="20"/>
        </w:rPr>
        <w:t> </w:t>
      </w:r>
      <w:r>
        <w:rPr>
          <w:sz w:val="20"/>
        </w:rPr>
        <w:t>going</w:t>
      </w:r>
      <w:r>
        <w:rPr>
          <w:spacing w:val="-8"/>
          <w:sz w:val="20"/>
        </w:rPr>
        <w:t> </w:t>
      </w:r>
      <w:r>
        <w:rPr>
          <w:sz w:val="20"/>
        </w:rPr>
        <w:t>to</w:t>
      </w:r>
      <w:r>
        <w:rPr>
          <w:spacing w:val="-8"/>
          <w:sz w:val="20"/>
        </w:rPr>
        <w:t> </w:t>
      </w:r>
      <w:r>
        <w:rPr>
          <w:sz w:val="20"/>
        </w:rPr>
        <w:t>a</w:t>
      </w:r>
      <w:r>
        <w:rPr>
          <w:spacing w:val="-8"/>
          <w:sz w:val="20"/>
        </w:rPr>
        <w:t> </w:t>
      </w:r>
      <w:r>
        <w:rPr>
          <w:sz w:val="20"/>
        </w:rPr>
        <w:t>full</w:t>
      </w:r>
      <w:r>
        <w:rPr>
          <w:spacing w:val="-8"/>
          <w:sz w:val="20"/>
        </w:rPr>
        <w:t> </w:t>
      </w:r>
      <w:r>
        <w:rPr>
          <w:sz w:val="20"/>
        </w:rPr>
        <w:t>employment</w:t>
      </w:r>
      <w:r>
        <w:rPr>
          <w:spacing w:val="-8"/>
          <w:sz w:val="20"/>
        </w:rPr>
        <w:t> </w:t>
      </w:r>
      <w:r>
        <w:rPr>
          <w:sz w:val="20"/>
        </w:rPr>
        <w:t>tribunal</w:t>
      </w:r>
      <w:r>
        <w:rPr>
          <w:spacing w:val="-6"/>
          <w:sz w:val="20"/>
        </w:rPr>
        <w:t> </w:t>
      </w:r>
      <w:r>
        <w:rPr>
          <w:sz w:val="20"/>
        </w:rPr>
        <w:t>–</w:t>
      </w:r>
      <w:r>
        <w:rPr>
          <w:spacing w:val="-7"/>
          <w:sz w:val="20"/>
        </w:rPr>
        <w:t> </w:t>
      </w:r>
      <w:r>
        <w:rPr>
          <w:sz w:val="20"/>
        </w:rPr>
        <w:t>stood</w:t>
      </w:r>
      <w:r>
        <w:rPr>
          <w:spacing w:val="-8"/>
          <w:sz w:val="20"/>
        </w:rPr>
        <w:t> </w:t>
      </w:r>
      <w:r>
        <w:rPr>
          <w:sz w:val="20"/>
        </w:rPr>
        <w:t>at</w:t>
      </w:r>
      <w:r>
        <w:rPr>
          <w:spacing w:val="-7"/>
          <w:sz w:val="20"/>
        </w:rPr>
        <w:t> </w:t>
      </w:r>
      <w:r>
        <w:rPr>
          <w:sz w:val="20"/>
        </w:rPr>
        <w:t>61</w:t>
      </w:r>
      <w:r>
        <w:rPr>
          <w:spacing w:val="-8"/>
          <w:sz w:val="20"/>
        </w:rPr>
        <w:t> </w:t>
      </w:r>
      <w:r>
        <w:rPr>
          <w:sz w:val="20"/>
        </w:rPr>
        <w:t>per</w:t>
      </w:r>
      <w:r>
        <w:rPr>
          <w:spacing w:val="-8"/>
          <w:sz w:val="20"/>
        </w:rPr>
        <w:t> </w:t>
      </w:r>
      <w:r>
        <w:rPr>
          <w:sz w:val="20"/>
        </w:rPr>
        <w:t>cent in this wave, the same level recorded in 2016. Acas is increasingly attributed as a factor in case withdrawals although this may be related to the diminishing importance of cost after the abolition of tribunal fees.</w:t>
      </w:r>
    </w:p>
    <w:p>
      <w:pPr>
        <w:pStyle w:val="ListParagraph"/>
        <w:numPr>
          <w:ilvl w:val="0"/>
          <w:numId w:val="41"/>
        </w:numPr>
        <w:tabs>
          <w:tab w:pos="2076" w:val="left" w:leader="none"/>
        </w:tabs>
        <w:spacing w:line="240" w:lineRule="auto" w:before="0" w:after="0"/>
        <w:ind w:left="2075" w:right="736" w:hanging="360"/>
        <w:jc w:val="both"/>
        <w:rPr>
          <w:sz w:val="20"/>
        </w:rPr>
      </w:pPr>
      <w:r>
        <w:rPr>
          <w:sz w:val="20"/>
        </w:rPr>
        <w:t>When a case progressed to a formal hearing, most claimant-side participants said it was because the employer had not been willing to negotiate. Employer-side participants tended to report that the case had gone to hearing because they had done nothing wrong, or the claimant had been unwilling to negotiate.</w:t>
      </w:r>
    </w:p>
    <w:p>
      <w:pPr>
        <w:pStyle w:val="ListParagraph"/>
        <w:numPr>
          <w:ilvl w:val="0"/>
          <w:numId w:val="41"/>
        </w:numPr>
        <w:tabs>
          <w:tab w:pos="2076" w:val="left" w:leader="none"/>
        </w:tabs>
        <w:spacing w:line="240" w:lineRule="auto" w:before="0" w:after="0"/>
        <w:ind w:left="2075" w:right="738" w:hanging="360"/>
        <w:jc w:val="both"/>
        <w:rPr>
          <w:sz w:val="20"/>
        </w:rPr>
      </w:pPr>
      <w:r>
        <w:rPr>
          <w:sz w:val="20"/>
        </w:rPr>
        <w:t>A majority of the cases which progressed to a hearing were reported to have had been found in favour of the claimant. In most instances, a financial payment was </w:t>
      </w:r>
      <w:r>
        <w:rPr>
          <w:spacing w:val="-2"/>
          <w:sz w:val="20"/>
        </w:rPr>
        <w:t>awarded.</w:t>
      </w:r>
    </w:p>
    <w:p>
      <w:pPr>
        <w:pStyle w:val="ListParagraph"/>
        <w:numPr>
          <w:ilvl w:val="0"/>
          <w:numId w:val="41"/>
        </w:numPr>
        <w:tabs>
          <w:tab w:pos="2076" w:val="left" w:leader="none"/>
        </w:tabs>
        <w:spacing w:line="240" w:lineRule="auto" w:before="0" w:after="0"/>
        <w:ind w:left="2075" w:right="739" w:hanging="360"/>
        <w:jc w:val="both"/>
        <w:rPr>
          <w:sz w:val="20"/>
        </w:rPr>
      </w:pPr>
      <w:r>
        <w:rPr>
          <w:sz w:val="20"/>
        </w:rPr>
        <w:t>Putting aside the service received from Acas, two-thirds of claimant-side participants and seven in ten employer-side participants reported that they were satisfied with the outcome of the case.</w:t>
      </w:r>
    </w:p>
    <w:p>
      <w:pPr>
        <w:spacing w:after="0" w:line="240" w:lineRule="auto"/>
        <w:jc w:val="both"/>
        <w:rPr>
          <w:sz w:val="20"/>
        </w:rPr>
        <w:sectPr>
          <w:pgSz w:w="11910" w:h="16840"/>
          <w:pgMar w:header="0" w:footer="996" w:top="1340" w:bottom="1180" w:left="460" w:right="320"/>
        </w:sectPr>
      </w:pPr>
    </w:p>
    <w:p>
      <w:pPr>
        <w:pStyle w:val="Heading3"/>
        <w:numPr>
          <w:ilvl w:val="1"/>
          <w:numId w:val="2"/>
        </w:numPr>
        <w:tabs>
          <w:tab w:pos="1974" w:val="left" w:leader="none"/>
        </w:tabs>
        <w:spacing w:line="240" w:lineRule="auto" w:before="82" w:after="0"/>
        <w:ind w:left="1973" w:right="0" w:hanging="637"/>
        <w:jc w:val="both"/>
      </w:pPr>
      <w:bookmarkStart w:name="17." w:id="191"/>
      <w:bookmarkEnd w:id="191"/>
      <w:r>
        <w:rPr>
          <w:b w:val="0"/>
        </w:rPr>
      </w:r>
      <w:bookmarkStart w:name="16." w:id="192"/>
      <w:bookmarkEnd w:id="192"/>
      <w:r>
        <w:rPr>
          <w:b w:val="0"/>
        </w:rPr>
      </w:r>
      <w:bookmarkStart w:name="16.1  Case outcomes" w:id="193"/>
      <w:bookmarkEnd w:id="193"/>
      <w:r>
        <w:rPr/>
        <w:t>Ca</w:t>
      </w:r>
      <w:r>
        <w:rPr/>
        <w:t>se</w:t>
      </w:r>
      <w:r>
        <w:rPr>
          <w:spacing w:val="-2"/>
        </w:rPr>
        <w:t> outcomes</w:t>
      </w:r>
    </w:p>
    <w:p>
      <w:pPr>
        <w:pStyle w:val="BodyText"/>
        <w:spacing w:before="119"/>
        <w:ind w:left="1337" w:right="1474"/>
        <w:jc w:val="both"/>
      </w:pPr>
      <w:r>
        <w:rPr/>
        <w:t>The outcome of participants’ ET cases – which is recorded by Acas – was also re- confirmed with both parties during the interview. This reported outcome measure is used for the analysis conducted throughout this chapter.</w:t>
      </w:r>
    </w:p>
    <w:p>
      <w:pPr>
        <w:pStyle w:val="BodyText"/>
      </w:pPr>
    </w:p>
    <w:p>
      <w:pPr>
        <w:pStyle w:val="BodyText"/>
        <w:ind w:left="1337" w:right="1473" w:hanging="1"/>
        <w:jc w:val="both"/>
        <w:rPr>
          <w:sz w:val="13"/>
        </w:rPr>
      </w:pPr>
      <w:r>
        <w:rPr/>
        <w:t>Given the nature of the sampling design – described in the technical appendix – findings cannot be combined from both sides to be representative of the entire universe of ET cases dealt with by Acas. As a result, the annual results published by Acas remain the definition source for the quantification of case outcome at the overall level.</w:t>
      </w:r>
      <w:hyperlink w:history="true" w:anchor="_bookmark93">
        <w:r>
          <w:rPr>
            <w:position w:val="7"/>
            <w:sz w:val="13"/>
          </w:rPr>
          <w:t>36</w:t>
        </w:r>
      </w:hyperlink>
    </w:p>
    <w:p>
      <w:pPr>
        <w:pStyle w:val="BodyText"/>
        <w:spacing w:before="8"/>
        <w:rPr>
          <w:sz w:val="21"/>
        </w:rPr>
      </w:pPr>
    </w:p>
    <w:p>
      <w:pPr>
        <w:pStyle w:val="BodyText"/>
        <w:spacing w:line="259" w:lineRule="auto"/>
        <w:ind w:left="1337" w:right="1472"/>
        <w:jc w:val="both"/>
      </w:pPr>
      <w:r>
        <w:rPr/>
        <w:t>The proportion of claimant and employer-side survey participants who reported that</w:t>
      </w:r>
      <w:r>
        <w:rPr>
          <w:spacing w:val="-5"/>
        </w:rPr>
        <w:t> </w:t>
      </w:r>
      <w:r>
        <w:rPr/>
        <w:t>their</w:t>
      </w:r>
      <w:r>
        <w:rPr>
          <w:spacing w:val="-6"/>
        </w:rPr>
        <w:t> </w:t>
      </w:r>
      <w:r>
        <w:rPr/>
        <w:t>case</w:t>
      </w:r>
      <w:r>
        <w:rPr>
          <w:spacing w:val="-6"/>
        </w:rPr>
        <w:t> </w:t>
      </w:r>
      <w:r>
        <w:rPr/>
        <w:t>had</w:t>
      </w:r>
      <w:r>
        <w:rPr>
          <w:spacing w:val="-6"/>
        </w:rPr>
        <w:t> </w:t>
      </w:r>
      <w:r>
        <w:rPr/>
        <w:t>been</w:t>
      </w:r>
      <w:r>
        <w:rPr>
          <w:spacing w:val="-6"/>
        </w:rPr>
        <w:t> </w:t>
      </w:r>
      <w:r>
        <w:rPr/>
        <w:t>settled</w:t>
      </w:r>
      <w:r>
        <w:rPr>
          <w:spacing w:val="-6"/>
        </w:rPr>
        <w:t> </w:t>
      </w:r>
      <w:r>
        <w:rPr/>
        <w:t>through</w:t>
      </w:r>
      <w:r>
        <w:rPr>
          <w:spacing w:val="-5"/>
        </w:rPr>
        <w:t> </w:t>
      </w:r>
      <w:r>
        <w:rPr/>
        <w:t>a</w:t>
      </w:r>
      <w:r>
        <w:rPr>
          <w:spacing w:val="-7"/>
        </w:rPr>
        <w:t> </w:t>
      </w:r>
      <w:r>
        <w:rPr/>
        <w:t>COT3</w:t>
      </w:r>
      <w:r>
        <w:rPr>
          <w:spacing w:val="-7"/>
        </w:rPr>
        <w:t> </w:t>
      </w:r>
      <w:r>
        <w:rPr/>
        <w:t>stood</w:t>
      </w:r>
      <w:r>
        <w:rPr>
          <w:spacing w:val="-6"/>
        </w:rPr>
        <w:t> </w:t>
      </w:r>
      <w:r>
        <w:rPr/>
        <w:t>at</w:t>
      </w:r>
      <w:r>
        <w:rPr>
          <w:spacing w:val="-5"/>
        </w:rPr>
        <w:t> </w:t>
      </w:r>
      <w:r>
        <w:rPr/>
        <w:t>a</w:t>
      </w:r>
      <w:r>
        <w:rPr>
          <w:spacing w:val="-6"/>
        </w:rPr>
        <w:t> </w:t>
      </w:r>
      <w:r>
        <w:rPr/>
        <w:t>little</w:t>
      </w:r>
      <w:r>
        <w:rPr>
          <w:spacing w:val="-6"/>
        </w:rPr>
        <w:t> </w:t>
      </w:r>
      <w:r>
        <w:rPr/>
        <w:t>over</w:t>
      </w:r>
      <w:r>
        <w:rPr>
          <w:spacing w:val="-6"/>
        </w:rPr>
        <w:t> </w:t>
      </w:r>
      <w:r>
        <w:rPr/>
        <w:t>half</w:t>
      </w:r>
      <w:r>
        <w:rPr>
          <w:spacing w:val="-5"/>
        </w:rPr>
        <w:t> </w:t>
      </w:r>
      <w:r>
        <w:rPr/>
        <w:t>(both</w:t>
      </w:r>
      <w:r>
        <w:rPr>
          <w:spacing w:val="-5"/>
        </w:rPr>
        <w:t> </w:t>
      </w:r>
      <w:r>
        <w:rPr/>
        <w:t>52 per cent). A fifth (20 per cent) had progressed to a hearing. Fifteen per cent of claimant-side and 9 per cent of employer-side cases had been withdrawn, while five per cent and</w:t>
      </w:r>
      <w:r>
        <w:rPr>
          <w:spacing w:val="-1"/>
        </w:rPr>
        <w:t> </w:t>
      </w:r>
      <w:r>
        <w:rPr/>
        <w:t>six per cent</w:t>
      </w:r>
      <w:r>
        <w:rPr>
          <w:spacing w:val="-1"/>
        </w:rPr>
        <w:t> </w:t>
      </w:r>
      <w:r>
        <w:rPr/>
        <w:t>had</w:t>
      </w:r>
      <w:r>
        <w:rPr>
          <w:spacing w:val="-1"/>
        </w:rPr>
        <w:t> </w:t>
      </w:r>
      <w:r>
        <w:rPr/>
        <w:t>been struck</w:t>
      </w:r>
      <w:r>
        <w:rPr>
          <w:spacing w:val="-1"/>
        </w:rPr>
        <w:t> </w:t>
      </w:r>
      <w:r>
        <w:rPr/>
        <w:t>out.</w:t>
      </w:r>
      <w:r>
        <w:rPr>
          <w:spacing w:val="-1"/>
        </w:rPr>
        <w:t> </w:t>
      </w:r>
      <w:r>
        <w:rPr/>
        <w:t>For three per cent</w:t>
      </w:r>
      <w:r>
        <w:rPr>
          <w:spacing w:val="-1"/>
        </w:rPr>
        <w:t> </w:t>
      </w:r>
      <w:r>
        <w:rPr/>
        <w:t>of claimant- side</w:t>
      </w:r>
      <w:r>
        <w:rPr>
          <w:spacing w:val="-7"/>
        </w:rPr>
        <w:t> </w:t>
      </w:r>
      <w:r>
        <w:rPr/>
        <w:t>and</w:t>
      </w:r>
      <w:r>
        <w:rPr>
          <w:spacing w:val="-8"/>
        </w:rPr>
        <w:t> </w:t>
      </w:r>
      <w:r>
        <w:rPr/>
        <w:t>nine</w:t>
      </w:r>
      <w:r>
        <w:rPr>
          <w:spacing w:val="-7"/>
        </w:rPr>
        <w:t> </w:t>
      </w:r>
      <w:r>
        <w:rPr/>
        <w:t>per</w:t>
      </w:r>
      <w:r>
        <w:rPr>
          <w:spacing w:val="-7"/>
        </w:rPr>
        <w:t> </w:t>
      </w:r>
      <w:r>
        <w:rPr/>
        <w:t>cent</w:t>
      </w:r>
      <w:r>
        <w:rPr>
          <w:spacing w:val="-6"/>
        </w:rPr>
        <w:t> </w:t>
      </w:r>
      <w:r>
        <w:rPr/>
        <w:t>of</w:t>
      </w:r>
      <w:r>
        <w:rPr>
          <w:spacing w:val="-6"/>
        </w:rPr>
        <w:t> </w:t>
      </w:r>
      <w:r>
        <w:rPr/>
        <w:t>employer-side</w:t>
      </w:r>
      <w:r>
        <w:rPr>
          <w:spacing w:val="-7"/>
        </w:rPr>
        <w:t> </w:t>
      </w:r>
      <w:r>
        <w:rPr/>
        <w:t>participants</w:t>
      </w:r>
      <w:r>
        <w:rPr>
          <w:spacing w:val="-8"/>
        </w:rPr>
        <w:t> </w:t>
      </w:r>
      <w:r>
        <w:rPr/>
        <w:t>a</w:t>
      </w:r>
      <w:r>
        <w:rPr>
          <w:spacing w:val="-7"/>
        </w:rPr>
        <w:t> </w:t>
      </w:r>
      <w:r>
        <w:rPr/>
        <w:t>private</w:t>
      </w:r>
      <w:r>
        <w:rPr>
          <w:spacing w:val="-7"/>
        </w:rPr>
        <w:t> </w:t>
      </w:r>
      <w:r>
        <w:rPr/>
        <w:t>settlement</w:t>
      </w:r>
      <w:r>
        <w:rPr>
          <w:spacing w:val="-8"/>
        </w:rPr>
        <w:t> </w:t>
      </w:r>
      <w:r>
        <w:rPr/>
        <w:t>had</w:t>
      </w:r>
      <w:r>
        <w:rPr>
          <w:spacing w:val="-8"/>
        </w:rPr>
        <w:t> </w:t>
      </w:r>
      <w:r>
        <w:rPr/>
        <w:t>been reached.</w:t>
      </w:r>
      <w:r>
        <w:rPr>
          <w:spacing w:val="-9"/>
        </w:rPr>
        <w:t> </w:t>
      </w:r>
      <w:r>
        <w:rPr/>
        <w:t>Settlement</w:t>
      </w:r>
      <w:r>
        <w:rPr>
          <w:spacing w:val="-9"/>
        </w:rPr>
        <w:t> </w:t>
      </w:r>
      <w:r>
        <w:rPr/>
        <w:t>rates</w:t>
      </w:r>
      <w:r>
        <w:rPr>
          <w:spacing w:val="-9"/>
        </w:rPr>
        <w:t> </w:t>
      </w:r>
      <w:r>
        <w:rPr/>
        <w:t>increase</w:t>
      </w:r>
      <w:r>
        <w:rPr>
          <w:spacing w:val="-9"/>
        </w:rPr>
        <w:t> </w:t>
      </w:r>
      <w:r>
        <w:rPr/>
        <w:t>where</w:t>
      </w:r>
      <w:r>
        <w:rPr>
          <w:spacing w:val="-9"/>
        </w:rPr>
        <w:t> </w:t>
      </w:r>
      <w:r>
        <w:rPr/>
        <w:t>analysis</w:t>
      </w:r>
      <w:r>
        <w:rPr>
          <w:spacing w:val="-9"/>
        </w:rPr>
        <w:t> </w:t>
      </w:r>
      <w:r>
        <w:rPr/>
        <w:t>is</w:t>
      </w:r>
      <w:r>
        <w:rPr>
          <w:spacing w:val="-9"/>
        </w:rPr>
        <w:t> </w:t>
      </w:r>
      <w:r>
        <w:rPr/>
        <w:t>restricted</w:t>
      </w:r>
      <w:r>
        <w:rPr>
          <w:spacing w:val="-9"/>
        </w:rPr>
        <w:t> </w:t>
      </w:r>
      <w:r>
        <w:rPr/>
        <w:t>to</w:t>
      </w:r>
      <w:r>
        <w:rPr>
          <w:spacing w:val="-9"/>
        </w:rPr>
        <w:t> </w:t>
      </w:r>
      <w:r>
        <w:rPr/>
        <w:t>just</w:t>
      </w:r>
      <w:r>
        <w:rPr>
          <w:spacing w:val="-9"/>
        </w:rPr>
        <w:t> </w:t>
      </w:r>
      <w:r>
        <w:rPr/>
        <w:t>those</w:t>
      </w:r>
      <w:r>
        <w:rPr>
          <w:spacing w:val="-9"/>
        </w:rPr>
        <w:t> </w:t>
      </w:r>
      <w:r>
        <w:rPr/>
        <w:t>taking part in post-ET1 conciliation – to 63 and 65 per cent respectively for claimant and employer-side participants.</w:t>
      </w:r>
    </w:p>
    <w:p>
      <w:pPr>
        <w:pStyle w:val="BodyText"/>
        <w:spacing w:before="4"/>
        <w:rPr>
          <w:sz w:val="21"/>
        </w:rPr>
      </w:pPr>
    </w:p>
    <w:p>
      <w:pPr>
        <w:pStyle w:val="Heading3"/>
        <w:numPr>
          <w:ilvl w:val="1"/>
          <w:numId w:val="2"/>
        </w:numPr>
        <w:tabs>
          <w:tab w:pos="1974" w:val="left" w:leader="none"/>
        </w:tabs>
        <w:spacing w:line="240" w:lineRule="auto" w:before="0" w:after="0"/>
        <w:ind w:left="1973" w:right="0" w:hanging="637"/>
        <w:jc w:val="both"/>
      </w:pPr>
      <w:bookmarkStart w:name="16.2  Drivers of successful case outcome" w:id="194"/>
      <w:bookmarkEnd w:id="194"/>
      <w:r>
        <w:rPr>
          <w:b w:val="0"/>
        </w:rPr>
      </w:r>
      <w:bookmarkStart w:name="_bookmark49" w:id="195"/>
      <w:bookmarkEnd w:id="195"/>
      <w:r>
        <w:rPr/>
        <w:t>D</w:t>
      </w:r>
      <w:r>
        <w:rPr/>
        <w:t>rivers</w:t>
      </w:r>
      <w:r>
        <w:rPr>
          <w:spacing w:val="-6"/>
        </w:rPr>
        <w:t> </w:t>
      </w:r>
      <w:r>
        <w:rPr/>
        <w:t>of</w:t>
      </w:r>
      <w:r>
        <w:rPr>
          <w:spacing w:val="-4"/>
        </w:rPr>
        <w:t> </w:t>
      </w:r>
      <w:r>
        <w:rPr/>
        <w:t>successful</w:t>
      </w:r>
      <w:r>
        <w:rPr>
          <w:spacing w:val="-5"/>
        </w:rPr>
        <w:t> </w:t>
      </w:r>
      <w:r>
        <w:rPr/>
        <w:t>case</w:t>
      </w:r>
      <w:r>
        <w:rPr>
          <w:spacing w:val="-5"/>
        </w:rPr>
        <w:t> </w:t>
      </w:r>
      <w:r>
        <w:rPr>
          <w:spacing w:val="-2"/>
        </w:rPr>
        <w:t>outcome</w:t>
      </w:r>
    </w:p>
    <w:p>
      <w:pPr>
        <w:pStyle w:val="BodyText"/>
        <w:spacing w:before="120"/>
        <w:ind w:left="1337" w:right="1472"/>
        <w:jc w:val="both"/>
      </w:pPr>
      <w:r>
        <w:rPr/>
        <w:t>Four regression analyses were conducted to examine the factors ‘driving’ whether claimants and employers came to a settlement (either a COT3 or private settlement)</w:t>
      </w:r>
      <w:r>
        <w:rPr>
          <w:spacing w:val="-17"/>
        </w:rPr>
        <w:t> </w:t>
      </w:r>
      <w:r>
        <w:rPr/>
        <w:t>in</w:t>
      </w:r>
      <w:r>
        <w:rPr>
          <w:spacing w:val="-16"/>
        </w:rPr>
        <w:t> </w:t>
      </w:r>
      <w:r>
        <w:rPr/>
        <w:t>their</w:t>
      </w:r>
      <w:r>
        <w:rPr>
          <w:spacing w:val="-17"/>
        </w:rPr>
        <w:t> </w:t>
      </w:r>
      <w:r>
        <w:rPr/>
        <w:t>case.</w:t>
      </w:r>
      <w:r>
        <w:rPr>
          <w:spacing w:val="-16"/>
        </w:rPr>
        <w:t> </w:t>
      </w:r>
      <w:r>
        <w:rPr/>
        <w:t>Representatives</w:t>
      </w:r>
      <w:r>
        <w:rPr>
          <w:spacing w:val="-16"/>
        </w:rPr>
        <w:t> </w:t>
      </w:r>
      <w:r>
        <w:rPr/>
        <w:t>were</w:t>
      </w:r>
      <w:r>
        <w:rPr>
          <w:spacing w:val="-17"/>
        </w:rPr>
        <w:t> </w:t>
      </w:r>
      <w:r>
        <w:rPr/>
        <w:t>not</w:t>
      </w:r>
      <w:r>
        <w:rPr>
          <w:spacing w:val="-17"/>
        </w:rPr>
        <w:t> </w:t>
      </w:r>
      <w:r>
        <w:rPr/>
        <w:t>included</w:t>
      </w:r>
      <w:r>
        <w:rPr>
          <w:spacing w:val="-16"/>
        </w:rPr>
        <w:t> </w:t>
      </w:r>
      <w:r>
        <w:rPr/>
        <w:t>in</w:t>
      </w:r>
      <w:r>
        <w:rPr>
          <w:spacing w:val="-16"/>
        </w:rPr>
        <w:t> </w:t>
      </w:r>
      <w:r>
        <w:rPr/>
        <w:t>either</w:t>
      </w:r>
      <w:r>
        <w:rPr>
          <w:spacing w:val="-17"/>
        </w:rPr>
        <w:t> </w:t>
      </w:r>
      <w:r>
        <w:rPr/>
        <w:t>model.</w:t>
      </w:r>
      <w:hyperlink w:history="true" w:anchor="_bookmark86">
        <w:r>
          <w:rPr>
            <w:position w:val="7"/>
            <w:sz w:val="13"/>
          </w:rPr>
          <w:t>37</w:t>
        </w:r>
      </w:hyperlink>
      <w:r>
        <w:rPr>
          <w:spacing w:val="9"/>
          <w:position w:val="7"/>
          <w:sz w:val="13"/>
        </w:rPr>
        <w:t> </w:t>
      </w:r>
      <w:r>
        <w:rPr/>
        <w:t>Note that this model measures associations between variables, not causation.</w:t>
      </w:r>
    </w:p>
    <w:p>
      <w:pPr>
        <w:pStyle w:val="BodyText"/>
        <w:spacing w:before="1"/>
      </w:pPr>
    </w:p>
    <w:p>
      <w:pPr>
        <w:pStyle w:val="BodyText"/>
        <w:ind w:left="1337" w:right="1473"/>
        <w:jc w:val="both"/>
      </w:pPr>
      <w:r>
        <w:rPr/>
        <w:t>To provide understanding on the impact of ‘internal’ factors (those within Acas’ control, such as conciliator performance) and ‘external’ ones (e.g. claimant or employer characteristics), separate models have been established for both.</w:t>
      </w:r>
    </w:p>
    <w:p>
      <w:pPr>
        <w:pStyle w:val="BodyText"/>
      </w:pPr>
    </w:p>
    <w:p>
      <w:pPr>
        <w:pStyle w:val="Heading4"/>
        <w:rPr>
          <w:i/>
        </w:rPr>
      </w:pPr>
      <w:bookmarkStart w:name="Among claimants – internal factors" w:id="196"/>
      <w:bookmarkEnd w:id="196"/>
      <w:r>
        <w:rPr>
          <w:b w:val="0"/>
          <w:i w:val="0"/>
        </w:rPr>
      </w:r>
      <w:r>
        <w:rPr>
          <w:i/>
        </w:rPr>
        <w:t>Among</w:t>
      </w:r>
      <w:r>
        <w:rPr>
          <w:i/>
          <w:spacing w:val="-4"/>
        </w:rPr>
        <w:t> </w:t>
      </w:r>
      <w:r>
        <w:rPr>
          <w:i/>
        </w:rPr>
        <w:t>claimants</w:t>
      </w:r>
      <w:r>
        <w:rPr>
          <w:i/>
          <w:spacing w:val="-5"/>
        </w:rPr>
        <w:t> </w:t>
      </w:r>
      <w:r>
        <w:rPr>
          <w:i/>
        </w:rPr>
        <w:t>–</w:t>
      </w:r>
      <w:r>
        <w:rPr>
          <w:i/>
          <w:spacing w:val="-4"/>
        </w:rPr>
        <w:t> </w:t>
      </w:r>
      <w:r>
        <w:rPr>
          <w:i/>
        </w:rPr>
        <w:t>internal</w:t>
      </w:r>
      <w:r>
        <w:rPr>
          <w:i/>
          <w:spacing w:val="-4"/>
        </w:rPr>
        <w:t> </w:t>
      </w:r>
      <w:r>
        <w:rPr>
          <w:i/>
          <w:spacing w:val="-2"/>
        </w:rPr>
        <w:t>factors</w:t>
      </w:r>
    </w:p>
    <w:p>
      <w:pPr>
        <w:pStyle w:val="BodyText"/>
        <w:spacing w:before="1"/>
        <w:ind w:left="1337" w:right="1474"/>
        <w:jc w:val="both"/>
      </w:pPr>
      <w:r>
        <w:rPr/>
        <w:t>Only one independent internal variable was found to be a determinant of whether claimants successfully settled their case:</w:t>
      </w:r>
    </w:p>
    <w:p>
      <w:pPr>
        <w:pStyle w:val="BodyText"/>
        <w:spacing w:before="11"/>
        <w:rPr>
          <w:sz w:val="19"/>
        </w:rPr>
      </w:pPr>
    </w:p>
    <w:p>
      <w:pPr>
        <w:pStyle w:val="ListParagraph"/>
        <w:numPr>
          <w:ilvl w:val="0"/>
          <w:numId w:val="42"/>
        </w:numPr>
        <w:tabs>
          <w:tab w:pos="2057" w:val="left" w:leader="none"/>
        </w:tabs>
        <w:spacing w:line="240" w:lineRule="auto" w:before="0" w:after="0"/>
        <w:ind w:left="2056" w:right="1473" w:hanging="360"/>
        <w:jc w:val="both"/>
        <w:rPr>
          <w:sz w:val="20"/>
        </w:rPr>
      </w:pPr>
      <w:r>
        <w:rPr>
          <w:i/>
          <w:sz w:val="20"/>
        </w:rPr>
        <w:t>Feeling Acas was important in moving the parties closer together</w:t>
      </w:r>
      <w:r>
        <w:rPr>
          <w:sz w:val="20"/>
        </w:rPr>
        <w:t>: Rating Acas’ ability to bring the two sides together as important to resolving the case was the only factor associated with a higher likelihood of a successful case resolution.</w:t>
      </w:r>
    </w:p>
    <w:p>
      <w:pPr>
        <w:pStyle w:val="BodyText"/>
        <w:spacing w:before="11"/>
        <w:rPr>
          <w:sz w:val="19"/>
        </w:rPr>
      </w:pPr>
    </w:p>
    <w:p>
      <w:pPr>
        <w:pStyle w:val="Heading3"/>
        <w:ind w:left="1336" w:right="1475"/>
      </w:pPr>
      <w:r>
        <w:rPr/>
        <w:t>Figure 32. Logistic regression results of internal factors determining claimant settlement</w:t>
      </w:r>
    </w:p>
    <w:p>
      <w:pPr>
        <w:spacing w:before="72"/>
        <w:ind w:left="5349" w:right="0" w:firstLine="0"/>
        <w:jc w:val="left"/>
        <w:rPr>
          <w:b/>
          <w:i/>
          <w:sz w:val="15"/>
        </w:rPr>
      </w:pPr>
      <w:r>
        <w:rPr>
          <w:b/>
          <w:i/>
          <w:color w:val="74AA50"/>
          <w:spacing w:val="-2"/>
          <w:sz w:val="15"/>
        </w:rPr>
        <w:t>Claimant</w:t>
      </w:r>
      <w:r>
        <w:rPr>
          <w:b/>
          <w:i/>
          <w:color w:val="74AA50"/>
          <w:spacing w:val="2"/>
          <w:sz w:val="15"/>
        </w:rPr>
        <w:t> </w:t>
      </w:r>
      <w:r>
        <w:rPr>
          <w:b/>
          <w:i/>
          <w:color w:val="74AA50"/>
          <w:spacing w:val="-2"/>
          <w:sz w:val="15"/>
          <w:u w:val="thick" w:color="74AA50"/>
        </w:rPr>
        <w:t>more</w:t>
      </w:r>
      <w:r>
        <w:rPr>
          <w:b/>
          <w:i/>
          <w:color w:val="74AA50"/>
          <w:spacing w:val="-11"/>
          <w:sz w:val="15"/>
        </w:rPr>
        <w:t> </w:t>
      </w:r>
      <w:r>
        <w:rPr>
          <w:b/>
          <w:i/>
          <w:color w:val="74AA50"/>
          <w:spacing w:val="-2"/>
          <w:sz w:val="15"/>
        </w:rPr>
        <w:t>likely</w:t>
      </w:r>
      <w:r>
        <w:rPr>
          <w:b/>
          <w:i/>
          <w:color w:val="74AA50"/>
          <w:spacing w:val="16"/>
          <w:sz w:val="15"/>
        </w:rPr>
        <w:t> </w:t>
      </w:r>
      <w:r>
        <w:rPr>
          <w:b/>
          <w:i/>
          <w:color w:val="74AA50"/>
          <w:spacing w:val="-2"/>
          <w:sz w:val="15"/>
        </w:rPr>
        <w:t>to</w:t>
      </w:r>
      <w:r>
        <w:rPr>
          <w:b/>
          <w:i/>
          <w:color w:val="74AA50"/>
          <w:spacing w:val="-9"/>
          <w:sz w:val="15"/>
        </w:rPr>
        <w:t> </w:t>
      </w:r>
      <w:r>
        <w:rPr>
          <w:b/>
          <w:i/>
          <w:color w:val="74AA50"/>
          <w:spacing w:val="-2"/>
          <w:sz w:val="15"/>
        </w:rPr>
        <w:t>have</w:t>
      </w:r>
      <w:r>
        <w:rPr>
          <w:b/>
          <w:i/>
          <w:color w:val="74AA50"/>
          <w:spacing w:val="-5"/>
          <w:sz w:val="15"/>
        </w:rPr>
        <w:t> </w:t>
      </w:r>
      <w:r>
        <w:rPr>
          <w:b/>
          <w:i/>
          <w:color w:val="74AA50"/>
          <w:spacing w:val="-2"/>
          <w:sz w:val="15"/>
        </w:rPr>
        <w:t>reached</w:t>
      </w:r>
      <w:r>
        <w:rPr>
          <w:b/>
          <w:i/>
          <w:color w:val="74AA50"/>
          <w:spacing w:val="-9"/>
          <w:sz w:val="15"/>
        </w:rPr>
        <w:t> </w:t>
      </w:r>
      <w:r>
        <w:rPr>
          <w:b/>
          <w:i/>
          <w:color w:val="74AA50"/>
          <w:spacing w:val="-2"/>
          <w:sz w:val="15"/>
        </w:rPr>
        <w:t>a</w:t>
      </w:r>
      <w:r>
        <w:rPr>
          <w:b/>
          <w:i/>
          <w:color w:val="74AA50"/>
          <w:spacing w:val="-12"/>
          <w:sz w:val="15"/>
        </w:rPr>
        <w:t> </w:t>
      </w:r>
      <w:r>
        <w:rPr>
          <w:b/>
          <w:i/>
          <w:color w:val="74AA50"/>
          <w:spacing w:val="-2"/>
          <w:sz w:val="15"/>
        </w:rPr>
        <w:t>settlement</w:t>
      </w:r>
    </w:p>
    <w:p>
      <w:pPr>
        <w:pStyle w:val="BodyText"/>
        <w:rPr>
          <w:b/>
          <w:i/>
        </w:rPr>
      </w:pPr>
    </w:p>
    <w:p>
      <w:pPr>
        <w:pStyle w:val="BodyText"/>
        <w:spacing w:before="9"/>
        <w:rPr>
          <w:b/>
          <w:i/>
          <w:sz w:val="16"/>
        </w:rPr>
      </w:pPr>
    </w:p>
    <w:p>
      <w:pPr>
        <w:spacing w:line="223" w:lineRule="auto" w:before="111"/>
        <w:ind w:left="2088" w:right="5538" w:hanging="633"/>
        <w:jc w:val="left"/>
        <w:rPr>
          <w:sz w:val="15"/>
        </w:rPr>
      </w:pPr>
      <w:r>
        <w:rPr/>
        <w:pict>
          <v:group style="position:absolute;margin-left:289.622711pt;margin-top:-21.841667pt;width:166.65pt;height:72.55pt;mso-position-horizontal-relative:page;mso-position-vertical-relative:paragraph;z-index:15796224" id="docshapegroup398" coordorigin="5792,-437" coordsize="3333,1451">
            <v:rect style="position:absolute;left:5802;top:-72;width:3323;height:721" id="docshape399" filled="true" fillcolor="#74aa50" stroked="false">
              <v:fill type="solid"/>
            </v:rect>
            <v:line style="position:absolute" from="5797,1014" to="5797,-437" stroked="true" strokeweight=".502447pt" strokecolor="#ddddde">
              <v:stroke dashstyle="solid"/>
            </v:line>
            <w10:wrap type="none"/>
          </v:group>
        </w:pict>
      </w:r>
      <w:r>
        <w:rPr>
          <w:sz w:val="15"/>
        </w:rPr>
        <w:t>Acas</w:t>
      </w:r>
      <w:r>
        <w:rPr>
          <w:spacing w:val="-14"/>
          <w:sz w:val="15"/>
        </w:rPr>
        <w:t> </w:t>
      </w:r>
      <w:r>
        <w:rPr>
          <w:sz w:val="15"/>
        </w:rPr>
        <w:t>involvement</w:t>
      </w:r>
      <w:r>
        <w:rPr>
          <w:spacing w:val="-13"/>
          <w:sz w:val="15"/>
        </w:rPr>
        <w:t> </w:t>
      </w:r>
      <w:r>
        <w:rPr>
          <w:sz w:val="15"/>
        </w:rPr>
        <w:t>was</w:t>
      </w:r>
      <w:r>
        <w:rPr>
          <w:spacing w:val="-21"/>
          <w:sz w:val="15"/>
        </w:rPr>
        <w:t> </w:t>
      </w:r>
      <w:r>
        <w:rPr>
          <w:sz w:val="15"/>
        </w:rPr>
        <w:t>important</w:t>
      </w:r>
      <w:r>
        <w:rPr>
          <w:spacing w:val="-13"/>
          <w:sz w:val="15"/>
        </w:rPr>
        <w:t> </w:t>
      </w:r>
      <w:r>
        <w:rPr>
          <w:sz w:val="15"/>
        </w:rPr>
        <w:t>in</w:t>
      </w:r>
      <w:r>
        <w:rPr>
          <w:spacing w:val="-11"/>
          <w:sz w:val="15"/>
        </w:rPr>
        <w:t> </w:t>
      </w:r>
      <w:r>
        <w:rPr>
          <w:sz w:val="15"/>
        </w:rPr>
        <w:t>helping</w:t>
      </w:r>
      <w:r>
        <w:rPr>
          <w:spacing w:val="-6"/>
          <w:sz w:val="15"/>
        </w:rPr>
        <w:t> </w:t>
      </w:r>
      <w:r>
        <w:rPr>
          <w:sz w:val="15"/>
        </w:rPr>
        <w:t>move parties</w:t>
      </w:r>
      <w:r>
        <w:rPr>
          <w:spacing w:val="-13"/>
          <w:sz w:val="15"/>
        </w:rPr>
        <w:t> </w:t>
      </w:r>
      <w:r>
        <w:rPr>
          <w:sz w:val="15"/>
        </w:rPr>
        <w:t>closer</w:t>
      </w:r>
      <w:r>
        <w:rPr>
          <w:spacing w:val="-17"/>
          <w:sz w:val="15"/>
        </w:rPr>
        <w:t> </w:t>
      </w:r>
      <w:r>
        <w:rPr>
          <w:sz w:val="15"/>
        </w:rPr>
        <w:t>towards</w:t>
      </w:r>
      <w:r>
        <w:rPr>
          <w:spacing w:val="-21"/>
          <w:sz w:val="15"/>
        </w:rPr>
        <w:t> </w:t>
      </w:r>
      <w:r>
        <w:rPr>
          <w:sz w:val="15"/>
        </w:rPr>
        <w:t>resolving</w:t>
      </w:r>
      <w:r>
        <w:rPr>
          <w:spacing w:val="-10"/>
          <w:sz w:val="15"/>
        </w:rPr>
        <w:t> </w:t>
      </w:r>
      <w:r>
        <w:rPr>
          <w:sz w:val="15"/>
        </w:rPr>
        <w:t>the</w:t>
      </w:r>
      <w:r>
        <w:rPr>
          <w:spacing w:val="-11"/>
          <w:sz w:val="15"/>
        </w:rPr>
        <w:t> </w:t>
      </w:r>
      <w:r>
        <w:rPr>
          <w:spacing w:val="-4"/>
          <w:sz w:val="15"/>
        </w:rPr>
        <w:t>case</w:t>
      </w:r>
    </w:p>
    <w:p>
      <w:pPr>
        <w:pStyle w:val="BodyText"/>
        <w:rPr>
          <w:sz w:val="18"/>
        </w:rPr>
      </w:pPr>
    </w:p>
    <w:p>
      <w:pPr>
        <w:pStyle w:val="BodyText"/>
        <w:rPr>
          <w:sz w:val="18"/>
        </w:rPr>
      </w:pPr>
    </w:p>
    <w:p>
      <w:pPr>
        <w:pStyle w:val="BodyText"/>
        <w:spacing w:before="4"/>
        <w:rPr>
          <w:sz w:val="22"/>
        </w:rPr>
      </w:pPr>
    </w:p>
    <w:p>
      <w:pPr>
        <w:pStyle w:val="Heading4"/>
        <w:rPr>
          <w:i/>
        </w:rPr>
      </w:pPr>
      <w:bookmarkStart w:name="Among claimants – external factors" w:id="197"/>
      <w:bookmarkEnd w:id="197"/>
      <w:r>
        <w:rPr>
          <w:b w:val="0"/>
          <w:i w:val="0"/>
        </w:rPr>
      </w:r>
      <w:r>
        <w:rPr>
          <w:i/>
        </w:rPr>
        <w:t>Among</w:t>
      </w:r>
      <w:r>
        <w:rPr>
          <w:i/>
          <w:spacing w:val="-4"/>
        </w:rPr>
        <w:t> </w:t>
      </w:r>
      <w:r>
        <w:rPr>
          <w:i/>
        </w:rPr>
        <w:t>claimants</w:t>
      </w:r>
      <w:r>
        <w:rPr>
          <w:i/>
          <w:spacing w:val="-5"/>
        </w:rPr>
        <w:t> </w:t>
      </w:r>
      <w:r>
        <w:rPr>
          <w:i/>
        </w:rPr>
        <w:t>–</w:t>
      </w:r>
      <w:r>
        <w:rPr>
          <w:i/>
          <w:spacing w:val="-5"/>
        </w:rPr>
        <w:t> </w:t>
      </w:r>
      <w:r>
        <w:rPr>
          <w:i/>
        </w:rPr>
        <w:t>external</w:t>
      </w:r>
      <w:r>
        <w:rPr>
          <w:i/>
          <w:spacing w:val="-5"/>
        </w:rPr>
        <w:t> </w:t>
      </w:r>
      <w:r>
        <w:rPr>
          <w:i/>
          <w:spacing w:val="-2"/>
        </w:rPr>
        <w:t>factors</w:t>
      </w:r>
    </w:p>
    <w:p>
      <w:pPr>
        <w:pStyle w:val="BodyText"/>
        <w:spacing w:before="1"/>
        <w:ind w:left="1337" w:right="1474"/>
        <w:jc w:val="both"/>
      </w:pPr>
      <w:r>
        <w:rPr/>
        <w:t>The independent external variables which were found to be determinants of whether claimants successfully settled their case are listed below in order of predictive strength:</w:t>
      </w:r>
    </w:p>
    <w:p>
      <w:pPr>
        <w:spacing w:after="0"/>
        <w:jc w:val="both"/>
        <w:sectPr>
          <w:pgSz w:w="11910" w:h="16840"/>
          <w:pgMar w:header="0" w:footer="996" w:top="1340" w:bottom="1180" w:left="460" w:right="320"/>
        </w:sectPr>
      </w:pPr>
    </w:p>
    <w:p>
      <w:pPr>
        <w:pStyle w:val="ListParagraph"/>
        <w:numPr>
          <w:ilvl w:val="0"/>
          <w:numId w:val="42"/>
        </w:numPr>
        <w:tabs>
          <w:tab w:pos="2058" w:val="left" w:leader="none"/>
        </w:tabs>
        <w:spacing w:line="240" w:lineRule="auto" w:before="82" w:after="0"/>
        <w:ind w:left="2057" w:right="1473" w:hanging="360"/>
        <w:jc w:val="both"/>
        <w:rPr>
          <w:sz w:val="20"/>
        </w:rPr>
      </w:pPr>
      <w:r>
        <w:rPr>
          <w:i/>
          <w:sz w:val="20"/>
        </w:rPr>
        <w:t>Case track</w:t>
      </w:r>
      <w:r>
        <w:rPr>
          <w:sz w:val="20"/>
        </w:rPr>
        <w:t>: The strongest correlation in the model was with open track cases; this was associated with a higher likelihood of settling the case. A similar but weaker relationship was also observed for standard track cases</w:t>
      </w:r>
    </w:p>
    <w:p>
      <w:pPr>
        <w:pStyle w:val="ListParagraph"/>
        <w:numPr>
          <w:ilvl w:val="0"/>
          <w:numId w:val="42"/>
        </w:numPr>
        <w:tabs>
          <w:tab w:pos="2058" w:val="left" w:leader="none"/>
        </w:tabs>
        <w:spacing w:line="240" w:lineRule="auto" w:before="0" w:after="0"/>
        <w:ind w:left="2057" w:right="1474" w:hanging="360"/>
        <w:jc w:val="both"/>
        <w:rPr>
          <w:sz w:val="20"/>
        </w:rPr>
      </w:pPr>
      <w:r>
        <w:rPr>
          <w:i/>
          <w:sz w:val="20"/>
        </w:rPr>
        <w:t>Tenure</w:t>
      </w:r>
      <w:r>
        <w:rPr>
          <w:i/>
          <w:spacing w:val="-8"/>
          <w:sz w:val="20"/>
        </w:rPr>
        <w:t> </w:t>
      </w:r>
      <w:r>
        <w:rPr>
          <w:i/>
          <w:sz w:val="20"/>
        </w:rPr>
        <w:t>length</w:t>
      </w:r>
      <w:r>
        <w:rPr>
          <w:sz w:val="20"/>
        </w:rPr>
        <w:t>:</w:t>
      </w:r>
      <w:r>
        <w:rPr>
          <w:spacing w:val="-7"/>
          <w:sz w:val="20"/>
        </w:rPr>
        <w:t> </w:t>
      </w:r>
      <w:r>
        <w:rPr>
          <w:sz w:val="20"/>
        </w:rPr>
        <w:t>Shorter-term</w:t>
      </w:r>
      <w:r>
        <w:rPr>
          <w:spacing w:val="-8"/>
          <w:sz w:val="20"/>
        </w:rPr>
        <w:t> </w:t>
      </w:r>
      <w:r>
        <w:rPr>
          <w:sz w:val="20"/>
        </w:rPr>
        <w:t>employees</w:t>
      </w:r>
      <w:r>
        <w:rPr>
          <w:spacing w:val="-8"/>
          <w:sz w:val="20"/>
        </w:rPr>
        <w:t> </w:t>
      </w:r>
      <w:r>
        <w:rPr>
          <w:sz w:val="20"/>
        </w:rPr>
        <w:t>were</w:t>
      </w:r>
      <w:r>
        <w:rPr>
          <w:spacing w:val="-8"/>
          <w:sz w:val="20"/>
        </w:rPr>
        <w:t> </w:t>
      </w:r>
      <w:r>
        <w:rPr>
          <w:sz w:val="20"/>
        </w:rPr>
        <w:t>also</w:t>
      </w:r>
      <w:r>
        <w:rPr>
          <w:spacing w:val="-8"/>
          <w:sz w:val="20"/>
        </w:rPr>
        <w:t> </w:t>
      </w:r>
      <w:r>
        <w:rPr>
          <w:sz w:val="20"/>
        </w:rPr>
        <w:t>more</w:t>
      </w:r>
      <w:r>
        <w:rPr>
          <w:spacing w:val="-8"/>
          <w:sz w:val="20"/>
        </w:rPr>
        <w:t> </w:t>
      </w:r>
      <w:r>
        <w:rPr>
          <w:sz w:val="20"/>
        </w:rPr>
        <w:t>strongly</w:t>
      </w:r>
      <w:r>
        <w:rPr>
          <w:spacing w:val="-7"/>
          <w:sz w:val="20"/>
        </w:rPr>
        <w:t> </w:t>
      </w:r>
      <w:r>
        <w:rPr>
          <w:sz w:val="20"/>
        </w:rPr>
        <w:t>correlated with</w:t>
      </w:r>
      <w:r>
        <w:rPr>
          <w:spacing w:val="-9"/>
          <w:sz w:val="20"/>
        </w:rPr>
        <w:t> </w:t>
      </w:r>
      <w:r>
        <w:rPr>
          <w:sz w:val="20"/>
        </w:rPr>
        <w:t>a</w:t>
      </w:r>
      <w:r>
        <w:rPr>
          <w:spacing w:val="-11"/>
          <w:sz w:val="20"/>
        </w:rPr>
        <w:t> </w:t>
      </w:r>
      <w:r>
        <w:rPr>
          <w:sz w:val="20"/>
        </w:rPr>
        <w:t>successful</w:t>
      </w:r>
      <w:r>
        <w:rPr>
          <w:spacing w:val="-10"/>
          <w:sz w:val="20"/>
        </w:rPr>
        <w:t> </w:t>
      </w:r>
      <w:r>
        <w:rPr>
          <w:sz w:val="20"/>
        </w:rPr>
        <w:t>case</w:t>
      </w:r>
      <w:r>
        <w:rPr>
          <w:spacing w:val="-11"/>
          <w:sz w:val="20"/>
        </w:rPr>
        <w:t> </w:t>
      </w:r>
      <w:r>
        <w:rPr>
          <w:sz w:val="20"/>
        </w:rPr>
        <w:t>outcome.</w:t>
      </w:r>
      <w:r>
        <w:rPr>
          <w:spacing w:val="-9"/>
          <w:sz w:val="20"/>
        </w:rPr>
        <w:t> </w:t>
      </w:r>
      <w:r>
        <w:rPr>
          <w:sz w:val="20"/>
        </w:rPr>
        <w:t>Those</w:t>
      </w:r>
      <w:r>
        <w:rPr>
          <w:spacing w:val="-10"/>
          <w:sz w:val="20"/>
        </w:rPr>
        <w:t> </w:t>
      </w:r>
      <w:r>
        <w:rPr>
          <w:sz w:val="20"/>
        </w:rPr>
        <w:t>who</w:t>
      </w:r>
      <w:r>
        <w:rPr>
          <w:spacing w:val="-11"/>
          <w:sz w:val="20"/>
        </w:rPr>
        <w:t> </w:t>
      </w:r>
      <w:r>
        <w:rPr>
          <w:sz w:val="20"/>
        </w:rPr>
        <w:t>had</w:t>
      </w:r>
      <w:r>
        <w:rPr>
          <w:spacing w:val="-9"/>
          <w:sz w:val="20"/>
        </w:rPr>
        <w:t> </w:t>
      </w:r>
      <w:r>
        <w:rPr>
          <w:sz w:val="20"/>
        </w:rPr>
        <w:t>worked</w:t>
      </w:r>
      <w:r>
        <w:rPr>
          <w:spacing w:val="-11"/>
          <w:sz w:val="20"/>
        </w:rPr>
        <w:t> </w:t>
      </w:r>
      <w:r>
        <w:rPr>
          <w:sz w:val="20"/>
        </w:rPr>
        <w:t>with</w:t>
      </w:r>
      <w:r>
        <w:rPr>
          <w:spacing w:val="-10"/>
          <w:sz w:val="20"/>
        </w:rPr>
        <w:t> </w:t>
      </w:r>
      <w:r>
        <w:rPr>
          <w:sz w:val="20"/>
        </w:rPr>
        <w:t>their</w:t>
      </w:r>
      <w:r>
        <w:rPr>
          <w:spacing w:val="-9"/>
          <w:sz w:val="20"/>
        </w:rPr>
        <w:t> </w:t>
      </w:r>
      <w:r>
        <w:rPr>
          <w:sz w:val="20"/>
        </w:rPr>
        <w:t>employer for</w:t>
      </w:r>
      <w:r>
        <w:rPr>
          <w:spacing w:val="-13"/>
          <w:sz w:val="20"/>
        </w:rPr>
        <w:t> </w:t>
      </w:r>
      <w:r>
        <w:rPr>
          <w:sz w:val="20"/>
        </w:rPr>
        <w:t>less</w:t>
      </w:r>
      <w:r>
        <w:rPr>
          <w:spacing w:val="-13"/>
          <w:sz w:val="20"/>
        </w:rPr>
        <w:t> </w:t>
      </w:r>
      <w:r>
        <w:rPr>
          <w:sz w:val="20"/>
        </w:rPr>
        <w:t>than</w:t>
      </w:r>
      <w:r>
        <w:rPr>
          <w:spacing w:val="-12"/>
          <w:sz w:val="20"/>
        </w:rPr>
        <w:t> </w:t>
      </w:r>
      <w:r>
        <w:rPr>
          <w:sz w:val="20"/>
        </w:rPr>
        <w:t>five</w:t>
      </w:r>
      <w:r>
        <w:rPr>
          <w:spacing w:val="-13"/>
          <w:sz w:val="20"/>
        </w:rPr>
        <w:t> </w:t>
      </w:r>
      <w:r>
        <w:rPr>
          <w:sz w:val="20"/>
        </w:rPr>
        <w:t>years</w:t>
      </w:r>
      <w:r>
        <w:rPr>
          <w:spacing w:val="-13"/>
          <w:sz w:val="20"/>
        </w:rPr>
        <w:t> </w:t>
      </w:r>
      <w:r>
        <w:rPr>
          <w:sz w:val="20"/>
        </w:rPr>
        <w:t>at</w:t>
      </w:r>
      <w:r>
        <w:rPr>
          <w:spacing w:val="-12"/>
          <w:sz w:val="20"/>
        </w:rPr>
        <w:t> </w:t>
      </w:r>
      <w:r>
        <w:rPr>
          <w:sz w:val="20"/>
        </w:rPr>
        <w:t>the</w:t>
      </w:r>
      <w:r>
        <w:rPr>
          <w:spacing w:val="-13"/>
          <w:sz w:val="20"/>
        </w:rPr>
        <w:t> </w:t>
      </w:r>
      <w:r>
        <w:rPr>
          <w:sz w:val="20"/>
        </w:rPr>
        <w:t>time</w:t>
      </w:r>
      <w:r>
        <w:rPr>
          <w:spacing w:val="-13"/>
          <w:sz w:val="20"/>
        </w:rPr>
        <w:t> </w:t>
      </w:r>
      <w:r>
        <w:rPr>
          <w:sz w:val="20"/>
        </w:rPr>
        <w:t>they</w:t>
      </w:r>
      <w:r>
        <w:rPr>
          <w:spacing w:val="-13"/>
          <w:sz w:val="20"/>
        </w:rPr>
        <w:t> </w:t>
      </w:r>
      <w:r>
        <w:rPr>
          <w:sz w:val="20"/>
        </w:rPr>
        <w:t>first</w:t>
      </w:r>
      <w:r>
        <w:rPr>
          <w:spacing w:val="-13"/>
          <w:sz w:val="20"/>
        </w:rPr>
        <w:t> </w:t>
      </w:r>
      <w:r>
        <w:rPr>
          <w:sz w:val="20"/>
        </w:rPr>
        <w:t>contacted</w:t>
      </w:r>
      <w:r>
        <w:rPr>
          <w:spacing w:val="-13"/>
          <w:sz w:val="20"/>
        </w:rPr>
        <w:t> </w:t>
      </w:r>
      <w:r>
        <w:rPr>
          <w:sz w:val="20"/>
        </w:rPr>
        <w:t>Acas</w:t>
      </w:r>
      <w:r>
        <w:rPr>
          <w:spacing w:val="-13"/>
          <w:sz w:val="20"/>
        </w:rPr>
        <w:t> </w:t>
      </w:r>
      <w:r>
        <w:rPr>
          <w:sz w:val="20"/>
        </w:rPr>
        <w:t>were</w:t>
      </w:r>
      <w:r>
        <w:rPr>
          <w:spacing w:val="-13"/>
          <w:sz w:val="20"/>
        </w:rPr>
        <w:t> </w:t>
      </w:r>
      <w:r>
        <w:rPr>
          <w:sz w:val="20"/>
        </w:rPr>
        <w:t>associated with a higher likelihood of successfully settling their case</w:t>
      </w:r>
    </w:p>
    <w:p>
      <w:pPr>
        <w:pStyle w:val="ListParagraph"/>
        <w:numPr>
          <w:ilvl w:val="0"/>
          <w:numId w:val="42"/>
        </w:numPr>
        <w:tabs>
          <w:tab w:pos="2058" w:val="left" w:leader="none"/>
        </w:tabs>
        <w:spacing w:line="240" w:lineRule="auto" w:before="0" w:after="0"/>
        <w:ind w:left="2057" w:right="1474" w:hanging="360"/>
        <w:jc w:val="both"/>
        <w:rPr>
          <w:sz w:val="20"/>
        </w:rPr>
      </w:pPr>
      <w:r>
        <w:rPr>
          <w:i/>
          <w:sz w:val="20"/>
        </w:rPr>
        <w:t>Employment type</w:t>
      </w:r>
      <w:r>
        <w:rPr>
          <w:sz w:val="20"/>
        </w:rPr>
        <w:t>: Full-time employees were correlated with a lower likelihood of settling their case successfully</w:t>
      </w:r>
    </w:p>
    <w:p>
      <w:pPr>
        <w:pStyle w:val="BodyText"/>
        <w:spacing w:before="6"/>
        <w:rPr>
          <w:sz w:val="19"/>
        </w:rPr>
      </w:pPr>
    </w:p>
    <w:p>
      <w:pPr>
        <w:pStyle w:val="Heading3"/>
        <w:ind w:right="1472"/>
        <w:jc w:val="left"/>
      </w:pPr>
      <w:r>
        <w:rPr/>
        <w:t>Figure</w:t>
      </w:r>
      <w:r>
        <w:rPr>
          <w:spacing w:val="40"/>
        </w:rPr>
        <w:t> </w:t>
      </w:r>
      <w:r>
        <w:rPr/>
        <w:t>33.</w:t>
      </w:r>
      <w:r>
        <w:rPr>
          <w:spacing w:val="40"/>
        </w:rPr>
        <w:t> </w:t>
      </w:r>
      <w:r>
        <w:rPr/>
        <w:t>Logistic</w:t>
      </w:r>
      <w:r>
        <w:rPr>
          <w:spacing w:val="40"/>
        </w:rPr>
        <w:t> </w:t>
      </w:r>
      <w:r>
        <w:rPr/>
        <w:t>regression</w:t>
      </w:r>
      <w:r>
        <w:rPr>
          <w:spacing w:val="40"/>
        </w:rPr>
        <w:t> </w:t>
      </w:r>
      <w:r>
        <w:rPr/>
        <w:t>results</w:t>
      </w:r>
      <w:r>
        <w:rPr>
          <w:spacing w:val="40"/>
        </w:rPr>
        <w:t> </w:t>
      </w:r>
      <w:r>
        <w:rPr/>
        <w:t>of</w:t>
      </w:r>
      <w:r>
        <w:rPr>
          <w:spacing w:val="40"/>
        </w:rPr>
        <w:t> </w:t>
      </w:r>
      <w:r>
        <w:rPr/>
        <w:t>external</w:t>
      </w:r>
      <w:r>
        <w:rPr>
          <w:spacing w:val="40"/>
        </w:rPr>
        <w:t> </w:t>
      </w:r>
      <w:r>
        <w:rPr/>
        <w:t>factors</w:t>
      </w:r>
      <w:r>
        <w:rPr>
          <w:spacing w:val="40"/>
        </w:rPr>
        <w:t> </w:t>
      </w:r>
      <w:r>
        <w:rPr/>
        <w:t>determining claimant settlement</w:t>
      </w:r>
    </w:p>
    <w:p>
      <w:pPr>
        <w:spacing w:after="0"/>
        <w:jc w:val="left"/>
        <w:sectPr>
          <w:pgSz w:w="11910" w:h="16840"/>
          <w:pgMar w:header="0" w:footer="996" w:top="1340" w:bottom="1180" w:left="460" w:right="320"/>
        </w:sectPr>
      </w:pPr>
    </w:p>
    <w:p>
      <w:pPr>
        <w:pStyle w:val="BodyText"/>
        <w:rPr>
          <w:b/>
          <w:sz w:val="18"/>
        </w:rPr>
      </w:pPr>
    </w:p>
    <w:p>
      <w:pPr>
        <w:pStyle w:val="BodyText"/>
        <w:rPr>
          <w:b/>
          <w:sz w:val="18"/>
        </w:rPr>
      </w:pPr>
    </w:p>
    <w:p>
      <w:pPr>
        <w:pStyle w:val="BodyText"/>
        <w:spacing w:before="9"/>
        <w:rPr>
          <w:b/>
          <w:sz w:val="16"/>
        </w:rPr>
      </w:pPr>
    </w:p>
    <w:p>
      <w:pPr>
        <w:spacing w:before="0"/>
        <w:ind w:left="0" w:right="1" w:firstLine="0"/>
        <w:jc w:val="right"/>
        <w:rPr>
          <w:sz w:val="16"/>
        </w:rPr>
      </w:pPr>
      <w:r>
        <w:rPr>
          <w:spacing w:val="-2"/>
          <w:sz w:val="16"/>
        </w:rPr>
        <w:t>Open</w:t>
      </w:r>
      <w:r>
        <w:rPr>
          <w:spacing w:val="-8"/>
          <w:sz w:val="16"/>
        </w:rPr>
        <w:t> </w:t>
      </w:r>
      <w:r>
        <w:rPr>
          <w:spacing w:val="-2"/>
          <w:sz w:val="16"/>
        </w:rPr>
        <w:t>track</w:t>
      </w:r>
      <w:r>
        <w:rPr>
          <w:spacing w:val="-12"/>
          <w:sz w:val="16"/>
        </w:rPr>
        <w:t> </w:t>
      </w:r>
      <w:r>
        <w:rPr>
          <w:spacing w:val="-4"/>
          <w:sz w:val="16"/>
        </w:rPr>
        <w:t>case</w:t>
      </w:r>
    </w:p>
    <w:p>
      <w:pPr>
        <w:pStyle w:val="BodyText"/>
        <w:rPr>
          <w:sz w:val="18"/>
        </w:rPr>
      </w:pPr>
    </w:p>
    <w:p>
      <w:pPr>
        <w:pStyle w:val="BodyText"/>
        <w:spacing w:before="4"/>
      </w:pPr>
    </w:p>
    <w:p>
      <w:pPr>
        <w:spacing w:line="223" w:lineRule="auto" w:before="0"/>
        <w:ind w:left="1755" w:right="0" w:firstLine="159"/>
        <w:jc w:val="left"/>
        <w:rPr>
          <w:sz w:val="16"/>
        </w:rPr>
      </w:pPr>
      <w:r>
        <w:rPr>
          <w:sz w:val="16"/>
        </w:rPr>
        <w:t>Worked</w:t>
      </w:r>
      <w:r>
        <w:rPr>
          <w:spacing w:val="-29"/>
          <w:sz w:val="16"/>
        </w:rPr>
        <w:t> </w:t>
      </w:r>
      <w:r>
        <w:rPr>
          <w:sz w:val="16"/>
        </w:rPr>
        <w:t>for</w:t>
      </w:r>
      <w:r>
        <w:rPr>
          <w:spacing w:val="-15"/>
          <w:sz w:val="16"/>
        </w:rPr>
        <w:t> </w:t>
      </w:r>
      <w:r>
        <w:rPr>
          <w:sz w:val="16"/>
        </w:rPr>
        <w:t>the</w:t>
      </w:r>
      <w:r>
        <w:rPr>
          <w:spacing w:val="-14"/>
          <w:sz w:val="16"/>
        </w:rPr>
        <w:t> </w:t>
      </w:r>
      <w:r>
        <w:rPr>
          <w:sz w:val="16"/>
        </w:rPr>
        <w:t>employer</w:t>
      </w:r>
      <w:r>
        <w:rPr>
          <w:spacing w:val="-19"/>
          <w:sz w:val="16"/>
        </w:rPr>
        <w:t> </w:t>
      </w:r>
      <w:r>
        <w:rPr>
          <w:sz w:val="16"/>
        </w:rPr>
        <w:t>for</w:t>
      </w:r>
      <w:r>
        <w:rPr>
          <w:spacing w:val="-19"/>
          <w:sz w:val="16"/>
        </w:rPr>
        <w:t> </w:t>
      </w:r>
      <w:r>
        <w:rPr>
          <w:sz w:val="16"/>
        </w:rPr>
        <w:t>less</w:t>
      </w:r>
      <w:r>
        <w:rPr>
          <w:spacing w:val="-14"/>
          <w:sz w:val="16"/>
        </w:rPr>
        <w:t> </w:t>
      </w:r>
      <w:r>
        <w:rPr>
          <w:sz w:val="16"/>
        </w:rPr>
        <w:t>than 5</w:t>
      </w:r>
      <w:r>
        <w:rPr>
          <w:spacing w:val="-15"/>
          <w:sz w:val="16"/>
        </w:rPr>
        <w:t> </w:t>
      </w:r>
      <w:r>
        <w:rPr>
          <w:sz w:val="16"/>
        </w:rPr>
        <w:t>years</w:t>
      </w:r>
      <w:r>
        <w:rPr>
          <w:spacing w:val="-13"/>
          <w:sz w:val="16"/>
        </w:rPr>
        <w:t> </w:t>
      </w:r>
      <w:r>
        <w:rPr>
          <w:sz w:val="16"/>
        </w:rPr>
        <w:t>at</w:t>
      </w:r>
      <w:r>
        <w:rPr>
          <w:spacing w:val="-8"/>
          <w:sz w:val="16"/>
        </w:rPr>
        <w:t> </w:t>
      </w:r>
      <w:r>
        <w:rPr>
          <w:sz w:val="16"/>
        </w:rPr>
        <w:t>the</w:t>
      </w:r>
      <w:r>
        <w:rPr>
          <w:spacing w:val="-8"/>
          <w:sz w:val="16"/>
        </w:rPr>
        <w:t> </w:t>
      </w:r>
      <w:r>
        <w:rPr>
          <w:sz w:val="16"/>
        </w:rPr>
        <w:t>time</w:t>
      </w:r>
      <w:r>
        <w:rPr>
          <w:spacing w:val="-8"/>
          <w:sz w:val="16"/>
        </w:rPr>
        <w:t> </w:t>
      </w:r>
      <w:r>
        <w:rPr>
          <w:sz w:val="16"/>
        </w:rPr>
        <w:t>of</w:t>
      </w:r>
      <w:r>
        <w:rPr>
          <w:spacing w:val="-17"/>
          <w:sz w:val="16"/>
        </w:rPr>
        <w:t> </w:t>
      </w:r>
      <w:r>
        <w:rPr>
          <w:sz w:val="16"/>
        </w:rPr>
        <w:t>contact</w:t>
      </w:r>
      <w:r>
        <w:rPr>
          <w:spacing w:val="-24"/>
          <w:sz w:val="16"/>
        </w:rPr>
        <w:t> </w:t>
      </w:r>
      <w:r>
        <w:rPr>
          <w:sz w:val="16"/>
        </w:rPr>
        <w:t>with</w:t>
      </w:r>
      <w:r>
        <w:rPr>
          <w:spacing w:val="-13"/>
          <w:sz w:val="16"/>
        </w:rPr>
        <w:t> </w:t>
      </w:r>
      <w:r>
        <w:rPr>
          <w:spacing w:val="-4"/>
          <w:sz w:val="16"/>
        </w:rPr>
        <w:t>Acas</w:t>
      </w:r>
    </w:p>
    <w:p>
      <w:pPr>
        <w:pStyle w:val="BodyText"/>
        <w:rPr>
          <w:sz w:val="18"/>
        </w:rPr>
      </w:pPr>
    </w:p>
    <w:p>
      <w:pPr>
        <w:pStyle w:val="BodyText"/>
        <w:spacing w:before="3"/>
      </w:pPr>
    </w:p>
    <w:p>
      <w:pPr>
        <w:spacing w:before="0"/>
        <w:ind w:left="0" w:right="6" w:firstLine="0"/>
        <w:jc w:val="right"/>
        <w:rPr>
          <w:sz w:val="16"/>
        </w:rPr>
      </w:pPr>
      <w:r>
        <w:rPr>
          <w:spacing w:val="-2"/>
          <w:sz w:val="16"/>
        </w:rPr>
        <w:t>Standard</w:t>
      </w:r>
      <w:r>
        <w:rPr>
          <w:spacing w:val="-8"/>
          <w:sz w:val="16"/>
        </w:rPr>
        <w:t> </w:t>
      </w:r>
      <w:r>
        <w:rPr>
          <w:spacing w:val="-2"/>
          <w:sz w:val="16"/>
        </w:rPr>
        <w:t>track</w:t>
      </w:r>
      <w:r>
        <w:rPr>
          <w:spacing w:val="-13"/>
          <w:sz w:val="16"/>
        </w:rPr>
        <w:t> </w:t>
      </w:r>
      <w:r>
        <w:rPr>
          <w:spacing w:val="-4"/>
          <w:sz w:val="16"/>
        </w:rPr>
        <w:t>case</w:t>
      </w:r>
    </w:p>
    <w:p>
      <w:pPr>
        <w:spacing w:line="223" w:lineRule="auto" w:before="94"/>
        <w:ind w:left="362" w:right="2281" w:firstLine="0"/>
        <w:jc w:val="left"/>
        <w:rPr>
          <w:b/>
          <w:i/>
          <w:sz w:val="16"/>
        </w:rPr>
      </w:pPr>
      <w:r>
        <w:rPr/>
        <w:br w:type="column"/>
      </w:r>
      <w:r>
        <w:rPr>
          <w:b/>
          <w:i/>
          <w:color w:val="74AA50"/>
          <w:spacing w:val="-2"/>
          <w:sz w:val="16"/>
        </w:rPr>
        <w:t>Claimant</w:t>
      </w:r>
      <w:r>
        <w:rPr>
          <w:b/>
          <w:i/>
          <w:color w:val="74AA50"/>
          <w:spacing w:val="-12"/>
          <w:sz w:val="16"/>
        </w:rPr>
        <w:t> </w:t>
      </w:r>
      <w:r>
        <w:rPr>
          <w:b/>
          <w:i/>
          <w:color w:val="74AA50"/>
          <w:spacing w:val="-2"/>
          <w:sz w:val="16"/>
          <w:u w:val="thick" w:color="74AA50"/>
        </w:rPr>
        <w:t>more</w:t>
      </w:r>
      <w:r>
        <w:rPr>
          <w:b/>
          <w:i/>
          <w:color w:val="74AA50"/>
          <w:spacing w:val="-12"/>
          <w:sz w:val="16"/>
        </w:rPr>
        <w:t> </w:t>
      </w:r>
      <w:r>
        <w:rPr>
          <w:b/>
          <w:i/>
          <w:color w:val="74AA50"/>
          <w:spacing w:val="-2"/>
          <w:sz w:val="16"/>
        </w:rPr>
        <w:t>likely</w:t>
      </w:r>
      <w:r>
        <w:rPr>
          <w:b/>
          <w:i/>
          <w:color w:val="74AA50"/>
          <w:spacing w:val="-4"/>
          <w:sz w:val="16"/>
        </w:rPr>
        <w:t> </w:t>
      </w:r>
      <w:r>
        <w:rPr>
          <w:b/>
          <w:i/>
          <w:color w:val="74AA50"/>
          <w:spacing w:val="-2"/>
          <w:sz w:val="16"/>
        </w:rPr>
        <w:t>to</w:t>
      </w:r>
      <w:r>
        <w:rPr>
          <w:b/>
          <w:i/>
          <w:color w:val="74AA50"/>
          <w:spacing w:val="-11"/>
          <w:sz w:val="16"/>
        </w:rPr>
        <w:t> </w:t>
      </w:r>
      <w:r>
        <w:rPr>
          <w:b/>
          <w:i/>
          <w:color w:val="74AA50"/>
          <w:spacing w:val="-2"/>
          <w:sz w:val="16"/>
        </w:rPr>
        <w:t>have</w:t>
      </w:r>
      <w:r>
        <w:rPr>
          <w:b/>
          <w:i/>
          <w:color w:val="74AA50"/>
          <w:spacing w:val="-12"/>
          <w:sz w:val="16"/>
        </w:rPr>
        <w:t> </w:t>
      </w:r>
      <w:r>
        <w:rPr>
          <w:b/>
          <w:i/>
          <w:color w:val="74AA50"/>
          <w:spacing w:val="-2"/>
          <w:sz w:val="16"/>
        </w:rPr>
        <w:t>reached</w:t>
      </w:r>
      <w:r>
        <w:rPr>
          <w:b/>
          <w:i/>
          <w:color w:val="74AA50"/>
          <w:spacing w:val="-12"/>
          <w:sz w:val="16"/>
        </w:rPr>
        <w:t> </w:t>
      </w:r>
      <w:r>
        <w:rPr>
          <w:b/>
          <w:i/>
          <w:color w:val="74AA50"/>
          <w:spacing w:val="-2"/>
          <w:sz w:val="16"/>
        </w:rPr>
        <w:t>a</w:t>
      </w:r>
      <w:r>
        <w:rPr>
          <w:b/>
          <w:i/>
          <w:color w:val="74AA50"/>
          <w:spacing w:val="-2"/>
          <w:sz w:val="16"/>
        </w:rPr>
        <w:t> settlement</w:t>
      </w: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spacing w:before="6"/>
        <w:rPr>
          <w:b/>
          <w:i/>
          <w:sz w:val="18"/>
        </w:rPr>
      </w:pPr>
    </w:p>
    <w:p>
      <w:pPr>
        <w:spacing w:line="223" w:lineRule="auto" w:before="0"/>
        <w:ind w:left="505" w:right="2281" w:firstLine="0"/>
        <w:jc w:val="left"/>
        <w:rPr>
          <w:sz w:val="16"/>
        </w:rPr>
      </w:pPr>
      <w:r>
        <w:rPr/>
        <w:pict>
          <v:group style="position:absolute;margin-left:207.637573pt;margin-top:-122.876434pt;width:199pt;height:150pt;mso-position-horizontal-relative:page;mso-position-vertical-relative:paragraph;z-index:-18059264" id="docshapegroup400" coordorigin="4153,-2458" coordsize="3980,3000">
            <v:shape style="position:absolute;left:5638;top:-2273;width:2494;height:1876" id="docshape401" coordorigin="5638,-2272" coordsize="2494,1876" path="m6721,-778l5638,-778,5638,-396,6721,-396,6721,-778xm7389,-1520l5638,-1520,5638,-1149,7389,-1149,7389,-1520xm8132,-2272l5638,-2272,5638,-1901,8132,-1901,8132,-2272xe" filled="true" fillcolor="#74aa50" stroked="false">
              <v:path arrowok="t"/>
              <v:fill type="solid"/>
            </v:shape>
            <v:rect style="position:absolute;left:4152;top:-26;width:1486;height:371" id="docshape402" filled="true" fillcolor="#ff575d" stroked="false">
              <v:fill type="solid"/>
            </v:rect>
            <v:line style="position:absolute" from="5633,542" to="5633,-2458" stroked="true" strokeweight=".531108pt" strokecolor="#ddddde">
              <v:stroke dashstyle="solid"/>
            </v:line>
            <w10:wrap type="none"/>
          </v:group>
        </w:pict>
      </w:r>
      <w:r>
        <w:rPr>
          <w:sz w:val="16"/>
        </w:rPr>
        <w:t>Full</w:t>
      </w:r>
      <w:r>
        <w:rPr>
          <w:spacing w:val="-14"/>
          <w:sz w:val="16"/>
        </w:rPr>
        <w:t> </w:t>
      </w:r>
      <w:r>
        <w:rPr>
          <w:sz w:val="16"/>
        </w:rPr>
        <w:t>time</w:t>
      </w:r>
      <w:r>
        <w:rPr>
          <w:spacing w:val="-14"/>
          <w:sz w:val="16"/>
        </w:rPr>
        <w:t> </w:t>
      </w:r>
      <w:r>
        <w:rPr>
          <w:sz w:val="16"/>
        </w:rPr>
        <w:t>employee</w:t>
      </w:r>
      <w:r>
        <w:rPr>
          <w:spacing w:val="-24"/>
          <w:sz w:val="16"/>
        </w:rPr>
        <w:t> </w:t>
      </w:r>
      <w:r>
        <w:rPr>
          <w:sz w:val="16"/>
        </w:rPr>
        <w:t>at</w:t>
      </w:r>
      <w:r>
        <w:rPr>
          <w:spacing w:val="-14"/>
          <w:sz w:val="16"/>
        </w:rPr>
        <w:t> </w:t>
      </w:r>
      <w:r>
        <w:rPr>
          <w:sz w:val="16"/>
        </w:rPr>
        <w:t>the</w:t>
      </w:r>
      <w:r>
        <w:rPr>
          <w:spacing w:val="-14"/>
          <w:sz w:val="16"/>
        </w:rPr>
        <w:t> </w:t>
      </w:r>
      <w:r>
        <w:rPr>
          <w:sz w:val="16"/>
        </w:rPr>
        <w:t>time</w:t>
      </w:r>
      <w:r>
        <w:rPr>
          <w:spacing w:val="-14"/>
          <w:sz w:val="16"/>
        </w:rPr>
        <w:t> </w:t>
      </w:r>
      <w:r>
        <w:rPr>
          <w:sz w:val="16"/>
        </w:rPr>
        <w:t>of contacting Acas</w:t>
      </w:r>
    </w:p>
    <w:p>
      <w:pPr>
        <w:spacing w:after="0" w:line="223" w:lineRule="auto"/>
        <w:jc w:val="left"/>
        <w:rPr>
          <w:sz w:val="16"/>
        </w:rPr>
        <w:sectPr>
          <w:type w:val="continuous"/>
          <w:pgSz w:w="11910" w:h="16840"/>
          <w:pgMar w:header="0" w:footer="996" w:top="560" w:bottom="280" w:left="460" w:right="320"/>
          <w:cols w:num="2" w:equalWidth="0">
            <w:col w:w="4902" w:space="40"/>
            <w:col w:w="6188"/>
          </w:cols>
        </w:sectPr>
      </w:pPr>
    </w:p>
    <w:p>
      <w:pPr>
        <w:pStyle w:val="BodyText"/>
        <w:spacing w:before="7"/>
        <w:rPr>
          <w:sz w:val="21"/>
        </w:rPr>
      </w:pPr>
    </w:p>
    <w:p>
      <w:pPr>
        <w:spacing w:line="187" w:lineRule="exact" w:before="100"/>
        <w:ind w:left="0" w:right="6021" w:firstLine="0"/>
        <w:jc w:val="right"/>
        <w:rPr>
          <w:b/>
          <w:i/>
          <w:sz w:val="16"/>
        </w:rPr>
      </w:pPr>
      <w:r>
        <w:rPr>
          <w:b/>
          <w:i/>
          <w:color w:val="FF575D"/>
          <w:spacing w:val="-2"/>
          <w:sz w:val="16"/>
        </w:rPr>
        <w:t>Claimant</w:t>
      </w:r>
      <w:r>
        <w:rPr>
          <w:b/>
          <w:i/>
          <w:color w:val="FF575D"/>
          <w:spacing w:val="-12"/>
          <w:sz w:val="16"/>
        </w:rPr>
        <w:t> </w:t>
      </w:r>
      <w:r>
        <w:rPr>
          <w:b/>
          <w:i/>
          <w:color w:val="FF575D"/>
          <w:spacing w:val="-2"/>
          <w:sz w:val="16"/>
          <w:u w:val="thick" w:color="FF575D"/>
        </w:rPr>
        <w:t>less</w:t>
      </w:r>
      <w:r>
        <w:rPr>
          <w:b/>
          <w:i/>
          <w:color w:val="FF575D"/>
          <w:spacing w:val="-12"/>
          <w:sz w:val="16"/>
        </w:rPr>
        <w:t> </w:t>
      </w:r>
      <w:r>
        <w:rPr>
          <w:b/>
          <w:i/>
          <w:color w:val="FF575D"/>
          <w:spacing w:val="-2"/>
          <w:sz w:val="16"/>
        </w:rPr>
        <w:t>likely</w:t>
      </w:r>
      <w:r>
        <w:rPr>
          <w:b/>
          <w:i/>
          <w:color w:val="FF575D"/>
          <w:spacing w:val="-1"/>
          <w:sz w:val="16"/>
        </w:rPr>
        <w:t> </w:t>
      </w:r>
      <w:r>
        <w:rPr>
          <w:b/>
          <w:i/>
          <w:color w:val="FF575D"/>
          <w:spacing w:val="-2"/>
          <w:sz w:val="16"/>
        </w:rPr>
        <w:t>to</w:t>
      </w:r>
      <w:r>
        <w:rPr>
          <w:b/>
          <w:i/>
          <w:color w:val="FF575D"/>
          <w:spacing w:val="-11"/>
          <w:sz w:val="16"/>
        </w:rPr>
        <w:t> </w:t>
      </w:r>
      <w:r>
        <w:rPr>
          <w:b/>
          <w:i/>
          <w:color w:val="FF575D"/>
          <w:spacing w:val="-2"/>
          <w:sz w:val="16"/>
        </w:rPr>
        <w:t>have</w:t>
      </w:r>
      <w:r>
        <w:rPr>
          <w:b/>
          <w:i/>
          <w:color w:val="FF575D"/>
          <w:spacing w:val="-12"/>
          <w:sz w:val="16"/>
        </w:rPr>
        <w:t> </w:t>
      </w:r>
      <w:r>
        <w:rPr>
          <w:b/>
          <w:i/>
          <w:color w:val="FF575D"/>
          <w:spacing w:val="-2"/>
          <w:sz w:val="16"/>
        </w:rPr>
        <w:t>reached</w:t>
      </w:r>
      <w:r>
        <w:rPr>
          <w:b/>
          <w:i/>
          <w:color w:val="FF575D"/>
          <w:spacing w:val="-12"/>
          <w:sz w:val="16"/>
        </w:rPr>
        <w:t> </w:t>
      </w:r>
      <w:r>
        <w:rPr>
          <w:b/>
          <w:i/>
          <w:color w:val="FF575D"/>
          <w:spacing w:val="-10"/>
          <w:sz w:val="16"/>
        </w:rPr>
        <w:t>a</w:t>
      </w:r>
    </w:p>
    <w:p>
      <w:pPr>
        <w:spacing w:line="187" w:lineRule="exact" w:before="0"/>
        <w:ind w:left="0" w:right="6023" w:firstLine="0"/>
        <w:jc w:val="right"/>
        <w:rPr>
          <w:b/>
          <w:i/>
          <w:sz w:val="16"/>
        </w:rPr>
      </w:pPr>
      <w:r>
        <w:rPr>
          <w:b/>
          <w:i/>
          <w:color w:val="FF575D"/>
          <w:spacing w:val="-2"/>
          <w:sz w:val="16"/>
        </w:rPr>
        <w:t>settlement</w:t>
      </w:r>
    </w:p>
    <w:p>
      <w:pPr>
        <w:pStyle w:val="BodyText"/>
        <w:rPr>
          <w:b/>
          <w:i/>
          <w:sz w:val="18"/>
        </w:rPr>
      </w:pPr>
    </w:p>
    <w:p>
      <w:pPr>
        <w:pStyle w:val="Heading4"/>
        <w:spacing w:line="243" w:lineRule="exact" w:before="122"/>
        <w:jc w:val="left"/>
        <w:rPr>
          <w:i/>
        </w:rPr>
      </w:pPr>
      <w:bookmarkStart w:name="Among employers – internal factors" w:id="198"/>
      <w:bookmarkEnd w:id="198"/>
      <w:r>
        <w:rPr>
          <w:b w:val="0"/>
          <w:i w:val="0"/>
        </w:rPr>
      </w:r>
      <w:r>
        <w:rPr>
          <w:i/>
        </w:rPr>
        <w:t>Among</w:t>
      </w:r>
      <w:r>
        <w:rPr>
          <w:i/>
          <w:spacing w:val="-6"/>
        </w:rPr>
        <w:t> </w:t>
      </w:r>
      <w:r>
        <w:rPr>
          <w:i/>
        </w:rPr>
        <w:t>employers</w:t>
      </w:r>
      <w:r>
        <w:rPr>
          <w:i/>
          <w:spacing w:val="-6"/>
        </w:rPr>
        <w:t> </w:t>
      </w:r>
      <w:r>
        <w:rPr>
          <w:i/>
        </w:rPr>
        <w:t>–</w:t>
      </w:r>
      <w:r>
        <w:rPr>
          <w:i/>
          <w:spacing w:val="-4"/>
        </w:rPr>
        <w:t> </w:t>
      </w:r>
      <w:r>
        <w:rPr>
          <w:i/>
        </w:rPr>
        <w:t>internal</w:t>
      </w:r>
      <w:r>
        <w:rPr>
          <w:i/>
          <w:spacing w:val="-4"/>
        </w:rPr>
        <w:t> </w:t>
      </w:r>
      <w:r>
        <w:rPr>
          <w:i/>
          <w:spacing w:val="-2"/>
        </w:rPr>
        <w:t>factors</w:t>
      </w:r>
    </w:p>
    <w:p>
      <w:pPr>
        <w:pStyle w:val="BodyText"/>
        <w:ind w:left="1337" w:right="1472"/>
      </w:pPr>
      <w:r>
        <w:rPr/>
        <w:t>The independent internal variables which were found to be determinants of whether</w:t>
      </w:r>
      <w:r>
        <w:rPr>
          <w:spacing w:val="-3"/>
        </w:rPr>
        <w:t> </w:t>
      </w:r>
      <w:r>
        <w:rPr/>
        <w:t>employers</w:t>
      </w:r>
      <w:r>
        <w:rPr>
          <w:spacing w:val="-3"/>
        </w:rPr>
        <w:t> </w:t>
      </w:r>
      <w:r>
        <w:rPr/>
        <w:t>successfully</w:t>
      </w:r>
      <w:r>
        <w:rPr>
          <w:spacing w:val="-3"/>
        </w:rPr>
        <w:t> </w:t>
      </w:r>
      <w:r>
        <w:rPr/>
        <w:t>settled</w:t>
      </w:r>
      <w:r>
        <w:rPr>
          <w:spacing w:val="-3"/>
        </w:rPr>
        <w:t> </w:t>
      </w:r>
      <w:r>
        <w:rPr/>
        <w:t>their</w:t>
      </w:r>
      <w:r>
        <w:rPr>
          <w:spacing w:val="-3"/>
        </w:rPr>
        <w:t> </w:t>
      </w:r>
      <w:r>
        <w:rPr/>
        <w:t>case</w:t>
      </w:r>
      <w:r>
        <w:rPr>
          <w:spacing w:val="-3"/>
        </w:rPr>
        <w:t> </w:t>
      </w:r>
      <w:r>
        <w:rPr/>
        <w:t>are</w:t>
      </w:r>
      <w:r>
        <w:rPr>
          <w:spacing w:val="-3"/>
        </w:rPr>
        <w:t> </w:t>
      </w:r>
      <w:r>
        <w:rPr/>
        <w:t>listed</w:t>
      </w:r>
      <w:r>
        <w:rPr>
          <w:spacing w:val="-3"/>
        </w:rPr>
        <w:t> </w:t>
      </w:r>
      <w:r>
        <w:rPr/>
        <w:t>below</w:t>
      </w:r>
      <w:r>
        <w:rPr>
          <w:spacing w:val="-3"/>
        </w:rPr>
        <w:t> </w:t>
      </w:r>
      <w:r>
        <w:rPr/>
        <w:t>in</w:t>
      </w:r>
      <w:r>
        <w:rPr>
          <w:spacing w:val="-3"/>
        </w:rPr>
        <w:t> </w:t>
      </w:r>
      <w:r>
        <w:rPr/>
        <w:t>order</w:t>
      </w:r>
      <w:r>
        <w:rPr>
          <w:spacing w:val="-3"/>
        </w:rPr>
        <w:t> </w:t>
      </w:r>
      <w:r>
        <w:rPr/>
        <w:t>of predictive strength:</w:t>
      </w:r>
    </w:p>
    <w:p>
      <w:pPr>
        <w:pStyle w:val="BodyText"/>
        <w:spacing w:before="12"/>
        <w:rPr>
          <w:sz w:val="19"/>
        </w:rPr>
      </w:pPr>
    </w:p>
    <w:p>
      <w:pPr>
        <w:pStyle w:val="ListParagraph"/>
        <w:numPr>
          <w:ilvl w:val="0"/>
          <w:numId w:val="42"/>
        </w:numPr>
        <w:tabs>
          <w:tab w:pos="2058" w:val="left" w:leader="none"/>
        </w:tabs>
        <w:spacing w:line="240" w:lineRule="auto" w:before="0" w:after="0"/>
        <w:ind w:left="2057" w:right="1475" w:hanging="360"/>
        <w:jc w:val="both"/>
        <w:rPr>
          <w:sz w:val="20"/>
        </w:rPr>
      </w:pPr>
      <w:r>
        <w:rPr>
          <w:i/>
          <w:sz w:val="20"/>
        </w:rPr>
        <w:t>Feeling Acas was important in moving the parties closer together</w:t>
      </w:r>
      <w:r>
        <w:rPr>
          <w:sz w:val="20"/>
        </w:rPr>
        <w:t>: Rating Acas’ ability to bring the two sides together as important to resolving the case was associated with a successful case resolution.</w:t>
      </w:r>
    </w:p>
    <w:p>
      <w:pPr>
        <w:pStyle w:val="ListParagraph"/>
        <w:numPr>
          <w:ilvl w:val="0"/>
          <w:numId w:val="42"/>
        </w:numPr>
        <w:tabs>
          <w:tab w:pos="2058" w:val="left" w:leader="none"/>
        </w:tabs>
        <w:spacing w:line="240" w:lineRule="auto" w:before="0" w:after="0"/>
        <w:ind w:left="2057" w:right="1474" w:hanging="360"/>
        <w:jc w:val="both"/>
        <w:rPr>
          <w:sz w:val="20"/>
        </w:rPr>
      </w:pPr>
      <w:r>
        <w:rPr>
          <w:i/>
          <w:sz w:val="20"/>
        </w:rPr>
        <w:t>Availability of the Acas Conciliator</w:t>
      </w:r>
      <w:r>
        <w:rPr>
          <w:sz w:val="20"/>
        </w:rPr>
        <w:t>: If employers felt that their conciliators were</w:t>
      </w:r>
      <w:r>
        <w:rPr>
          <w:spacing w:val="-18"/>
          <w:sz w:val="20"/>
        </w:rPr>
        <w:t> </w:t>
      </w:r>
      <w:r>
        <w:rPr>
          <w:sz w:val="20"/>
        </w:rPr>
        <w:t>‘always,</w:t>
      </w:r>
      <w:r>
        <w:rPr>
          <w:spacing w:val="-18"/>
          <w:sz w:val="20"/>
        </w:rPr>
        <w:t> </w:t>
      </w:r>
      <w:r>
        <w:rPr>
          <w:sz w:val="20"/>
        </w:rPr>
        <w:t>‘usually’</w:t>
      </w:r>
      <w:r>
        <w:rPr>
          <w:spacing w:val="-17"/>
          <w:sz w:val="20"/>
        </w:rPr>
        <w:t> </w:t>
      </w:r>
      <w:r>
        <w:rPr>
          <w:sz w:val="20"/>
        </w:rPr>
        <w:t>or</w:t>
      </w:r>
      <w:r>
        <w:rPr>
          <w:spacing w:val="-18"/>
          <w:sz w:val="20"/>
        </w:rPr>
        <w:t> </w:t>
      </w:r>
      <w:r>
        <w:rPr>
          <w:sz w:val="20"/>
        </w:rPr>
        <w:t>‘sometimes’</w:t>
      </w:r>
      <w:r>
        <w:rPr>
          <w:spacing w:val="-17"/>
          <w:sz w:val="20"/>
        </w:rPr>
        <w:t> </w:t>
      </w:r>
      <w:r>
        <w:rPr>
          <w:sz w:val="20"/>
        </w:rPr>
        <w:t>available</w:t>
      </w:r>
      <w:r>
        <w:rPr>
          <w:spacing w:val="-18"/>
          <w:sz w:val="20"/>
        </w:rPr>
        <w:t> </w:t>
      </w:r>
      <w:r>
        <w:rPr>
          <w:sz w:val="20"/>
        </w:rPr>
        <w:t>when</w:t>
      </w:r>
      <w:r>
        <w:rPr>
          <w:spacing w:val="-18"/>
          <w:sz w:val="20"/>
        </w:rPr>
        <w:t> </w:t>
      </w:r>
      <w:r>
        <w:rPr>
          <w:sz w:val="20"/>
        </w:rPr>
        <w:t>needed</w:t>
      </w:r>
      <w:r>
        <w:rPr>
          <w:spacing w:val="-17"/>
          <w:sz w:val="20"/>
        </w:rPr>
        <w:t> </w:t>
      </w:r>
      <w:r>
        <w:rPr>
          <w:sz w:val="20"/>
        </w:rPr>
        <w:t>then</w:t>
      </w:r>
      <w:r>
        <w:rPr>
          <w:spacing w:val="-18"/>
          <w:sz w:val="20"/>
        </w:rPr>
        <w:t> </w:t>
      </w:r>
      <w:r>
        <w:rPr>
          <w:sz w:val="20"/>
        </w:rPr>
        <w:t>they</w:t>
      </w:r>
      <w:r>
        <w:rPr>
          <w:spacing w:val="-17"/>
          <w:sz w:val="20"/>
        </w:rPr>
        <w:t> </w:t>
      </w:r>
      <w:r>
        <w:rPr>
          <w:sz w:val="20"/>
        </w:rPr>
        <w:t>were associated with a higher likelihood of a successful case resolution</w:t>
      </w:r>
    </w:p>
    <w:p>
      <w:pPr>
        <w:pStyle w:val="ListParagraph"/>
        <w:numPr>
          <w:ilvl w:val="0"/>
          <w:numId w:val="42"/>
        </w:numPr>
        <w:tabs>
          <w:tab w:pos="2057" w:val="left" w:leader="none"/>
        </w:tabs>
        <w:spacing w:line="240" w:lineRule="auto" w:before="0" w:after="0"/>
        <w:ind w:left="2056" w:right="1473" w:hanging="360"/>
        <w:jc w:val="both"/>
        <w:rPr>
          <w:sz w:val="20"/>
        </w:rPr>
      </w:pPr>
      <w:r>
        <w:rPr>
          <w:i/>
          <w:sz w:val="20"/>
        </w:rPr>
        <w:t>Proactive contact with Acas</w:t>
      </w:r>
      <w:r>
        <w:rPr>
          <w:sz w:val="20"/>
        </w:rPr>
        <w:t>: A higher likelihood of a successful dispute outcome was also associated with cases where employers said that they contacted Acas as much as Acas contacted them. Another correlation – which</w:t>
      </w:r>
      <w:r>
        <w:rPr>
          <w:spacing w:val="-18"/>
          <w:sz w:val="20"/>
        </w:rPr>
        <w:t> </w:t>
      </w:r>
      <w:r>
        <w:rPr>
          <w:sz w:val="20"/>
        </w:rPr>
        <w:t>was</w:t>
      </w:r>
      <w:r>
        <w:rPr>
          <w:spacing w:val="-17"/>
          <w:sz w:val="20"/>
        </w:rPr>
        <w:t> </w:t>
      </w:r>
      <w:r>
        <w:rPr>
          <w:sz w:val="20"/>
        </w:rPr>
        <w:t>not</w:t>
      </w:r>
      <w:r>
        <w:rPr>
          <w:spacing w:val="-16"/>
          <w:sz w:val="20"/>
        </w:rPr>
        <w:t> </w:t>
      </w:r>
      <w:r>
        <w:rPr>
          <w:sz w:val="20"/>
        </w:rPr>
        <w:t>statistically</w:t>
      </w:r>
      <w:r>
        <w:rPr>
          <w:spacing w:val="-16"/>
          <w:sz w:val="20"/>
        </w:rPr>
        <w:t> </w:t>
      </w:r>
      <w:r>
        <w:rPr>
          <w:sz w:val="20"/>
        </w:rPr>
        <w:t>significant</w:t>
      </w:r>
      <w:r>
        <w:rPr>
          <w:spacing w:val="-15"/>
          <w:sz w:val="20"/>
        </w:rPr>
        <w:t> </w:t>
      </w:r>
      <w:r>
        <w:rPr>
          <w:sz w:val="20"/>
        </w:rPr>
        <w:t>–</w:t>
      </w:r>
      <w:r>
        <w:rPr>
          <w:spacing w:val="-16"/>
          <w:sz w:val="20"/>
        </w:rPr>
        <w:t> </w:t>
      </w:r>
      <w:r>
        <w:rPr>
          <w:sz w:val="20"/>
        </w:rPr>
        <w:t>associated</w:t>
      </w:r>
      <w:r>
        <w:rPr>
          <w:spacing w:val="-16"/>
          <w:sz w:val="20"/>
        </w:rPr>
        <w:t> </w:t>
      </w:r>
      <w:r>
        <w:rPr>
          <w:sz w:val="20"/>
        </w:rPr>
        <w:t>those</w:t>
      </w:r>
      <w:r>
        <w:rPr>
          <w:spacing w:val="-18"/>
          <w:sz w:val="20"/>
        </w:rPr>
        <w:t> </w:t>
      </w:r>
      <w:r>
        <w:rPr>
          <w:sz w:val="20"/>
        </w:rPr>
        <w:t>who</w:t>
      </w:r>
      <w:r>
        <w:rPr>
          <w:spacing w:val="-17"/>
          <w:sz w:val="20"/>
        </w:rPr>
        <w:t> </w:t>
      </w:r>
      <w:r>
        <w:rPr>
          <w:sz w:val="20"/>
        </w:rPr>
        <w:t>contacted</w:t>
      </w:r>
      <w:r>
        <w:rPr>
          <w:spacing w:val="-17"/>
          <w:sz w:val="20"/>
        </w:rPr>
        <w:t> </w:t>
      </w:r>
      <w:r>
        <w:rPr>
          <w:sz w:val="20"/>
        </w:rPr>
        <w:t>Acas most of the</w:t>
      </w:r>
      <w:r>
        <w:rPr>
          <w:spacing w:val="-1"/>
          <w:sz w:val="20"/>
        </w:rPr>
        <w:t> </w:t>
      </w:r>
      <w:r>
        <w:rPr>
          <w:sz w:val="20"/>
        </w:rPr>
        <w:t>time with a</w:t>
      </w:r>
      <w:r>
        <w:rPr>
          <w:spacing w:val="-1"/>
          <w:sz w:val="20"/>
        </w:rPr>
        <w:t> </w:t>
      </w:r>
      <w:r>
        <w:rPr>
          <w:sz w:val="20"/>
        </w:rPr>
        <w:t>higher</w:t>
      </w:r>
      <w:r>
        <w:rPr>
          <w:spacing w:val="-1"/>
          <w:sz w:val="20"/>
        </w:rPr>
        <w:t> </w:t>
      </w:r>
      <w:r>
        <w:rPr>
          <w:sz w:val="20"/>
        </w:rPr>
        <w:t>likelihood of a</w:t>
      </w:r>
      <w:r>
        <w:rPr>
          <w:spacing w:val="-1"/>
          <w:sz w:val="20"/>
        </w:rPr>
        <w:t> </w:t>
      </w:r>
      <w:r>
        <w:rPr>
          <w:sz w:val="20"/>
        </w:rPr>
        <w:t>positive outcome, suggesting that</w:t>
      </w:r>
      <w:r>
        <w:rPr>
          <w:spacing w:val="-16"/>
          <w:sz w:val="20"/>
        </w:rPr>
        <w:t> </w:t>
      </w:r>
      <w:r>
        <w:rPr>
          <w:sz w:val="20"/>
        </w:rPr>
        <w:t>the</w:t>
      </w:r>
      <w:r>
        <w:rPr>
          <w:spacing w:val="-16"/>
          <w:sz w:val="20"/>
        </w:rPr>
        <w:t> </w:t>
      </w:r>
      <w:r>
        <w:rPr>
          <w:sz w:val="20"/>
        </w:rPr>
        <w:t>main</w:t>
      </w:r>
      <w:r>
        <w:rPr>
          <w:spacing w:val="-15"/>
          <w:sz w:val="20"/>
        </w:rPr>
        <w:t> </w:t>
      </w:r>
      <w:r>
        <w:rPr>
          <w:sz w:val="20"/>
        </w:rPr>
        <w:t>difference</w:t>
      </w:r>
      <w:r>
        <w:rPr>
          <w:spacing w:val="-17"/>
          <w:sz w:val="20"/>
        </w:rPr>
        <w:t> </w:t>
      </w:r>
      <w:r>
        <w:rPr>
          <w:sz w:val="20"/>
        </w:rPr>
        <w:t>here</w:t>
      </w:r>
      <w:r>
        <w:rPr>
          <w:spacing w:val="-16"/>
          <w:sz w:val="20"/>
        </w:rPr>
        <w:t> </w:t>
      </w:r>
      <w:r>
        <w:rPr>
          <w:sz w:val="20"/>
        </w:rPr>
        <w:t>lies</w:t>
      </w:r>
      <w:r>
        <w:rPr>
          <w:spacing w:val="-15"/>
          <w:sz w:val="20"/>
        </w:rPr>
        <w:t> </w:t>
      </w:r>
      <w:r>
        <w:rPr>
          <w:sz w:val="20"/>
        </w:rPr>
        <w:t>between</w:t>
      </w:r>
      <w:r>
        <w:rPr>
          <w:spacing w:val="-15"/>
          <w:sz w:val="20"/>
        </w:rPr>
        <w:t> </w:t>
      </w:r>
      <w:r>
        <w:rPr>
          <w:sz w:val="20"/>
        </w:rPr>
        <w:t>these</w:t>
      </w:r>
      <w:r>
        <w:rPr>
          <w:spacing w:val="-17"/>
          <w:sz w:val="20"/>
        </w:rPr>
        <w:t> </w:t>
      </w:r>
      <w:r>
        <w:rPr>
          <w:sz w:val="20"/>
        </w:rPr>
        <w:t>two</w:t>
      </w:r>
      <w:r>
        <w:rPr>
          <w:spacing w:val="-16"/>
          <w:sz w:val="20"/>
        </w:rPr>
        <w:t> </w:t>
      </w:r>
      <w:r>
        <w:rPr>
          <w:sz w:val="20"/>
        </w:rPr>
        <w:t>groups</w:t>
      </w:r>
      <w:r>
        <w:rPr>
          <w:spacing w:val="-16"/>
          <w:sz w:val="20"/>
        </w:rPr>
        <w:t> </w:t>
      </w:r>
      <w:r>
        <w:rPr>
          <w:sz w:val="20"/>
        </w:rPr>
        <w:t>and</w:t>
      </w:r>
      <w:r>
        <w:rPr>
          <w:spacing w:val="-15"/>
          <w:sz w:val="20"/>
        </w:rPr>
        <w:t> </w:t>
      </w:r>
      <w:r>
        <w:rPr>
          <w:sz w:val="20"/>
        </w:rPr>
        <w:t>those</w:t>
      </w:r>
      <w:r>
        <w:rPr>
          <w:spacing w:val="-16"/>
          <w:sz w:val="20"/>
        </w:rPr>
        <w:t> </w:t>
      </w:r>
      <w:r>
        <w:rPr>
          <w:sz w:val="20"/>
        </w:rPr>
        <w:t>other employers who said that Acas normally got in touch with them about the </w:t>
      </w:r>
      <w:r>
        <w:rPr>
          <w:spacing w:val="-2"/>
          <w:sz w:val="20"/>
        </w:rPr>
        <w:t>case.</w:t>
      </w:r>
    </w:p>
    <w:p>
      <w:pPr>
        <w:spacing w:after="0" w:line="240" w:lineRule="auto"/>
        <w:jc w:val="both"/>
        <w:rPr>
          <w:sz w:val="20"/>
        </w:rPr>
        <w:sectPr>
          <w:type w:val="continuous"/>
          <w:pgSz w:w="11910" w:h="16840"/>
          <w:pgMar w:header="0" w:footer="996" w:top="560" w:bottom="280" w:left="460" w:right="320"/>
        </w:sectPr>
      </w:pPr>
    </w:p>
    <w:p>
      <w:pPr>
        <w:pStyle w:val="Heading3"/>
        <w:spacing w:before="82"/>
        <w:ind w:right="1472" w:hanging="1"/>
        <w:jc w:val="left"/>
      </w:pPr>
      <w:r>
        <w:rPr/>
        <w:t>Figure</w:t>
      </w:r>
      <w:r>
        <w:rPr>
          <w:spacing w:val="40"/>
        </w:rPr>
        <w:t> </w:t>
      </w:r>
      <w:r>
        <w:rPr/>
        <w:t>34.</w:t>
      </w:r>
      <w:r>
        <w:rPr>
          <w:spacing w:val="40"/>
        </w:rPr>
        <w:t> </w:t>
      </w:r>
      <w:r>
        <w:rPr/>
        <w:t>Logistic</w:t>
      </w:r>
      <w:r>
        <w:rPr>
          <w:spacing w:val="40"/>
        </w:rPr>
        <w:t> </w:t>
      </w:r>
      <w:r>
        <w:rPr/>
        <w:t>regression</w:t>
      </w:r>
      <w:r>
        <w:rPr>
          <w:spacing w:val="40"/>
        </w:rPr>
        <w:t> </w:t>
      </w:r>
      <w:r>
        <w:rPr/>
        <w:t>results</w:t>
      </w:r>
      <w:r>
        <w:rPr>
          <w:spacing w:val="40"/>
        </w:rPr>
        <w:t> </w:t>
      </w:r>
      <w:r>
        <w:rPr/>
        <w:t>of</w:t>
      </w:r>
      <w:r>
        <w:rPr>
          <w:spacing w:val="40"/>
        </w:rPr>
        <w:t> </w:t>
      </w:r>
      <w:r>
        <w:rPr/>
        <w:t>internal</w:t>
      </w:r>
      <w:r>
        <w:rPr>
          <w:spacing w:val="40"/>
        </w:rPr>
        <w:t> </w:t>
      </w:r>
      <w:r>
        <w:rPr/>
        <w:t>factors</w:t>
      </w:r>
      <w:r>
        <w:rPr>
          <w:spacing w:val="40"/>
        </w:rPr>
        <w:t> </w:t>
      </w:r>
      <w:r>
        <w:rPr/>
        <w:t>determining</w:t>
      </w:r>
      <w:r>
        <w:rPr>
          <w:spacing w:val="40"/>
        </w:rPr>
        <w:t> </w:t>
      </w:r>
      <w:r>
        <w:rPr/>
        <w:t>employer settlement</w:t>
      </w:r>
    </w:p>
    <w:p>
      <w:pPr>
        <w:spacing w:line="225" w:lineRule="auto" w:before="60"/>
        <w:ind w:left="4946" w:right="2897" w:firstLine="0"/>
        <w:jc w:val="left"/>
        <w:rPr>
          <w:b/>
          <w:i/>
          <w:sz w:val="15"/>
        </w:rPr>
      </w:pPr>
      <w:r>
        <w:rPr>
          <w:b/>
          <w:i/>
          <w:color w:val="74AA50"/>
          <w:sz w:val="15"/>
        </w:rPr>
        <w:t>Employer</w:t>
      </w:r>
      <w:r>
        <w:rPr>
          <w:b/>
          <w:i/>
          <w:color w:val="74AA50"/>
          <w:spacing w:val="-13"/>
          <w:sz w:val="15"/>
        </w:rPr>
        <w:t> </w:t>
      </w:r>
      <w:r>
        <w:rPr>
          <w:b/>
          <w:i/>
          <w:color w:val="74AA50"/>
          <w:sz w:val="15"/>
          <w:u w:val="thick" w:color="74AA50"/>
        </w:rPr>
        <w:t>more</w:t>
      </w:r>
      <w:r>
        <w:rPr>
          <w:b/>
          <w:i/>
          <w:color w:val="74AA50"/>
          <w:spacing w:val="-13"/>
          <w:sz w:val="15"/>
        </w:rPr>
        <w:t> </w:t>
      </w:r>
      <w:r>
        <w:rPr>
          <w:b/>
          <w:i/>
          <w:color w:val="74AA50"/>
          <w:sz w:val="15"/>
        </w:rPr>
        <w:t>likely</w:t>
      </w:r>
      <w:r>
        <w:rPr>
          <w:b/>
          <w:i/>
          <w:color w:val="74AA50"/>
          <w:spacing w:val="-4"/>
          <w:sz w:val="15"/>
        </w:rPr>
        <w:t> </w:t>
      </w:r>
      <w:r>
        <w:rPr>
          <w:b/>
          <w:i/>
          <w:color w:val="74AA50"/>
          <w:sz w:val="15"/>
        </w:rPr>
        <w:t>to</w:t>
      </w:r>
      <w:r>
        <w:rPr>
          <w:b/>
          <w:i/>
          <w:color w:val="74AA50"/>
          <w:spacing w:val="-14"/>
          <w:sz w:val="15"/>
        </w:rPr>
        <w:t> </w:t>
      </w:r>
      <w:r>
        <w:rPr>
          <w:b/>
          <w:i/>
          <w:color w:val="74AA50"/>
          <w:sz w:val="15"/>
        </w:rPr>
        <w:t>have</w:t>
      </w:r>
      <w:r>
        <w:rPr>
          <w:b/>
          <w:i/>
          <w:color w:val="74AA50"/>
          <w:spacing w:val="-13"/>
          <w:sz w:val="15"/>
        </w:rPr>
        <w:t> </w:t>
      </w:r>
      <w:r>
        <w:rPr>
          <w:b/>
          <w:i/>
          <w:color w:val="74AA50"/>
          <w:sz w:val="15"/>
        </w:rPr>
        <w:t>reached</w:t>
      </w:r>
      <w:r>
        <w:rPr>
          <w:b/>
          <w:i/>
          <w:color w:val="74AA50"/>
          <w:spacing w:val="-13"/>
          <w:sz w:val="15"/>
        </w:rPr>
        <w:t> </w:t>
      </w:r>
      <w:r>
        <w:rPr>
          <w:b/>
          <w:i/>
          <w:color w:val="74AA50"/>
          <w:sz w:val="15"/>
        </w:rPr>
        <w:t>a</w:t>
      </w:r>
      <w:r>
        <w:rPr>
          <w:b/>
          <w:i/>
          <w:color w:val="74AA50"/>
          <w:sz w:val="15"/>
        </w:rPr>
        <w:t> </w:t>
      </w:r>
      <w:r>
        <w:rPr>
          <w:b/>
          <w:i/>
          <w:color w:val="74AA50"/>
          <w:spacing w:val="-2"/>
          <w:sz w:val="15"/>
        </w:rPr>
        <w:t>settlement</w:t>
      </w:r>
    </w:p>
    <w:p>
      <w:pPr>
        <w:pStyle w:val="BodyText"/>
        <w:spacing w:before="11"/>
        <w:rPr>
          <w:b/>
          <w:i/>
          <w:sz w:val="9"/>
        </w:rPr>
      </w:pPr>
    </w:p>
    <w:p>
      <w:pPr>
        <w:spacing w:line="225" w:lineRule="auto" w:before="110"/>
        <w:ind w:left="1720" w:right="6295" w:hanging="71"/>
        <w:jc w:val="right"/>
        <w:rPr>
          <w:sz w:val="15"/>
        </w:rPr>
      </w:pPr>
      <w:r>
        <w:rPr/>
        <w:pict>
          <v:group style="position:absolute;margin-left:269.758789pt;margin-top:-2.81973pt;width:200.05pt;height:141.5pt;mso-position-horizontal-relative:page;mso-position-vertical-relative:paragraph;z-index:15797248" id="docshapegroup403" coordorigin="5395,-56" coordsize="4001,2830">
            <v:shape style="position:absolute;left:5395;top:179;width:4001;height:2359" id="docshape404" coordorigin="5395,179" coordsize="4001,2359" path="m8059,2066l5395,2066,5395,2538,8059,2538,8059,2066xm8340,1123l5395,1123,5395,1594,8340,1594,8340,1123xm9395,179l5395,179,5395,651,9395,651,9395,179xe" filled="true" fillcolor="#74aa50" stroked="false">
              <v:path arrowok="t"/>
              <v:fill type="solid"/>
            </v:shape>
            <v:line style="position:absolute" from="5400,2773" to="5400,-56" stroked="true" strokeweight=".503041pt" strokecolor="#ddddde">
              <v:stroke dashstyle="solid"/>
            </v:line>
            <w10:wrap type="none"/>
          </v:group>
        </w:pict>
      </w:r>
      <w:r>
        <w:rPr>
          <w:spacing w:val="-2"/>
          <w:sz w:val="15"/>
        </w:rPr>
        <w:t>Acas</w:t>
      </w:r>
      <w:r>
        <w:rPr>
          <w:spacing w:val="-12"/>
          <w:sz w:val="15"/>
        </w:rPr>
        <w:t> </w:t>
      </w:r>
      <w:r>
        <w:rPr>
          <w:spacing w:val="-2"/>
          <w:sz w:val="15"/>
        </w:rPr>
        <w:t>involvement</w:t>
      </w:r>
      <w:r>
        <w:rPr>
          <w:spacing w:val="-6"/>
          <w:sz w:val="15"/>
        </w:rPr>
        <w:t> </w:t>
      </w:r>
      <w:r>
        <w:rPr>
          <w:spacing w:val="-2"/>
          <w:sz w:val="15"/>
        </w:rPr>
        <w:t>was</w:t>
      </w:r>
      <w:r>
        <w:rPr>
          <w:spacing w:val="-21"/>
          <w:sz w:val="15"/>
        </w:rPr>
        <w:t> </w:t>
      </w:r>
      <w:r>
        <w:rPr>
          <w:spacing w:val="-2"/>
          <w:sz w:val="15"/>
        </w:rPr>
        <w:t>important</w:t>
      </w:r>
      <w:r>
        <w:rPr>
          <w:spacing w:val="-5"/>
          <w:sz w:val="15"/>
        </w:rPr>
        <w:t> </w:t>
      </w:r>
      <w:r>
        <w:rPr>
          <w:spacing w:val="-2"/>
          <w:sz w:val="15"/>
        </w:rPr>
        <w:t>in</w:t>
      </w:r>
      <w:r>
        <w:rPr>
          <w:spacing w:val="9"/>
          <w:sz w:val="15"/>
        </w:rPr>
        <w:t> </w:t>
      </w:r>
      <w:r>
        <w:rPr>
          <w:spacing w:val="-2"/>
          <w:sz w:val="15"/>
        </w:rPr>
        <w:t>helping move</w:t>
      </w:r>
      <w:r>
        <w:rPr>
          <w:spacing w:val="-17"/>
          <w:sz w:val="15"/>
        </w:rPr>
        <w:t> </w:t>
      </w:r>
      <w:r>
        <w:rPr>
          <w:spacing w:val="-2"/>
          <w:sz w:val="15"/>
        </w:rPr>
        <w:t>parties</w:t>
      </w:r>
      <w:r>
        <w:rPr>
          <w:spacing w:val="9"/>
          <w:sz w:val="15"/>
        </w:rPr>
        <w:t> </w:t>
      </w:r>
      <w:r>
        <w:rPr>
          <w:spacing w:val="-2"/>
          <w:sz w:val="15"/>
        </w:rPr>
        <w:t>closer</w:t>
      </w:r>
      <w:r>
        <w:rPr>
          <w:spacing w:val="2"/>
          <w:sz w:val="15"/>
        </w:rPr>
        <w:t> </w:t>
      </w:r>
      <w:r>
        <w:rPr>
          <w:spacing w:val="-2"/>
          <w:sz w:val="15"/>
        </w:rPr>
        <w:t>towards</w:t>
      </w:r>
      <w:r>
        <w:rPr>
          <w:spacing w:val="-15"/>
          <w:sz w:val="15"/>
        </w:rPr>
        <w:t> </w:t>
      </w:r>
      <w:r>
        <w:rPr>
          <w:spacing w:val="-2"/>
          <w:sz w:val="15"/>
        </w:rPr>
        <w:t>resolving</w:t>
      </w:r>
      <w:r>
        <w:rPr>
          <w:spacing w:val="4"/>
          <w:sz w:val="15"/>
        </w:rPr>
        <w:t> </w:t>
      </w:r>
      <w:r>
        <w:rPr>
          <w:spacing w:val="-5"/>
          <w:sz w:val="15"/>
        </w:rPr>
        <w:t>the</w:t>
      </w:r>
    </w:p>
    <w:p>
      <w:pPr>
        <w:spacing w:line="182" w:lineRule="exact" w:before="0"/>
        <w:ind w:left="0" w:right="6297" w:firstLine="0"/>
        <w:jc w:val="right"/>
        <w:rPr>
          <w:sz w:val="15"/>
        </w:rPr>
      </w:pPr>
      <w:r>
        <w:rPr>
          <w:spacing w:val="-4"/>
          <w:sz w:val="15"/>
        </w:rPr>
        <w:t>case</w:t>
      </w:r>
    </w:p>
    <w:p>
      <w:pPr>
        <w:pStyle w:val="BodyText"/>
      </w:pPr>
    </w:p>
    <w:p>
      <w:pPr>
        <w:pStyle w:val="BodyText"/>
        <w:spacing w:before="4"/>
        <w:rPr>
          <w:sz w:val="15"/>
        </w:rPr>
      </w:pPr>
    </w:p>
    <w:p>
      <w:pPr>
        <w:spacing w:line="225" w:lineRule="auto" w:before="110"/>
        <w:ind w:left="1805" w:right="6309" w:firstLine="291"/>
        <w:jc w:val="right"/>
        <w:rPr>
          <w:sz w:val="15"/>
        </w:rPr>
      </w:pPr>
      <w:r>
        <w:rPr>
          <w:spacing w:val="-2"/>
          <w:sz w:val="15"/>
        </w:rPr>
        <w:t>The</w:t>
      </w:r>
      <w:r>
        <w:rPr>
          <w:spacing w:val="-7"/>
          <w:sz w:val="15"/>
        </w:rPr>
        <w:t> </w:t>
      </w:r>
      <w:r>
        <w:rPr>
          <w:spacing w:val="-2"/>
          <w:sz w:val="15"/>
        </w:rPr>
        <w:t>Acas</w:t>
      </w:r>
      <w:r>
        <w:rPr>
          <w:spacing w:val="-12"/>
          <w:sz w:val="15"/>
        </w:rPr>
        <w:t> </w:t>
      </w:r>
      <w:r>
        <w:rPr>
          <w:spacing w:val="-2"/>
          <w:sz w:val="15"/>
        </w:rPr>
        <w:t>conciliator/s</w:t>
      </w:r>
      <w:r>
        <w:rPr>
          <w:spacing w:val="-3"/>
          <w:sz w:val="15"/>
        </w:rPr>
        <w:t> </w:t>
      </w:r>
      <w:r>
        <w:rPr>
          <w:spacing w:val="-2"/>
          <w:sz w:val="15"/>
        </w:rPr>
        <w:t>were</w:t>
      </w:r>
      <w:r>
        <w:rPr>
          <w:spacing w:val="-12"/>
          <w:sz w:val="15"/>
        </w:rPr>
        <w:t> </w:t>
      </w:r>
      <w:r>
        <w:rPr>
          <w:spacing w:val="-2"/>
          <w:sz w:val="15"/>
        </w:rPr>
        <w:t>available always/usually/sometimes</w:t>
      </w:r>
      <w:r>
        <w:rPr>
          <w:spacing w:val="-8"/>
          <w:sz w:val="15"/>
        </w:rPr>
        <w:t> </w:t>
      </w:r>
      <w:r>
        <w:rPr>
          <w:spacing w:val="-2"/>
          <w:sz w:val="15"/>
        </w:rPr>
        <w:t>when</w:t>
      </w:r>
      <w:r>
        <w:rPr>
          <w:spacing w:val="-3"/>
          <w:sz w:val="15"/>
        </w:rPr>
        <w:t> </w:t>
      </w:r>
      <w:r>
        <w:rPr>
          <w:spacing w:val="-2"/>
          <w:sz w:val="15"/>
        </w:rPr>
        <w:t>needed</w:t>
      </w:r>
    </w:p>
    <w:p>
      <w:pPr>
        <w:pStyle w:val="BodyText"/>
        <w:rPr>
          <w:sz w:val="18"/>
        </w:rPr>
      </w:pPr>
    </w:p>
    <w:p>
      <w:pPr>
        <w:pStyle w:val="BodyText"/>
        <w:rPr>
          <w:sz w:val="18"/>
        </w:rPr>
      </w:pPr>
    </w:p>
    <w:p>
      <w:pPr>
        <w:spacing w:line="225" w:lineRule="auto" w:before="140"/>
        <w:ind w:left="2186" w:right="6365" w:hanging="523"/>
        <w:jc w:val="right"/>
        <w:rPr>
          <w:sz w:val="15"/>
        </w:rPr>
      </w:pPr>
      <w:r>
        <w:rPr>
          <w:sz w:val="15"/>
        </w:rPr>
        <w:t>After</w:t>
      </w:r>
      <w:r>
        <w:rPr>
          <w:spacing w:val="-14"/>
          <w:sz w:val="15"/>
        </w:rPr>
        <w:t> </w:t>
      </w:r>
      <w:r>
        <w:rPr>
          <w:sz w:val="15"/>
        </w:rPr>
        <w:t>the</w:t>
      </w:r>
      <w:r>
        <w:rPr>
          <w:spacing w:val="-13"/>
          <w:sz w:val="15"/>
        </w:rPr>
        <w:t> </w:t>
      </w:r>
      <w:r>
        <w:rPr>
          <w:sz w:val="15"/>
        </w:rPr>
        <w:t>submission</w:t>
      </w:r>
      <w:r>
        <w:rPr>
          <w:spacing w:val="-13"/>
          <w:sz w:val="15"/>
        </w:rPr>
        <w:t> </w:t>
      </w:r>
      <w:r>
        <w:rPr>
          <w:sz w:val="15"/>
        </w:rPr>
        <w:t>of</w:t>
      </w:r>
      <w:r>
        <w:rPr>
          <w:spacing w:val="-16"/>
          <w:sz w:val="15"/>
        </w:rPr>
        <w:t> </w:t>
      </w:r>
      <w:r>
        <w:rPr>
          <w:sz w:val="15"/>
        </w:rPr>
        <w:t>the</w:t>
      </w:r>
      <w:r>
        <w:rPr>
          <w:spacing w:val="-13"/>
          <w:sz w:val="15"/>
        </w:rPr>
        <w:t> </w:t>
      </w:r>
      <w:r>
        <w:rPr>
          <w:sz w:val="15"/>
        </w:rPr>
        <w:t>ET</w:t>
      </w:r>
      <w:r>
        <w:rPr>
          <w:spacing w:val="-8"/>
          <w:sz w:val="15"/>
        </w:rPr>
        <w:t> </w:t>
      </w:r>
      <w:r>
        <w:rPr>
          <w:sz w:val="15"/>
        </w:rPr>
        <w:t>claim Acas and</w:t>
      </w:r>
      <w:r>
        <w:rPr>
          <w:spacing w:val="-6"/>
          <w:sz w:val="15"/>
        </w:rPr>
        <w:t> </w:t>
      </w:r>
      <w:r>
        <w:rPr>
          <w:sz w:val="15"/>
        </w:rPr>
        <w:t>I</w:t>
      </w:r>
      <w:r>
        <w:rPr>
          <w:spacing w:val="5"/>
          <w:sz w:val="15"/>
        </w:rPr>
        <w:t> </w:t>
      </w:r>
      <w:r>
        <w:rPr>
          <w:sz w:val="15"/>
        </w:rPr>
        <w:t>contacted</w:t>
      </w:r>
      <w:r>
        <w:rPr>
          <w:spacing w:val="-27"/>
          <w:sz w:val="15"/>
        </w:rPr>
        <w:t> </w:t>
      </w:r>
      <w:r>
        <w:rPr>
          <w:sz w:val="15"/>
        </w:rPr>
        <w:t>each</w:t>
      </w:r>
      <w:r>
        <w:rPr>
          <w:spacing w:val="-17"/>
          <w:sz w:val="15"/>
        </w:rPr>
        <w:t> </w:t>
      </w:r>
      <w:r>
        <w:rPr>
          <w:sz w:val="15"/>
        </w:rPr>
        <w:t>other</w:t>
      </w:r>
      <w:r>
        <w:rPr>
          <w:spacing w:val="-6"/>
          <w:sz w:val="15"/>
        </w:rPr>
        <w:t> </w:t>
      </w:r>
      <w:r>
        <w:rPr>
          <w:spacing w:val="-2"/>
          <w:sz w:val="15"/>
        </w:rPr>
        <w:t>equally</w:t>
      </w:r>
    </w:p>
    <w:p>
      <w:pPr>
        <w:pStyle w:val="BodyText"/>
      </w:pPr>
    </w:p>
    <w:p>
      <w:pPr>
        <w:pStyle w:val="BodyText"/>
        <w:spacing w:before="8"/>
        <w:rPr>
          <w:sz w:val="19"/>
        </w:rPr>
      </w:pPr>
    </w:p>
    <w:p>
      <w:pPr>
        <w:pStyle w:val="Heading4"/>
        <w:spacing w:line="243" w:lineRule="exact" w:before="1"/>
        <w:rPr>
          <w:i/>
        </w:rPr>
      </w:pPr>
      <w:bookmarkStart w:name="Among employers – external factors" w:id="199"/>
      <w:bookmarkEnd w:id="199"/>
      <w:r>
        <w:rPr>
          <w:b w:val="0"/>
          <w:i w:val="0"/>
        </w:rPr>
      </w:r>
      <w:r>
        <w:rPr>
          <w:i/>
        </w:rPr>
        <w:t>Among</w:t>
      </w:r>
      <w:r>
        <w:rPr>
          <w:i/>
          <w:spacing w:val="-4"/>
        </w:rPr>
        <w:t> </w:t>
      </w:r>
      <w:r>
        <w:rPr>
          <w:i/>
        </w:rPr>
        <w:t>employers</w:t>
      </w:r>
      <w:r>
        <w:rPr>
          <w:i/>
          <w:spacing w:val="-5"/>
        </w:rPr>
        <w:t> </w:t>
      </w:r>
      <w:r>
        <w:rPr>
          <w:i/>
        </w:rPr>
        <w:t>–</w:t>
      </w:r>
      <w:r>
        <w:rPr>
          <w:i/>
          <w:spacing w:val="-4"/>
        </w:rPr>
        <w:t> </w:t>
      </w:r>
      <w:r>
        <w:rPr>
          <w:i/>
        </w:rPr>
        <w:t>external</w:t>
      </w:r>
      <w:r>
        <w:rPr>
          <w:i/>
          <w:spacing w:val="-4"/>
        </w:rPr>
        <w:t> </w:t>
      </w:r>
      <w:r>
        <w:rPr>
          <w:i/>
          <w:spacing w:val="-2"/>
        </w:rPr>
        <w:t>factors</w:t>
      </w:r>
    </w:p>
    <w:p>
      <w:pPr>
        <w:pStyle w:val="BodyText"/>
        <w:ind w:left="1337" w:right="1474"/>
        <w:jc w:val="both"/>
      </w:pPr>
      <w:r>
        <w:rPr/>
        <w:t>The independent external variables which were found to be determinants of whether employers successfully settled their case are listed below in order of predictive strength:</w:t>
      </w:r>
    </w:p>
    <w:p>
      <w:pPr>
        <w:pStyle w:val="BodyText"/>
      </w:pPr>
    </w:p>
    <w:p>
      <w:pPr>
        <w:pStyle w:val="ListParagraph"/>
        <w:numPr>
          <w:ilvl w:val="0"/>
          <w:numId w:val="42"/>
        </w:numPr>
        <w:tabs>
          <w:tab w:pos="2058" w:val="left" w:leader="none"/>
        </w:tabs>
        <w:spacing w:line="240" w:lineRule="auto" w:before="1" w:after="0"/>
        <w:ind w:left="2057" w:right="1473" w:hanging="360"/>
        <w:jc w:val="both"/>
        <w:rPr>
          <w:sz w:val="20"/>
        </w:rPr>
      </w:pPr>
      <w:r>
        <w:rPr>
          <w:i/>
          <w:sz w:val="20"/>
        </w:rPr>
        <w:t>Presence</w:t>
      </w:r>
      <w:r>
        <w:rPr>
          <w:i/>
          <w:spacing w:val="-5"/>
          <w:sz w:val="20"/>
        </w:rPr>
        <w:t> </w:t>
      </w:r>
      <w:r>
        <w:rPr>
          <w:i/>
          <w:sz w:val="20"/>
        </w:rPr>
        <w:t>of</w:t>
      </w:r>
      <w:r>
        <w:rPr>
          <w:i/>
          <w:spacing w:val="-6"/>
          <w:sz w:val="20"/>
        </w:rPr>
        <w:t> </w:t>
      </w:r>
      <w:r>
        <w:rPr>
          <w:i/>
          <w:sz w:val="20"/>
        </w:rPr>
        <w:t>trade</w:t>
      </w:r>
      <w:r>
        <w:rPr>
          <w:i/>
          <w:spacing w:val="-5"/>
          <w:sz w:val="20"/>
        </w:rPr>
        <w:t> </w:t>
      </w:r>
      <w:r>
        <w:rPr>
          <w:i/>
          <w:sz w:val="20"/>
        </w:rPr>
        <w:t>unions</w:t>
      </w:r>
      <w:r>
        <w:rPr>
          <w:i/>
          <w:spacing w:val="-4"/>
          <w:sz w:val="20"/>
        </w:rPr>
        <w:t> </w:t>
      </w:r>
      <w:r>
        <w:rPr>
          <w:i/>
          <w:sz w:val="20"/>
        </w:rPr>
        <w:t>or</w:t>
      </w:r>
      <w:r>
        <w:rPr>
          <w:i/>
          <w:spacing w:val="-5"/>
          <w:sz w:val="20"/>
        </w:rPr>
        <w:t> </w:t>
      </w:r>
      <w:r>
        <w:rPr>
          <w:i/>
          <w:sz w:val="20"/>
        </w:rPr>
        <w:t>staff</w:t>
      </w:r>
      <w:r>
        <w:rPr>
          <w:i/>
          <w:spacing w:val="-5"/>
          <w:sz w:val="20"/>
        </w:rPr>
        <w:t> </w:t>
      </w:r>
      <w:r>
        <w:rPr>
          <w:i/>
          <w:sz w:val="20"/>
        </w:rPr>
        <w:t>associations</w:t>
      </w:r>
      <w:r>
        <w:rPr>
          <w:sz w:val="20"/>
        </w:rPr>
        <w:t>:</w:t>
      </w:r>
      <w:r>
        <w:rPr>
          <w:spacing w:val="-5"/>
          <w:sz w:val="20"/>
        </w:rPr>
        <w:t> </w:t>
      </w:r>
      <w:r>
        <w:rPr>
          <w:sz w:val="20"/>
        </w:rPr>
        <w:t>This</w:t>
      </w:r>
      <w:r>
        <w:rPr>
          <w:spacing w:val="-4"/>
          <w:sz w:val="20"/>
        </w:rPr>
        <w:t> </w:t>
      </w:r>
      <w:r>
        <w:rPr>
          <w:sz w:val="20"/>
        </w:rPr>
        <w:t>was</w:t>
      </w:r>
      <w:r>
        <w:rPr>
          <w:spacing w:val="-4"/>
          <w:sz w:val="20"/>
        </w:rPr>
        <w:t> </w:t>
      </w:r>
      <w:r>
        <w:rPr>
          <w:sz w:val="20"/>
        </w:rPr>
        <w:t>sole</w:t>
      </w:r>
      <w:r>
        <w:rPr>
          <w:spacing w:val="-5"/>
          <w:sz w:val="20"/>
        </w:rPr>
        <w:t> </w:t>
      </w:r>
      <w:r>
        <w:rPr>
          <w:sz w:val="20"/>
        </w:rPr>
        <w:t>external</w:t>
      </w:r>
      <w:r>
        <w:rPr>
          <w:spacing w:val="-5"/>
          <w:sz w:val="20"/>
        </w:rPr>
        <w:t> </w:t>
      </w:r>
      <w:r>
        <w:rPr>
          <w:sz w:val="20"/>
        </w:rPr>
        <w:t>factor with</w:t>
      </w:r>
      <w:r>
        <w:rPr>
          <w:spacing w:val="-4"/>
          <w:sz w:val="20"/>
        </w:rPr>
        <w:t> </w:t>
      </w:r>
      <w:r>
        <w:rPr>
          <w:sz w:val="20"/>
        </w:rPr>
        <w:t>influence</w:t>
      </w:r>
      <w:r>
        <w:rPr>
          <w:spacing w:val="-5"/>
          <w:sz w:val="20"/>
        </w:rPr>
        <w:t> </w:t>
      </w:r>
      <w:r>
        <w:rPr>
          <w:sz w:val="20"/>
        </w:rPr>
        <w:t>on</w:t>
      </w:r>
      <w:r>
        <w:rPr>
          <w:spacing w:val="-4"/>
          <w:sz w:val="20"/>
        </w:rPr>
        <w:t> </w:t>
      </w:r>
      <w:r>
        <w:rPr>
          <w:sz w:val="20"/>
        </w:rPr>
        <w:t>the</w:t>
      </w:r>
      <w:r>
        <w:rPr>
          <w:spacing w:val="-5"/>
          <w:sz w:val="20"/>
        </w:rPr>
        <w:t> </w:t>
      </w:r>
      <w:r>
        <w:rPr>
          <w:sz w:val="20"/>
        </w:rPr>
        <w:t>likelihood</w:t>
      </w:r>
      <w:r>
        <w:rPr>
          <w:spacing w:val="-4"/>
          <w:sz w:val="20"/>
        </w:rPr>
        <w:t> </w:t>
      </w:r>
      <w:r>
        <w:rPr>
          <w:sz w:val="20"/>
        </w:rPr>
        <w:t>of</w:t>
      </w:r>
      <w:r>
        <w:rPr>
          <w:spacing w:val="-4"/>
          <w:sz w:val="20"/>
        </w:rPr>
        <w:t> </w:t>
      </w:r>
      <w:r>
        <w:rPr>
          <w:sz w:val="20"/>
        </w:rPr>
        <w:t>a</w:t>
      </w:r>
      <w:r>
        <w:rPr>
          <w:spacing w:val="-5"/>
          <w:sz w:val="20"/>
        </w:rPr>
        <w:t> </w:t>
      </w:r>
      <w:r>
        <w:rPr>
          <w:sz w:val="20"/>
        </w:rPr>
        <w:t>successful</w:t>
      </w:r>
      <w:r>
        <w:rPr>
          <w:spacing w:val="-6"/>
          <w:sz w:val="20"/>
        </w:rPr>
        <w:t> </w:t>
      </w:r>
      <w:r>
        <w:rPr>
          <w:sz w:val="20"/>
        </w:rPr>
        <w:t>dispute</w:t>
      </w:r>
      <w:r>
        <w:rPr>
          <w:spacing w:val="-5"/>
          <w:sz w:val="20"/>
        </w:rPr>
        <w:t> </w:t>
      </w:r>
      <w:r>
        <w:rPr>
          <w:sz w:val="20"/>
        </w:rPr>
        <w:t>outcome.</w:t>
      </w:r>
      <w:r>
        <w:rPr>
          <w:spacing w:val="-4"/>
          <w:sz w:val="20"/>
        </w:rPr>
        <w:t> </w:t>
      </w:r>
      <w:r>
        <w:rPr>
          <w:sz w:val="20"/>
        </w:rPr>
        <w:t>Employers with either a trade union or staff association in their workplace were correlated with a higher likelihood of reaching a successful case outcome.</w:t>
      </w:r>
    </w:p>
    <w:p>
      <w:pPr>
        <w:pStyle w:val="BodyText"/>
        <w:spacing w:before="9"/>
        <w:rPr>
          <w:sz w:val="19"/>
        </w:rPr>
      </w:pPr>
    </w:p>
    <w:p>
      <w:pPr>
        <w:pStyle w:val="Heading3"/>
        <w:ind w:right="1473"/>
      </w:pPr>
      <w:r>
        <w:rPr/>
        <w:t>Figure 35. Logistic regression results of external factors determining employer settlement</w:t>
      </w:r>
    </w:p>
    <w:p>
      <w:pPr>
        <w:spacing w:line="225" w:lineRule="auto" w:before="96"/>
        <w:ind w:left="3907" w:right="2897" w:firstLine="0"/>
        <w:jc w:val="left"/>
        <w:rPr>
          <w:b/>
          <w:i/>
          <w:sz w:val="16"/>
        </w:rPr>
      </w:pPr>
      <w:r>
        <w:rPr/>
        <w:pict>
          <v:group style="position:absolute;margin-left:210.754242pt;margin-top:21.730038pt;width:251pt;height:65.1pt;mso-position-horizontal-relative:page;mso-position-vertical-relative:paragraph;z-index:15797760" id="docshapegroup405" coordorigin="4215,435" coordsize="5020,1302">
            <v:rect style="position:absolute;left:4225;top:762;width:5009;height:656" id="docshape406" filled="true" fillcolor="#74aa50" stroked="false">
              <v:fill type="solid"/>
            </v:rect>
            <v:line style="position:absolute" from="4220,1736" to="4220,435" stroked="true" strokeweight=".540290pt" strokecolor="#ddddde">
              <v:stroke dashstyle="solid"/>
            </v:line>
            <w10:wrap type="none"/>
          </v:group>
        </w:pict>
      </w:r>
      <w:r>
        <w:rPr>
          <w:b/>
          <w:i/>
          <w:color w:val="74AA50"/>
          <w:sz w:val="16"/>
        </w:rPr>
        <w:t>Employer</w:t>
      </w:r>
      <w:r>
        <w:rPr>
          <w:b/>
          <w:i/>
          <w:color w:val="74AA50"/>
          <w:spacing w:val="-14"/>
          <w:sz w:val="16"/>
        </w:rPr>
        <w:t> </w:t>
      </w:r>
      <w:r>
        <w:rPr>
          <w:b/>
          <w:i/>
          <w:color w:val="74AA50"/>
          <w:sz w:val="16"/>
          <w:u w:val="thick" w:color="74AA50"/>
        </w:rPr>
        <w:t>more</w:t>
      </w:r>
      <w:r>
        <w:rPr>
          <w:b/>
          <w:i/>
          <w:color w:val="74AA50"/>
          <w:spacing w:val="-14"/>
          <w:sz w:val="16"/>
        </w:rPr>
        <w:t> </w:t>
      </w:r>
      <w:r>
        <w:rPr>
          <w:b/>
          <w:i/>
          <w:color w:val="74AA50"/>
          <w:sz w:val="16"/>
        </w:rPr>
        <w:t>likely</w:t>
      </w:r>
      <w:r>
        <w:rPr>
          <w:b/>
          <w:i/>
          <w:color w:val="74AA50"/>
          <w:spacing w:val="-4"/>
          <w:sz w:val="16"/>
        </w:rPr>
        <w:t> </w:t>
      </w:r>
      <w:r>
        <w:rPr>
          <w:b/>
          <w:i/>
          <w:color w:val="74AA50"/>
          <w:sz w:val="16"/>
        </w:rPr>
        <w:t>to</w:t>
      </w:r>
      <w:r>
        <w:rPr>
          <w:b/>
          <w:i/>
          <w:color w:val="74AA50"/>
          <w:spacing w:val="-15"/>
          <w:sz w:val="16"/>
        </w:rPr>
        <w:t> </w:t>
      </w:r>
      <w:r>
        <w:rPr>
          <w:b/>
          <w:i/>
          <w:color w:val="74AA50"/>
          <w:sz w:val="16"/>
        </w:rPr>
        <w:t>have</w:t>
      </w:r>
      <w:r>
        <w:rPr>
          <w:b/>
          <w:i/>
          <w:color w:val="74AA50"/>
          <w:spacing w:val="-13"/>
          <w:sz w:val="16"/>
        </w:rPr>
        <w:t> </w:t>
      </w:r>
      <w:r>
        <w:rPr>
          <w:b/>
          <w:i/>
          <w:color w:val="74AA50"/>
          <w:sz w:val="16"/>
        </w:rPr>
        <w:t>reached</w:t>
      </w:r>
      <w:r>
        <w:rPr>
          <w:b/>
          <w:i/>
          <w:color w:val="74AA50"/>
          <w:spacing w:val="-14"/>
          <w:sz w:val="16"/>
        </w:rPr>
        <w:t> </w:t>
      </w:r>
      <w:r>
        <w:rPr>
          <w:b/>
          <w:i/>
          <w:color w:val="74AA50"/>
          <w:sz w:val="16"/>
        </w:rPr>
        <w:t>a</w:t>
      </w:r>
      <w:r>
        <w:rPr>
          <w:b/>
          <w:i/>
          <w:color w:val="74AA50"/>
          <w:sz w:val="16"/>
        </w:rPr>
        <w:t> </w:t>
      </w:r>
      <w:r>
        <w:rPr>
          <w:b/>
          <w:i/>
          <w:color w:val="74AA50"/>
          <w:spacing w:val="-2"/>
          <w:sz w:val="16"/>
        </w:rPr>
        <w:t>settlement</w:t>
      </w:r>
    </w:p>
    <w:p>
      <w:pPr>
        <w:pStyle w:val="BodyText"/>
        <w:spacing w:before="8"/>
        <w:rPr>
          <w:b/>
          <w:i/>
          <w:sz w:val="19"/>
        </w:rPr>
      </w:pPr>
    </w:p>
    <w:p>
      <w:pPr>
        <w:spacing w:line="225" w:lineRule="auto" w:before="111"/>
        <w:ind w:left="1492" w:right="7625" w:hanging="44"/>
        <w:jc w:val="right"/>
        <w:rPr>
          <w:sz w:val="16"/>
        </w:rPr>
      </w:pPr>
      <w:r>
        <w:rPr>
          <w:sz w:val="16"/>
        </w:rPr>
        <w:t>There</w:t>
      </w:r>
      <w:r>
        <w:rPr>
          <w:spacing w:val="-15"/>
          <w:sz w:val="16"/>
        </w:rPr>
        <w:t> </w:t>
      </w:r>
      <w:r>
        <w:rPr>
          <w:sz w:val="16"/>
        </w:rPr>
        <w:t>are</w:t>
      </w:r>
      <w:r>
        <w:rPr>
          <w:spacing w:val="-14"/>
          <w:sz w:val="16"/>
        </w:rPr>
        <w:t> </w:t>
      </w:r>
      <w:r>
        <w:rPr>
          <w:sz w:val="16"/>
        </w:rPr>
        <w:t>unions</w:t>
      </w:r>
      <w:r>
        <w:rPr>
          <w:spacing w:val="-1"/>
          <w:sz w:val="16"/>
        </w:rPr>
        <w:t> </w:t>
      </w:r>
      <w:r>
        <w:rPr>
          <w:sz w:val="16"/>
        </w:rPr>
        <w:t>or</w:t>
      </w:r>
      <w:r>
        <w:rPr>
          <w:spacing w:val="-18"/>
          <w:sz w:val="16"/>
        </w:rPr>
        <w:t> </w:t>
      </w:r>
      <w:r>
        <w:rPr>
          <w:sz w:val="16"/>
        </w:rPr>
        <w:t>staff- associations</w:t>
      </w:r>
      <w:r>
        <w:rPr>
          <w:spacing w:val="-22"/>
          <w:sz w:val="16"/>
        </w:rPr>
        <w:t> </w:t>
      </w:r>
      <w:r>
        <w:rPr>
          <w:sz w:val="16"/>
        </w:rPr>
        <w:t>active</w:t>
      </w:r>
      <w:r>
        <w:rPr>
          <w:spacing w:val="-14"/>
          <w:sz w:val="16"/>
        </w:rPr>
        <w:t> </w:t>
      </w:r>
      <w:r>
        <w:rPr>
          <w:sz w:val="16"/>
        </w:rPr>
        <w:t>in</w:t>
      </w:r>
      <w:r>
        <w:rPr>
          <w:spacing w:val="4"/>
          <w:sz w:val="16"/>
        </w:rPr>
        <w:t> </w:t>
      </w:r>
      <w:r>
        <w:rPr>
          <w:spacing w:val="-5"/>
          <w:sz w:val="16"/>
        </w:rPr>
        <w:t>the</w:t>
      </w:r>
    </w:p>
    <w:p>
      <w:pPr>
        <w:spacing w:before="1"/>
        <w:ind w:left="0" w:right="7625" w:firstLine="0"/>
        <w:jc w:val="right"/>
        <w:rPr>
          <w:sz w:val="16"/>
        </w:rPr>
      </w:pPr>
      <w:r>
        <w:rPr>
          <w:spacing w:val="-2"/>
          <w:sz w:val="16"/>
        </w:rPr>
        <w:t>workplace</w:t>
      </w:r>
    </w:p>
    <w:p>
      <w:pPr>
        <w:pStyle w:val="BodyText"/>
      </w:pPr>
    </w:p>
    <w:p>
      <w:pPr>
        <w:pStyle w:val="BodyText"/>
      </w:pPr>
    </w:p>
    <w:p>
      <w:pPr>
        <w:pStyle w:val="BodyText"/>
        <w:rPr>
          <w:sz w:val="17"/>
        </w:rPr>
      </w:pPr>
    </w:p>
    <w:p>
      <w:pPr>
        <w:pStyle w:val="BodyText"/>
        <w:spacing w:line="259" w:lineRule="auto" w:before="101"/>
        <w:ind w:left="1337" w:right="1472"/>
        <w:jc w:val="both"/>
      </w:pPr>
      <w:r>
        <w:rPr/>
        <w:t>The models above highlight a number of key internal factors associated with improved chances of a successful case resolution, including the availability of the conciliator and Acas’ skill in bringing the two sides together. External factors of note</w:t>
      </w:r>
      <w:r>
        <w:rPr>
          <w:spacing w:val="-15"/>
        </w:rPr>
        <w:t> </w:t>
      </w:r>
      <w:r>
        <w:rPr/>
        <w:t>include</w:t>
      </w:r>
      <w:r>
        <w:rPr>
          <w:spacing w:val="-17"/>
        </w:rPr>
        <w:t> </w:t>
      </w:r>
      <w:r>
        <w:rPr/>
        <w:t>the</w:t>
      </w:r>
      <w:r>
        <w:rPr>
          <w:spacing w:val="-15"/>
        </w:rPr>
        <w:t> </w:t>
      </w:r>
      <w:r>
        <w:rPr/>
        <w:t>case</w:t>
      </w:r>
      <w:r>
        <w:rPr>
          <w:spacing w:val="-15"/>
        </w:rPr>
        <w:t> </w:t>
      </w:r>
      <w:r>
        <w:rPr/>
        <w:t>track,</w:t>
      </w:r>
      <w:r>
        <w:rPr>
          <w:spacing w:val="-16"/>
        </w:rPr>
        <w:t> </w:t>
      </w:r>
      <w:r>
        <w:rPr/>
        <w:t>the</w:t>
      </w:r>
      <w:r>
        <w:rPr>
          <w:spacing w:val="-15"/>
        </w:rPr>
        <w:t> </w:t>
      </w:r>
      <w:r>
        <w:rPr/>
        <w:t>presence</w:t>
      </w:r>
      <w:r>
        <w:rPr>
          <w:spacing w:val="-15"/>
        </w:rPr>
        <w:t> </w:t>
      </w:r>
      <w:r>
        <w:rPr/>
        <w:t>of</w:t>
      </w:r>
      <w:r>
        <w:rPr>
          <w:spacing w:val="-17"/>
        </w:rPr>
        <w:t> </w:t>
      </w:r>
      <w:r>
        <w:rPr/>
        <w:t>trade</w:t>
      </w:r>
      <w:r>
        <w:rPr>
          <w:spacing w:val="-15"/>
        </w:rPr>
        <w:t> </w:t>
      </w:r>
      <w:r>
        <w:rPr/>
        <w:t>unions</w:t>
      </w:r>
      <w:r>
        <w:rPr>
          <w:spacing w:val="-15"/>
        </w:rPr>
        <w:t> </w:t>
      </w:r>
      <w:r>
        <w:rPr/>
        <w:t>and</w:t>
      </w:r>
      <w:r>
        <w:rPr>
          <w:spacing w:val="-16"/>
        </w:rPr>
        <w:t> </w:t>
      </w:r>
      <w:r>
        <w:rPr/>
        <w:t>length</w:t>
      </w:r>
      <w:r>
        <w:rPr>
          <w:spacing w:val="-16"/>
        </w:rPr>
        <w:t> </w:t>
      </w:r>
      <w:r>
        <w:rPr/>
        <w:t>of</w:t>
      </w:r>
      <w:r>
        <w:rPr>
          <w:spacing w:val="-16"/>
        </w:rPr>
        <w:t> </w:t>
      </w:r>
      <w:r>
        <w:rPr/>
        <w:t>employment </w:t>
      </w:r>
      <w:r>
        <w:rPr>
          <w:spacing w:val="-2"/>
        </w:rPr>
        <w:t>tenure.</w:t>
      </w:r>
    </w:p>
    <w:p>
      <w:pPr>
        <w:pStyle w:val="BodyText"/>
        <w:spacing w:before="6"/>
        <w:rPr>
          <w:sz w:val="21"/>
        </w:rPr>
      </w:pPr>
    </w:p>
    <w:p>
      <w:pPr>
        <w:pStyle w:val="BodyText"/>
        <w:spacing w:line="259" w:lineRule="auto"/>
        <w:ind w:left="1337" w:right="1472"/>
        <w:jc w:val="both"/>
      </w:pPr>
      <w:r>
        <w:rPr/>
        <w:t>However,</w:t>
      </w:r>
      <w:r>
        <w:rPr>
          <w:spacing w:val="-12"/>
        </w:rPr>
        <w:t> </w:t>
      </w:r>
      <w:r>
        <w:rPr/>
        <w:t>it</w:t>
      </w:r>
      <w:r>
        <w:rPr>
          <w:spacing w:val="-13"/>
        </w:rPr>
        <w:t> </w:t>
      </w:r>
      <w:r>
        <w:rPr/>
        <w:t>is</w:t>
      </w:r>
      <w:r>
        <w:rPr>
          <w:spacing w:val="-12"/>
        </w:rPr>
        <w:t> </w:t>
      </w:r>
      <w:r>
        <w:rPr/>
        <w:t>important</w:t>
      </w:r>
      <w:r>
        <w:rPr>
          <w:spacing w:val="-11"/>
        </w:rPr>
        <w:t> </w:t>
      </w:r>
      <w:r>
        <w:rPr/>
        <w:t>to</w:t>
      </w:r>
      <w:r>
        <w:rPr>
          <w:spacing w:val="-13"/>
        </w:rPr>
        <w:t> </w:t>
      </w:r>
      <w:r>
        <w:rPr/>
        <w:t>note</w:t>
      </w:r>
      <w:r>
        <w:rPr>
          <w:spacing w:val="-13"/>
        </w:rPr>
        <w:t> </w:t>
      </w:r>
      <w:r>
        <w:rPr/>
        <w:t>the</w:t>
      </w:r>
      <w:r>
        <w:rPr>
          <w:spacing w:val="-13"/>
        </w:rPr>
        <w:t> </w:t>
      </w:r>
      <w:r>
        <w:rPr/>
        <w:t>limited</w:t>
      </w:r>
      <w:r>
        <w:rPr>
          <w:spacing w:val="-12"/>
        </w:rPr>
        <w:t> </w:t>
      </w:r>
      <w:r>
        <w:rPr/>
        <w:t>predictive</w:t>
      </w:r>
      <w:r>
        <w:rPr>
          <w:spacing w:val="-12"/>
        </w:rPr>
        <w:t> </w:t>
      </w:r>
      <w:r>
        <w:rPr/>
        <w:t>power</w:t>
      </w:r>
      <w:r>
        <w:rPr>
          <w:spacing w:val="-12"/>
        </w:rPr>
        <w:t> </w:t>
      </w:r>
      <w:r>
        <w:rPr/>
        <w:t>of</w:t>
      </w:r>
      <w:r>
        <w:rPr>
          <w:spacing w:val="-11"/>
        </w:rPr>
        <w:t> </w:t>
      </w:r>
      <w:r>
        <w:rPr/>
        <w:t>all</w:t>
      </w:r>
      <w:r>
        <w:rPr>
          <w:spacing w:val="-13"/>
        </w:rPr>
        <w:t> </w:t>
      </w:r>
      <w:r>
        <w:rPr/>
        <w:t>four</w:t>
      </w:r>
      <w:r>
        <w:rPr>
          <w:spacing w:val="-13"/>
        </w:rPr>
        <w:t> </w:t>
      </w:r>
      <w:r>
        <w:rPr/>
        <w:t>models.</w:t>
      </w:r>
      <w:r>
        <w:rPr>
          <w:spacing w:val="-11"/>
        </w:rPr>
        <w:t> </w:t>
      </w:r>
      <w:r>
        <w:rPr/>
        <w:t>The table</w:t>
      </w:r>
      <w:r>
        <w:rPr>
          <w:spacing w:val="-6"/>
        </w:rPr>
        <w:t> </w:t>
      </w:r>
      <w:r>
        <w:rPr/>
        <w:t>below</w:t>
      </w:r>
      <w:r>
        <w:rPr>
          <w:spacing w:val="-5"/>
        </w:rPr>
        <w:t> </w:t>
      </w:r>
      <w:r>
        <w:rPr/>
        <w:t>lists</w:t>
      </w:r>
      <w:r>
        <w:rPr>
          <w:spacing w:val="-5"/>
        </w:rPr>
        <w:t> </w:t>
      </w:r>
      <w:r>
        <w:rPr/>
        <w:t>the</w:t>
      </w:r>
      <w:r>
        <w:rPr>
          <w:spacing w:val="-7"/>
        </w:rPr>
        <w:t> </w:t>
      </w:r>
      <w:r>
        <w:rPr/>
        <w:t>‘pseudo</w:t>
      </w:r>
      <w:r>
        <w:rPr>
          <w:spacing w:val="-6"/>
        </w:rPr>
        <w:t> </w:t>
      </w:r>
      <w:r>
        <w:rPr/>
        <w:t>R-square’</w:t>
      </w:r>
      <w:r>
        <w:rPr>
          <w:spacing w:val="-5"/>
        </w:rPr>
        <w:t> </w:t>
      </w:r>
      <w:r>
        <w:rPr/>
        <w:t>values</w:t>
      </w:r>
      <w:r>
        <w:rPr>
          <w:spacing w:val="-7"/>
        </w:rPr>
        <w:t> </w:t>
      </w:r>
      <w:r>
        <w:rPr/>
        <w:t>for</w:t>
      </w:r>
      <w:r>
        <w:rPr>
          <w:spacing w:val="-6"/>
        </w:rPr>
        <w:t> </w:t>
      </w:r>
      <w:r>
        <w:rPr/>
        <w:t>each</w:t>
      </w:r>
      <w:r>
        <w:rPr>
          <w:spacing w:val="-6"/>
        </w:rPr>
        <w:t> </w:t>
      </w:r>
      <w:r>
        <w:rPr/>
        <w:t>model.</w:t>
      </w:r>
      <w:r>
        <w:rPr>
          <w:spacing w:val="-5"/>
        </w:rPr>
        <w:t> </w:t>
      </w:r>
      <w:r>
        <w:rPr/>
        <w:t>This</w:t>
      </w:r>
      <w:r>
        <w:rPr>
          <w:spacing w:val="-5"/>
        </w:rPr>
        <w:t> </w:t>
      </w:r>
      <w:r>
        <w:rPr/>
        <w:t>is</w:t>
      </w:r>
      <w:r>
        <w:rPr>
          <w:spacing w:val="-7"/>
        </w:rPr>
        <w:t> </w:t>
      </w:r>
      <w:r>
        <w:rPr/>
        <w:t>a</w:t>
      </w:r>
      <w:r>
        <w:rPr>
          <w:spacing w:val="-6"/>
        </w:rPr>
        <w:t> </w:t>
      </w:r>
      <w:r>
        <w:rPr/>
        <w:t>measure</w:t>
      </w:r>
      <w:r>
        <w:rPr>
          <w:spacing w:val="-7"/>
        </w:rPr>
        <w:t> </w:t>
      </w:r>
      <w:r>
        <w:rPr/>
        <w:t>of how much of the difference in the model is explained by the independent factors used</w:t>
      </w:r>
      <w:r>
        <w:rPr>
          <w:spacing w:val="-6"/>
        </w:rPr>
        <w:t> </w:t>
      </w:r>
      <w:r>
        <w:rPr/>
        <w:t>and</w:t>
      </w:r>
      <w:r>
        <w:rPr>
          <w:spacing w:val="-7"/>
        </w:rPr>
        <w:t> </w:t>
      </w:r>
      <w:r>
        <w:rPr/>
        <w:t>can</w:t>
      </w:r>
      <w:r>
        <w:rPr>
          <w:spacing w:val="-5"/>
        </w:rPr>
        <w:t> </w:t>
      </w:r>
      <w:r>
        <w:rPr/>
        <w:t>be</w:t>
      </w:r>
      <w:r>
        <w:rPr>
          <w:spacing w:val="-7"/>
        </w:rPr>
        <w:t> </w:t>
      </w:r>
      <w:r>
        <w:rPr/>
        <w:t>read</w:t>
      </w:r>
      <w:r>
        <w:rPr>
          <w:spacing w:val="-6"/>
        </w:rPr>
        <w:t> </w:t>
      </w:r>
      <w:r>
        <w:rPr/>
        <w:t>like</w:t>
      </w:r>
      <w:r>
        <w:rPr>
          <w:spacing w:val="-6"/>
        </w:rPr>
        <w:t> </w:t>
      </w:r>
      <w:r>
        <w:rPr/>
        <w:t>a</w:t>
      </w:r>
      <w:r>
        <w:rPr>
          <w:spacing w:val="-6"/>
        </w:rPr>
        <w:t> </w:t>
      </w:r>
      <w:r>
        <w:rPr/>
        <w:t>percentage:</w:t>
      </w:r>
      <w:r>
        <w:rPr>
          <w:spacing w:val="-5"/>
        </w:rPr>
        <w:t> </w:t>
      </w:r>
      <w:r>
        <w:rPr/>
        <w:t>the</w:t>
      </w:r>
      <w:r>
        <w:rPr>
          <w:spacing w:val="-6"/>
        </w:rPr>
        <w:t> </w:t>
      </w:r>
      <w:r>
        <w:rPr/>
        <w:t>closer</w:t>
      </w:r>
      <w:r>
        <w:rPr>
          <w:spacing w:val="-6"/>
        </w:rPr>
        <w:t> </w:t>
      </w:r>
      <w:r>
        <w:rPr/>
        <w:t>the</w:t>
      </w:r>
      <w:r>
        <w:rPr>
          <w:spacing w:val="-7"/>
        </w:rPr>
        <w:t> </w:t>
      </w:r>
      <w:r>
        <w:rPr/>
        <w:t>value</w:t>
      </w:r>
      <w:r>
        <w:rPr>
          <w:spacing w:val="-6"/>
        </w:rPr>
        <w:t> </w:t>
      </w:r>
      <w:r>
        <w:rPr/>
        <w:t>is</w:t>
      </w:r>
      <w:r>
        <w:rPr>
          <w:spacing w:val="-6"/>
        </w:rPr>
        <w:t> </w:t>
      </w:r>
      <w:r>
        <w:rPr/>
        <w:t>to</w:t>
      </w:r>
      <w:r>
        <w:rPr>
          <w:spacing w:val="-7"/>
        </w:rPr>
        <w:t> </w:t>
      </w:r>
      <w:r>
        <w:rPr/>
        <w:t>one,</w:t>
      </w:r>
      <w:r>
        <w:rPr>
          <w:spacing w:val="-5"/>
        </w:rPr>
        <w:t> </w:t>
      </w:r>
      <w:r>
        <w:rPr/>
        <w:t>the</w:t>
      </w:r>
      <w:r>
        <w:rPr>
          <w:spacing w:val="-6"/>
        </w:rPr>
        <w:t> </w:t>
      </w:r>
      <w:r>
        <w:rPr/>
        <w:t>more</w:t>
      </w:r>
      <w:r>
        <w:rPr>
          <w:spacing w:val="-7"/>
        </w:rPr>
        <w:t> </w:t>
      </w:r>
      <w:r>
        <w:rPr/>
        <w:t>of the variation the model explains.</w:t>
      </w:r>
    </w:p>
    <w:p>
      <w:pPr>
        <w:pStyle w:val="BodyText"/>
        <w:spacing w:before="5"/>
        <w:rPr>
          <w:sz w:val="21"/>
        </w:rPr>
      </w:pPr>
    </w:p>
    <w:p>
      <w:pPr>
        <w:pStyle w:val="BodyText"/>
        <w:spacing w:line="259" w:lineRule="auto"/>
        <w:ind w:left="1337" w:right="1473"/>
        <w:jc w:val="both"/>
      </w:pPr>
      <w:r>
        <w:rPr/>
        <w:t>The</w:t>
      </w:r>
      <w:r>
        <w:rPr>
          <w:spacing w:val="-12"/>
        </w:rPr>
        <w:t> </w:t>
      </w:r>
      <w:r>
        <w:rPr/>
        <w:t>values</w:t>
      </w:r>
      <w:r>
        <w:rPr>
          <w:spacing w:val="-14"/>
        </w:rPr>
        <w:t> </w:t>
      </w:r>
      <w:r>
        <w:rPr/>
        <w:t>below</w:t>
      </w:r>
      <w:r>
        <w:rPr>
          <w:spacing w:val="-11"/>
        </w:rPr>
        <w:t> </w:t>
      </w:r>
      <w:r>
        <w:rPr/>
        <w:t>show</w:t>
      </w:r>
      <w:r>
        <w:rPr>
          <w:spacing w:val="-14"/>
        </w:rPr>
        <w:t> </w:t>
      </w:r>
      <w:r>
        <w:rPr/>
        <w:t>that</w:t>
      </w:r>
      <w:r>
        <w:rPr>
          <w:spacing w:val="-12"/>
        </w:rPr>
        <w:t> </w:t>
      </w:r>
      <w:r>
        <w:rPr/>
        <w:t>a</w:t>
      </w:r>
      <w:r>
        <w:rPr>
          <w:spacing w:val="-12"/>
        </w:rPr>
        <w:t> </w:t>
      </w:r>
      <w:r>
        <w:rPr/>
        <w:t>large</w:t>
      </w:r>
      <w:r>
        <w:rPr>
          <w:spacing w:val="-13"/>
        </w:rPr>
        <w:t> </w:t>
      </w:r>
      <w:r>
        <w:rPr/>
        <w:t>majority</w:t>
      </w:r>
      <w:r>
        <w:rPr>
          <w:spacing w:val="-11"/>
        </w:rPr>
        <w:t> </w:t>
      </w:r>
      <w:r>
        <w:rPr/>
        <w:t>of</w:t>
      </w:r>
      <w:r>
        <w:rPr>
          <w:spacing w:val="-13"/>
        </w:rPr>
        <w:t> </w:t>
      </w:r>
      <w:r>
        <w:rPr/>
        <w:t>the</w:t>
      </w:r>
      <w:r>
        <w:rPr>
          <w:spacing w:val="-12"/>
        </w:rPr>
        <w:t> </w:t>
      </w:r>
      <w:r>
        <w:rPr/>
        <w:t>variation</w:t>
      </w:r>
      <w:r>
        <w:rPr>
          <w:spacing w:val="-11"/>
        </w:rPr>
        <w:t> </w:t>
      </w:r>
      <w:r>
        <w:rPr/>
        <w:t>in</w:t>
      </w:r>
      <w:r>
        <w:rPr>
          <w:spacing w:val="-12"/>
        </w:rPr>
        <w:t> </w:t>
      </w:r>
      <w:r>
        <w:rPr/>
        <w:t>case</w:t>
      </w:r>
      <w:r>
        <w:rPr>
          <w:spacing w:val="-12"/>
        </w:rPr>
        <w:t> </w:t>
      </w:r>
      <w:r>
        <w:rPr/>
        <w:t>outcome</w:t>
      </w:r>
      <w:r>
        <w:rPr>
          <w:spacing w:val="-12"/>
        </w:rPr>
        <w:t> </w:t>
      </w:r>
      <w:r>
        <w:rPr/>
        <w:t>is</w:t>
      </w:r>
      <w:r>
        <w:rPr>
          <w:spacing w:val="-12"/>
        </w:rPr>
        <w:t> </w:t>
      </w:r>
      <w:r>
        <w:rPr/>
        <w:t>due to</w:t>
      </w:r>
      <w:r>
        <w:rPr>
          <w:spacing w:val="-18"/>
        </w:rPr>
        <w:t> </w:t>
      </w:r>
      <w:r>
        <w:rPr/>
        <w:t>factors</w:t>
      </w:r>
      <w:r>
        <w:rPr>
          <w:spacing w:val="-18"/>
        </w:rPr>
        <w:t> </w:t>
      </w:r>
      <w:r>
        <w:rPr/>
        <w:t>which</w:t>
      </w:r>
      <w:r>
        <w:rPr>
          <w:spacing w:val="-17"/>
        </w:rPr>
        <w:t> </w:t>
      </w:r>
      <w:r>
        <w:rPr/>
        <w:t>fall</w:t>
      </w:r>
      <w:r>
        <w:rPr>
          <w:spacing w:val="-18"/>
        </w:rPr>
        <w:t> </w:t>
      </w:r>
      <w:r>
        <w:rPr/>
        <w:t>outside</w:t>
      </w:r>
      <w:r>
        <w:rPr>
          <w:spacing w:val="-17"/>
        </w:rPr>
        <w:t> </w:t>
      </w:r>
      <w:r>
        <w:rPr/>
        <w:t>the</w:t>
      </w:r>
      <w:r>
        <w:rPr>
          <w:spacing w:val="-18"/>
        </w:rPr>
        <w:t> </w:t>
      </w:r>
      <w:r>
        <w:rPr/>
        <w:t>models.</w:t>
      </w:r>
      <w:r>
        <w:rPr>
          <w:spacing w:val="-18"/>
        </w:rPr>
        <w:t> </w:t>
      </w:r>
      <w:r>
        <w:rPr/>
        <w:t>This</w:t>
      </w:r>
      <w:r>
        <w:rPr>
          <w:spacing w:val="-17"/>
        </w:rPr>
        <w:t> </w:t>
      </w:r>
      <w:r>
        <w:rPr/>
        <w:t>may</w:t>
      </w:r>
      <w:r>
        <w:rPr>
          <w:spacing w:val="-18"/>
        </w:rPr>
        <w:t> </w:t>
      </w:r>
      <w:r>
        <w:rPr/>
        <w:t>speak</w:t>
      </w:r>
      <w:r>
        <w:rPr>
          <w:spacing w:val="-17"/>
        </w:rPr>
        <w:t> </w:t>
      </w:r>
      <w:r>
        <w:rPr/>
        <w:t>to</w:t>
      </w:r>
      <w:r>
        <w:rPr>
          <w:spacing w:val="-18"/>
        </w:rPr>
        <w:t> </w:t>
      </w:r>
      <w:r>
        <w:rPr/>
        <w:t>the</w:t>
      </w:r>
      <w:r>
        <w:rPr>
          <w:spacing w:val="-17"/>
        </w:rPr>
        <w:t> </w:t>
      </w:r>
      <w:r>
        <w:rPr/>
        <w:t>variety</w:t>
      </w:r>
      <w:r>
        <w:rPr>
          <w:spacing w:val="-18"/>
        </w:rPr>
        <w:t> </w:t>
      </w:r>
      <w:r>
        <w:rPr/>
        <w:t>of</w:t>
      </w:r>
      <w:r>
        <w:rPr>
          <w:spacing w:val="-18"/>
        </w:rPr>
        <w:t> </w:t>
      </w:r>
      <w:r>
        <w:rPr/>
        <w:t>workplaces and environments that different service users are in during their conciliation.</w:t>
      </w:r>
    </w:p>
    <w:p>
      <w:pPr>
        <w:spacing w:after="0" w:line="259" w:lineRule="auto"/>
        <w:jc w:val="both"/>
        <w:sectPr>
          <w:pgSz w:w="11910" w:h="16840"/>
          <w:pgMar w:header="0" w:footer="996" w:top="1340" w:bottom="1180" w:left="460" w:right="320"/>
        </w:sectPr>
      </w:pPr>
    </w:p>
    <w:tbl>
      <w:tblPr>
        <w:tblW w:w="0" w:type="auto"/>
        <w:jc w:val="left"/>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700"/>
        <w:gridCol w:w="1659"/>
        <w:gridCol w:w="1659"/>
        <w:gridCol w:w="1660"/>
        <w:gridCol w:w="1661"/>
      </w:tblGrid>
      <w:tr>
        <w:trPr>
          <w:trHeight w:val="237" w:hRule="atLeast"/>
        </w:trPr>
        <w:tc>
          <w:tcPr>
            <w:tcW w:w="1660" w:type="dxa"/>
            <w:gridSpan w:val="2"/>
            <w:vMerge w:val="restart"/>
          </w:tcPr>
          <w:p>
            <w:pPr>
              <w:pStyle w:val="TableParagraph"/>
              <w:ind w:left="107"/>
              <w:rPr>
                <w:b/>
                <w:sz w:val="20"/>
              </w:rPr>
            </w:pPr>
            <w:r>
              <w:rPr>
                <w:b/>
                <w:spacing w:val="-2"/>
                <w:sz w:val="20"/>
              </w:rPr>
              <w:t>Model</w:t>
            </w:r>
          </w:p>
        </w:tc>
        <w:tc>
          <w:tcPr>
            <w:tcW w:w="1659" w:type="dxa"/>
            <w:tcBorders>
              <w:bottom w:val="nil"/>
            </w:tcBorders>
          </w:tcPr>
          <w:p>
            <w:pPr>
              <w:pStyle w:val="TableParagraph"/>
              <w:spacing w:line="218" w:lineRule="exact"/>
              <w:ind w:left="236" w:right="228"/>
              <w:jc w:val="center"/>
              <w:rPr>
                <w:b/>
                <w:sz w:val="20"/>
              </w:rPr>
            </w:pPr>
            <w:r>
              <w:rPr>
                <w:b/>
                <w:sz w:val="20"/>
              </w:rPr>
              <w:t>Claimant</w:t>
            </w:r>
            <w:r>
              <w:rPr>
                <w:b/>
                <w:spacing w:val="-5"/>
                <w:sz w:val="20"/>
              </w:rPr>
              <w:t> </w:t>
            </w:r>
            <w:r>
              <w:rPr>
                <w:b/>
                <w:spacing w:val="-10"/>
                <w:sz w:val="20"/>
              </w:rPr>
              <w:t>-</w:t>
            </w:r>
          </w:p>
        </w:tc>
        <w:tc>
          <w:tcPr>
            <w:tcW w:w="1659" w:type="dxa"/>
            <w:tcBorders>
              <w:bottom w:val="nil"/>
            </w:tcBorders>
          </w:tcPr>
          <w:p>
            <w:pPr>
              <w:pStyle w:val="TableParagraph"/>
              <w:spacing w:line="218" w:lineRule="exact"/>
              <w:ind w:left="236" w:right="227"/>
              <w:jc w:val="center"/>
              <w:rPr>
                <w:b/>
                <w:sz w:val="20"/>
              </w:rPr>
            </w:pPr>
            <w:r>
              <w:rPr>
                <w:b/>
                <w:sz w:val="20"/>
              </w:rPr>
              <w:t>Claimant</w:t>
            </w:r>
            <w:r>
              <w:rPr>
                <w:b/>
                <w:spacing w:val="-5"/>
                <w:sz w:val="20"/>
              </w:rPr>
              <w:t> </w:t>
            </w:r>
            <w:r>
              <w:rPr>
                <w:b/>
                <w:spacing w:val="-10"/>
                <w:sz w:val="20"/>
              </w:rPr>
              <w:t>-</w:t>
            </w:r>
          </w:p>
        </w:tc>
        <w:tc>
          <w:tcPr>
            <w:tcW w:w="1660" w:type="dxa"/>
            <w:tcBorders>
              <w:bottom w:val="nil"/>
            </w:tcBorders>
          </w:tcPr>
          <w:p>
            <w:pPr>
              <w:pStyle w:val="TableParagraph"/>
              <w:spacing w:line="218" w:lineRule="exact"/>
              <w:ind w:left="209" w:right="195"/>
              <w:jc w:val="center"/>
              <w:rPr>
                <w:b/>
                <w:sz w:val="20"/>
              </w:rPr>
            </w:pPr>
            <w:r>
              <w:rPr>
                <w:b/>
                <w:sz w:val="20"/>
              </w:rPr>
              <w:t>Employer</w:t>
            </w:r>
            <w:r>
              <w:rPr>
                <w:b/>
                <w:spacing w:val="-5"/>
                <w:sz w:val="20"/>
              </w:rPr>
              <w:t> </w:t>
            </w:r>
            <w:r>
              <w:rPr>
                <w:b/>
                <w:spacing w:val="-10"/>
                <w:sz w:val="20"/>
              </w:rPr>
              <w:t>-</w:t>
            </w:r>
          </w:p>
        </w:tc>
        <w:tc>
          <w:tcPr>
            <w:tcW w:w="1661" w:type="dxa"/>
            <w:tcBorders>
              <w:bottom w:val="nil"/>
            </w:tcBorders>
          </w:tcPr>
          <w:p>
            <w:pPr>
              <w:pStyle w:val="TableParagraph"/>
              <w:spacing w:line="218" w:lineRule="exact"/>
              <w:ind w:left="210" w:right="195"/>
              <w:jc w:val="center"/>
              <w:rPr>
                <w:b/>
                <w:sz w:val="20"/>
              </w:rPr>
            </w:pPr>
            <w:r>
              <w:rPr>
                <w:b/>
                <w:sz w:val="20"/>
              </w:rPr>
              <w:t>Employer</w:t>
            </w:r>
            <w:r>
              <w:rPr>
                <w:b/>
                <w:spacing w:val="-5"/>
                <w:sz w:val="20"/>
              </w:rPr>
              <w:t> </w:t>
            </w:r>
            <w:r>
              <w:rPr>
                <w:b/>
                <w:spacing w:val="-10"/>
                <w:sz w:val="20"/>
              </w:rPr>
              <w:t>-</w:t>
            </w:r>
          </w:p>
        </w:tc>
      </w:tr>
      <w:tr>
        <w:trPr>
          <w:trHeight w:val="237" w:hRule="atLeast"/>
        </w:trPr>
        <w:tc>
          <w:tcPr>
            <w:tcW w:w="1660" w:type="dxa"/>
            <w:gridSpan w:val="2"/>
            <w:vMerge/>
            <w:tcBorders>
              <w:top w:val="nil"/>
            </w:tcBorders>
          </w:tcPr>
          <w:p>
            <w:pPr>
              <w:rPr>
                <w:sz w:val="2"/>
                <w:szCs w:val="2"/>
              </w:rPr>
            </w:pPr>
          </w:p>
        </w:tc>
        <w:tc>
          <w:tcPr>
            <w:tcW w:w="1659" w:type="dxa"/>
            <w:tcBorders>
              <w:top w:val="nil"/>
            </w:tcBorders>
          </w:tcPr>
          <w:p>
            <w:pPr>
              <w:pStyle w:val="TableParagraph"/>
              <w:spacing w:line="218" w:lineRule="exact"/>
              <w:ind w:left="236" w:right="227"/>
              <w:jc w:val="center"/>
              <w:rPr>
                <w:b/>
                <w:sz w:val="20"/>
              </w:rPr>
            </w:pPr>
            <w:r>
              <w:rPr>
                <w:b/>
                <w:spacing w:val="-2"/>
                <w:sz w:val="20"/>
              </w:rPr>
              <w:t>internal</w:t>
            </w:r>
          </w:p>
        </w:tc>
        <w:tc>
          <w:tcPr>
            <w:tcW w:w="1659" w:type="dxa"/>
            <w:tcBorders>
              <w:top w:val="nil"/>
            </w:tcBorders>
          </w:tcPr>
          <w:p>
            <w:pPr>
              <w:pStyle w:val="TableParagraph"/>
              <w:spacing w:line="218" w:lineRule="exact"/>
              <w:ind w:left="236" w:right="225"/>
              <w:jc w:val="center"/>
              <w:rPr>
                <w:b/>
                <w:sz w:val="20"/>
              </w:rPr>
            </w:pPr>
            <w:r>
              <w:rPr>
                <w:b/>
                <w:spacing w:val="-2"/>
                <w:sz w:val="20"/>
              </w:rPr>
              <w:t>external</w:t>
            </w:r>
          </w:p>
        </w:tc>
        <w:tc>
          <w:tcPr>
            <w:tcW w:w="1660" w:type="dxa"/>
            <w:tcBorders>
              <w:top w:val="nil"/>
            </w:tcBorders>
          </w:tcPr>
          <w:p>
            <w:pPr>
              <w:pStyle w:val="TableParagraph"/>
              <w:spacing w:line="218" w:lineRule="exact"/>
              <w:ind w:left="209" w:right="194"/>
              <w:jc w:val="center"/>
              <w:rPr>
                <w:b/>
                <w:sz w:val="20"/>
              </w:rPr>
            </w:pPr>
            <w:r>
              <w:rPr>
                <w:b/>
                <w:spacing w:val="-2"/>
                <w:sz w:val="20"/>
              </w:rPr>
              <w:t>internal</w:t>
            </w:r>
          </w:p>
        </w:tc>
        <w:tc>
          <w:tcPr>
            <w:tcW w:w="1661" w:type="dxa"/>
            <w:tcBorders>
              <w:top w:val="nil"/>
            </w:tcBorders>
          </w:tcPr>
          <w:p>
            <w:pPr>
              <w:pStyle w:val="TableParagraph"/>
              <w:spacing w:line="218" w:lineRule="exact"/>
              <w:ind w:left="210" w:right="195"/>
              <w:jc w:val="center"/>
              <w:rPr>
                <w:b/>
                <w:sz w:val="20"/>
              </w:rPr>
            </w:pPr>
            <w:r>
              <w:rPr>
                <w:b/>
                <w:spacing w:val="-2"/>
                <w:sz w:val="20"/>
              </w:rPr>
              <w:t>external</w:t>
            </w:r>
          </w:p>
        </w:tc>
      </w:tr>
      <w:tr>
        <w:trPr>
          <w:trHeight w:val="486" w:hRule="atLeast"/>
        </w:trPr>
        <w:tc>
          <w:tcPr>
            <w:tcW w:w="960" w:type="dxa"/>
            <w:tcBorders>
              <w:right w:val="nil"/>
            </w:tcBorders>
          </w:tcPr>
          <w:p>
            <w:pPr>
              <w:pStyle w:val="TableParagraph"/>
              <w:spacing w:line="244" w:lineRule="exact"/>
              <w:ind w:left="107" w:right="22"/>
              <w:rPr>
                <w:b/>
                <w:sz w:val="20"/>
              </w:rPr>
            </w:pPr>
            <w:r>
              <w:rPr>
                <w:b/>
                <w:spacing w:val="-2"/>
                <w:sz w:val="20"/>
              </w:rPr>
              <w:t>Pseudo Square</w:t>
            </w:r>
          </w:p>
        </w:tc>
        <w:tc>
          <w:tcPr>
            <w:tcW w:w="700" w:type="dxa"/>
            <w:tcBorders>
              <w:left w:val="nil"/>
            </w:tcBorders>
          </w:tcPr>
          <w:p>
            <w:pPr>
              <w:pStyle w:val="TableParagraph"/>
              <w:ind w:left="39"/>
              <w:rPr>
                <w:b/>
                <w:sz w:val="20"/>
              </w:rPr>
            </w:pPr>
            <w:r>
              <w:rPr>
                <w:b/>
                <w:spacing w:val="-5"/>
                <w:sz w:val="20"/>
              </w:rPr>
              <w:t>R-</w:t>
            </w:r>
          </w:p>
        </w:tc>
        <w:tc>
          <w:tcPr>
            <w:tcW w:w="1659" w:type="dxa"/>
          </w:tcPr>
          <w:p>
            <w:pPr>
              <w:pStyle w:val="TableParagraph"/>
              <w:spacing w:before="122"/>
              <w:ind w:left="236" w:right="227"/>
              <w:jc w:val="center"/>
              <w:rPr>
                <w:sz w:val="20"/>
              </w:rPr>
            </w:pPr>
            <w:r>
              <w:rPr>
                <w:spacing w:val="-2"/>
                <w:sz w:val="20"/>
              </w:rPr>
              <w:t>0.0781</w:t>
            </w:r>
          </w:p>
        </w:tc>
        <w:tc>
          <w:tcPr>
            <w:tcW w:w="1659" w:type="dxa"/>
          </w:tcPr>
          <w:p>
            <w:pPr>
              <w:pStyle w:val="TableParagraph"/>
              <w:spacing w:before="122"/>
              <w:ind w:left="236" w:right="225"/>
              <w:jc w:val="center"/>
              <w:rPr>
                <w:sz w:val="20"/>
              </w:rPr>
            </w:pPr>
            <w:r>
              <w:rPr>
                <w:spacing w:val="-2"/>
                <w:sz w:val="20"/>
              </w:rPr>
              <w:t>0.1766</w:t>
            </w:r>
          </w:p>
        </w:tc>
        <w:tc>
          <w:tcPr>
            <w:tcW w:w="1660" w:type="dxa"/>
          </w:tcPr>
          <w:p>
            <w:pPr>
              <w:pStyle w:val="TableParagraph"/>
              <w:spacing w:before="122"/>
              <w:ind w:left="209" w:right="194"/>
              <w:jc w:val="center"/>
              <w:rPr>
                <w:sz w:val="20"/>
              </w:rPr>
            </w:pPr>
            <w:r>
              <w:rPr>
                <w:spacing w:val="-2"/>
                <w:sz w:val="20"/>
              </w:rPr>
              <w:t>0.0456</w:t>
            </w:r>
          </w:p>
        </w:tc>
        <w:tc>
          <w:tcPr>
            <w:tcW w:w="1661" w:type="dxa"/>
          </w:tcPr>
          <w:p>
            <w:pPr>
              <w:pStyle w:val="TableParagraph"/>
              <w:spacing w:before="122"/>
              <w:ind w:left="210" w:right="194"/>
              <w:jc w:val="center"/>
              <w:rPr>
                <w:sz w:val="20"/>
              </w:rPr>
            </w:pPr>
            <w:r>
              <w:rPr>
                <w:spacing w:val="-2"/>
                <w:sz w:val="20"/>
              </w:rPr>
              <w:t>0.0387</w:t>
            </w:r>
          </w:p>
        </w:tc>
      </w:tr>
    </w:tbl>
    <w:p>
      <w:pPr>
        <w:pStyle w:val="BodyText"/>
      </w:pPr>
    </w:p>
    <w:p>
      <w:pPr>
        <w:pStyle w:val="BodyText"/>
        <w:spacing w:before="10"/>
        <w:rPr>
          <w:sz w:val="16"/>
        </w:rPr>
      </w:pPr>
    </w:p>
    <w:p>
      <w:pPr>
        <w:pStyle w:val="Heading3"/>
        <w:numPr>
          <w:ilvl w:val="1"/>
          <w:numId w:val="2"/>
        </w:numPr>
        <w:tabs>
          <w:tab w:pos="1974" w:val="left" w:leader="none"/>
        </w:tabs>
        <w:spacing w:line="240" w:lineRule="auto" w:before="100" w:after="0"/>
        <w:ind w:left="1973" w:right="0" w:hanging="637"/>
        <w:jc w:val="both"/>
      </w:pPr>
      <w:bookmarkStart w:name="16.3  Settlement details" w:id="200"/>
      <w:bookmarkEnd w:id="200"/>
      <w:r>
        <w:rPr>
          <w:b w:val="0"/>
        </w:rPr>
      </w:r>
      <w:bookmarkStart w:name="_bookmark50" w:id="201"/>
      <w:bookmarkEnd w:id="201"/>
      <w:r>
        <w:rPr/>
        <w:t>Se</w:t>
      </w:r>
      <w:r>
        <w:rPr/>
        <w:t>ttlement</w:t>
      </w:r>
      <w:r>
        <w:rPr>
          <w:spacing w:val="-10"/>
        </w:rPr>
        <w:t> </w:t>
      </w:r>
      <w:r>
        <w:rPr>
          <w:spacing w:val="-2"/>
        </w:rPr>
        <w:t>details</w:t>
      </w:r>
    </w:p>
    <w:p>
      <w:pPr>
        <w:pStyle w:val="BodyText"/>
        <w:spacing w:line="259" w:lineRule="auto" w:before="121"/>
        <w:ind w:left="1337" w:right="1474"/>
        <w:jc w:val="both"/>
      </w:pPr>
      <w:r>
        <w:rPr/>
        <w:t>Most participants who reached a settlement (either an Acas-agreed COT3 settlement</w:t>
      </w:r>
      <w:r>
        <w:rPr>
          <w:spacing w:val="-16"/>
        </w:rPr>
        <w:t> </w:t>
      </w:r>
      <w:r>
        <w:rPr/>
        <w:t>or</w:t>
      </w:r>
      <w:r>
        <w:rPr>
          <w:spacing w:val="-15"/>
        </w:rPr>
        <w:t> </w:t>
      </w:r>
      <w:r>
        <w:rPr/>
        <w:t>a</w:t>
      </w:r>
      <w:r>
        <w:rPr>
          <w:spacing w:val="-15"/>
        </w:rPr>
        <w:t> </w:t>
      </w:r>
      <w:r>
        <w:rPr/>
        <w:t>private</w:t>
      </w:r>
      <w:r>
        <w:rPr>
          <w:spacing w:val="-18"/>
        </w:rPr>
        <w:t> </w:t>
      </w:r>
      <w:r>
        <w:rPr/>
        <w:t>settlement)</w:t>
      </w:r>
      <w:r>
        <w:rPr>
          <w:spacing w:val="-16"/>
        </w:rPr>
        <w:t> </w:t>
      </w:r>
      <w:r>
        <w:rPr/>
        <w:t>reported</w:t>
      </w:r>
      <w:r>
        <w:rPr>
          <w:spacing w:val="-15"/>
        </w:rPr>
        <w:t> </w:t>
      </w:r>
      <w:r>
        <w:rPr/>
        <w:t>that</w:t>
      </w:r>
      <w:r>
        <w:rPr>
          <w:spacing w:val="-15"/>
        </w:rPr>
        <w:t> </w:t>
      </w:r>
      <w:r>
        <w:rPr/>
        <w:t>financial</w:t>
      </w:r>
      <w:r>
        <w:rPr>
          <w:spacing w:val="-16"/>
        </w:rPr>
        <w:t> </w:t>
      </w:r>
      <w:r>
        <w:rPr/>
        <w:t>compensation</w:t>
      </w:r>
      <w:r>
        <w:rPr>
          <w:spacing w:val="-16"/>
        </w:rPr>
        <w:t> </w:t>
      </w:r>
      <w:r>
        <w:rPr/>
        <w:t>was</w:t>
      </w:r>
      <w:r>
        <w:rPr>
          <w:spacing w:val="-16"/>
        </w:rPr>
        <w:t> </w:t>
      </w:r>
      <w:r>
        <w:rPr/>
        <w:t>a</w:t>
      </w:r>
      <w:r>
        <w:rPr>
          <w:spacing w:val="-16"/>
        </w:rPr>
        <w:t> </w:t>
      </w:r>
      <w:r>
        <w:rPr/>
        <w:t>part of</w:t>
      </w:r>
      <w:r>
        <w:rPr>
          <w:spacing w:val="-5"/>
        </w:rPr>
        <w:t> </w:t>
      </w:r>
      <w:r>
        <w:rPr/>
        <w:t>the</w:t>
      </w:r>
      <w:r>
        <w:rPr>
          <w:spacing w:val="-6"/>
        </w:rPr>
        <w:t> </w:t>
      </w:r>
      <w:r>
        <w:rPr/>
        <w:t>agreement</w:t>
      </w:r>
      <w:r>
        <w:rPr>
          <w:spacing w:val="-5"/>
        </w:rPr>
        <w:t> </w:t>
      </w:r>
      <w:r>
        <w:rPr/>
        <w:t>(82</w:t>
      </w:r>
      <w:r>
        <w:rPr>
          <w:spacing w:val="-7"/>
        </w:rPr>
        <w:t> </w:t>
      </w:r>
      <w:r>
        <w:rPr/>
        <w:t>per</w:t>
      </w:r>
      <w:r>
        <w:rPr>
          <w:spacing w:val="-6"/>
        </w:rPr>
        <w:t> </w:t>
      </w:r>
      <w:r>
        <w:rPr/>
        <w:t>cent</w:t>
      </w:r>
      <w:r>
        <w:rPr>
          <w:spacing w:val="-5"/>
        </w:rPr>
        <w:t> </w:t>
      </w:r>
      <w:r>
        <w:rPr/>
        <w:t>of</w:t>
      </w:r>
      <w:r>
        <w:rPr>
          <w:spacing w:val="-6"/>
        </w:rPr>
        <w:t> </w:t>
      </w:r>
      <w:r>
        <w:rPr/>
        <w:t>claimant-side</w:t>
      </w:r>
      <w:r>
        <w:rPr>
          <w:spacing w:val="-5"/>
        </w:rPr>
        <w:t> </w:t>
      </w:r>
      <w:r>
        <w:rPr/>
        <w:t>participants</w:t>
      </w:r>
      <w:r>
        <w:rPr>
          <w:spacing w:val="-6"/>
        </w:rPr>
        <w:t> </w:t>
      </w:r>
      <w:r>
        <w:rPr/>
        <w:t>said</w:t>
      </w:r>
      <w:r>
        <w:rPr>
          <w:spacing w:val="-6"/>
        </w:rPr>
        <w:t> </w:t>
      </w:r>
      <w:r>
        <w:rPr/>
        <w:t>this,</w:t>
      </w:r>
      <w:r>
        <w:rPr>
          <w:spacing w:val="-7"/>
        </w:rPr>
        <w:t> </w:t>
      </w:r>
      <w:r>
        <w:rPr/>
        <w:t>as</w:t>
      </w:r>
      <w:r>
        <w:rPr>
          <w:spacing w:val="-6"/>
        </w:rPr>
        <w:t> </w:t>
      </w:r>
      <w:r>
        <w:rPr/>
        <w:t>did</w:t>
      </w:r>
      <w:r>
        <w:rPr>
          <w:spacing w:val="-6"/>
        </w:rPr>
        <w:t> </w:t>
      </w:r>
      <w:r>
        <w:rPr/>
        <w:t>75</w:t>
      </w:r>
      <w:r>
        <w:rPr>
          <w:spacing w:val="-6"/>
        </w:rPr>
        <w:t> </w:t>
      </w:r>
      <w:r>
        <w:rPr/>
        <w:t>per cent of employer-side participants). A fifth (18 per cent) of claimant-side participants</w:t>
      </w:r>
      <w:r>
        <w:rPr>
          <w:spacing w:val="-9"/>
        </w:rPr>
        <w:t> </w:t>
      </w:r>
      <w:r>
        <w:rPr/>
        <w:t>said</w:t>
      </w:r>
      <w:r>
        <w:rPr>
          <w:spacing w:val="-9"/>
        </w:rPr>
        <w:t> </w:t>
      </w:r>
      <w:r>
        <w:rPr/>
        <w:t>they</w:t>
      </w:r>
      <w:r>
        <w:rPr>
          <w:spacing w:val="-9"/>
        </w:rPr>
        <w:t> </w:t>
      </w:r>
      <w:r>
        <w:rPr/>
        <w:t>had</w:t>
      </w:r>
      <w:r>
        <w:rPr>
          <w:spacing w:val="-9"/>
        </w:rPr>
        <w:t> </w:t>
      </w:r>
      <w:r>
        <w:rPr/>
        <w:t>received</w:t>
      </w:r>
      <w:r>
        <w:rPr>
          <w:spacing w:val="-8"/>
        </w:rPr>
        <w:t> </w:t>
      </w:r>
      <w:r>
        <w:rPr/>
        <w:t>a</w:t>
      </w:r>
      <w:r>
        <w:rPr>
          <w:spacing w:val="-9"/>
        </w:rPr>
        <w:t> </w:t>
      </w:r>
      <w:r>
        <w:rPr/>
        <w:t>reference,</w:t>
      </w:r>
      <w:r>
        <w:rPr>
          <w:spacing w:val="-9"/>
        </w:rPr>
        <w:t> </w:t>
      </w:r>
      <w:r>
        <w:rPr/>
        <w:t>while</w:t>
      </w:r>
      <w:r>
        <w:rPr>
          <w:spacing w:val="-9"/>
        </w:rPr>
        <w:t> </w:t>
      </w:r>
      <w:r>
        <w:rPr/>
        <w:t>10</w:t>
      </w:r>
      <w:r>
        <w:rPr>
          <w:spacing w:val="-9"/>
        </w:rPr>
        <w:t> </w:t>
      </w:r>
      <w:r>
        <w:rPr/>
        <w:t>per</w:t>
      </w:r>
      <w:r>
        <w:rPr>
          <w:spacing w:val="-9"/>
        </w:rPr>
        <w:t> </w:t>
      </w:r>
      <w:r>
        <w:rPr/>
        <w:t>cent</w:t>
      </w:r>
      <w:r>
        <w:rPr>
          <w:spacing w:val="-9"/>
        </w:rPr>
        <w:t> </w:t>
      </w:r>
      <w:r>
        <w:rPr/>
        <w:t>of</w:t>
      </w:r>
      <w:r>
        <w:rPr>
          <w:spacing w:val="-9"/>
        </w:rPr>
        <w:t> </w:t>
      </w:r>
      <w:r>
        <w:rPr/>
        <w:t>employer-side participants reported this to have</w:t>
      </w:r>
      <w:r>
        <w:rPr>
          <w:spacing w:val="-1"/>
        </w:rPr>
        <w:t> </w:t>
      </w:r>
      <w:r>
        <w:rPr/>
        <w:t>been the</w:t>
      </w:r>
      <w:r>
        <w:rPr>
          <w:spacing w:val="-1"/>
        </w:rPr>
        <w:t> </w:t>
      </w:r>
      <w:r>
        <w:rPr/>
        <w:t>case. For a</w:t>
      </w:r>
      <w:r>
        <w:rPr>
          <w:spacing w:val="-1"/>
        </w:rPr>
        <w:t> </w:t>
      </w:r>
      <w:r>
        <w:rPr/>
        <w:t>minority (two</w:t>
      </w:r>
      <w:r>
        <w:rPr>
          <w:spacing w:val="-1"/>
        </w:rPr>
        <w:t> </w:t>
      </w:r>
      <w:r>
        <w:rPr/>
        <w:t>per cent and one per cent respectively), an apology was issued or a letter of explanation (both one per cent). This reflects the commonly reported settlements at EC.</w:t>
      </w:r>
    </w:p>
    <w:p>
      <w:pPr>
        <w:pStyle w:val="BodyText"/>
        <w:spacing w:before="4"/>
        <w:rPr>
          <w:sz w:val="21"/>
        </w:rPr>
      </w:pPr>
    </w:p>
    <w:p>
      <w:pPr>
        <w:pStyle w:val="BodyText"/>
        <w:spacing w:line="259" w:lineRule="auto"/>
        <w:ind w:left="1337" w:right="1473"/>
        <w:jc w:val="both"/>
      </w:pPr>
      <w:r>
        <w:rPr/>
        <w:t>The reported outcome aligned closely with 2016, when a majority (86 per cent of claimant-side</w:t>
      </w:r>
      <w:r>
        <w:rPr>
          <w:spacing w:val="-4"/>
        </w:rPr>
        <w:t> </w:t>
      </w:r>
      <w:r>
        <w:rPr/>
        <w:t>participants</w:t>
      </w:r>
      <w:r>
        <w:rPr>
          <w:spacing w:val="-3"/>
        </w:rPr>
        <w:t> </w:t>
      </w:r>
      <w:r>
        <w:rPr/>
        <w:t>and</w:t>
      </w:r>
      <w:r>
        <w:rPr>
          <w:spacing w:val="-3"/>
        </w:rPr>
        <w:t> </w:t>
      </w:r>
      <w:r>
        <w:rPr/>
        <w:t>80</w:t>
      </w:r>
      <w:r>
        <w:rPr>
          <w:spacing w:val="-6"/>
        </w:rPr>
        <w:t> </w:t>
      </w:r>
      <w:r>
        <w:rPr/>
        <w:t>per</w:t>
      </w:r>
      <w:r>
        <w:rPr>
          <w:spacing w:val="-3"/>
        </w:rPr>
        <w:t> </w:t>
      </w:r>
      <w:r>
        <w:rPr/>
        <w:t>cent</w:t>
      </w:r>
      <w:r>
        <w:rPr>
          <w:spacing w:val="-3"/>
        </w:rPr>
        <w:t> </w:t>
      </w:r>
      <w:r>
        <w:rPr/>
        <w:t>of</w:t>
      </w:r>
      <w:r>
        <w:rPr>
          <w:spacing w:val="-5"/>
        </w:rPr>
        <w:t> </w:t>
      </w:r>
      <w:r>
        <w:rPr/>
        <w:t>employer-side</w:t>
      </w:r>
      <w:r>
        <w:rPr>
          <w:spacing w:val="-4"/>
        </w:rPr>
        <w:t> </w:t>
      </w:r>
      <w:r>
        <w:rPr/>
        <w:t>participants)</w:t>
      </w:r>
      <w:r>
        <w:rPr>
          <w:spacing w:val="-4"/>
        </w:rPr>
        <w:t> </w:t>
      </w:r>
      <w:r>
        <w:rPr/>
        <w:t>said</w:t>
      </w:r>
      <w:r>
        <w:rPr>
          <w:spacing w:val="-3"/>
        </w:rPr>
        <w:t> </w:t>
      </w:r>
      <w:r>
        <w:rPr/>
        <w:t>that financial compensation had been a part of the agreement and a quarter (28 per cent and 24 per cent) reported that a reference was given.</w:t>
      </w:r>
    </w:p>
    <w:p>
      <w:pPr>
        <w:pStyle w:val="BodyText"/>
        <w:spacing w:before="6"/>
        <w:rPr>
          <w:sz w:val="21"/>
        </w:rPr>
      </w:pPr>
    </w:p>
    <w:p>
      <w:pPr>
        <w:pStyle w:val="BodyText"/>
        <w:spacing w:line="259" w:lineRule="auto"/>
        <w:ind w:left="1337" w:right="1473"/>
        <w:jc w:val="both"/>
      </w:pPr>
      <w:r>
        <w:rPr/>
        <w:t>In contrast to 2016, claimant-side participants involved in open track disputes in 2019 were no less likely to report having received financial compensation than those involved in fast or standard track disputes. Claimants in standard or open track</w:t>
      </w:r>
      <w:r>
        <w:rPr>
          <w:spacing w:val="-3"/>
        </w:rPr>
        <w:t> </w:t>
      </w:r>
      <w:r>
        <w:rPr/>
        <w:t>disputes</w:t>
      </w:r>
      <w:r>
        <w:rPr>
          <w:spacing w:val="-3"/>
        </w:rPr>
        <w:t> </w:t>
      </w:r>
      <w:r>
        <w:rPr/>
        <w:t>remained</w:t>
      </w:r>
      <w:r>
        <w:rPr>
          <w:spacing w:val="-3"/>
        </w:rPr>
        <w:t> </w:t>
      </w:r>
      <w:r>
        <w:rPr/>
        <w:t>more</w:t>
      </w:r>
      <w:r>
        <w:rPr>
          <w:spacing w:val="-3"/>
        </w:rPr>
        <w:t> </w:t>
      </w:r>
      <w:r>
        <w:rPr/>
        <w:t>likely</w:t>
      </w:r>
      <w:r>
        <w:rPr>
          <w:spacing w:val="-3"/>
        </w:rPr>
        <w:t> </w:t>
      </w:r>
      <w:r>
        <w:rPr/>
        <w:t>to</w:t>
      </w:r>
      <w:r>
        <w:rPr>
          <w:spacing w:val="-5"/>
        </w:rPr>
        <w:t> </w:t>
      </w:r>
      <w:r>
        <w:rPr/>
        <w:t>have</w:t>
      </w:r>
      <w:r>
        <w:rPr>
          <w:spacing w:val="-3"/>
        </w:rPr>
        <w:t> </w:t>
      </w:r>
      <w:r>
        <w:rPr/>
        <w:t>received</w:t>
      </w:r>
      <w:r>
        <w:rPr>
          <w:spacing w:val="-3"/>
        </w:rPr>
        <w:t> </w:t>
      </w:r>
      <w:r>
        <w:rPr/>
        <w:t>a</w:t>
      </w:r>
      <w:r>
        <w:rPr>
          <w:spacing w:val="-3"/>
        </w:rPr>
        <w:t> </w:t>
      </w:r>
      <w:r>
        <w:rPr/>
        <w:t>reference</w:t>
      </w:r>
      <w:r>
        <w:rPr>
          <w:spacing w:val="-3"/>
        </w:rPr>
        <w:t> </w:t>
      </w:r>
      <w:r>
        <w:rPr/>
        <w:t>(22</w:t>
      </w:r>
      <w:r>
        <w:rPr>
          <w:spacing w:val="-4"/>
        </w:rPr>
        <w:t> </w:t>
      </w:r>
      <w:r>
        <w:rPr/>
        <w:t>per</w:t>
      </w:r>
      <w:r>
        <w:rPr>
          <w:spacing w:val="-3"/>
        </w:rPr>
        <w:t> </w:t>
      </w:r>
      <w:r>
        <w:rPr/>
        <w:t>cent</w:t>
      </w:r>
      <w:r>
        <w:rPr>
          <w:spacing w:val="-4"/>
        </w:rPr>
        <w:t> </w:t>
      </w:r>
      <w:r>
        <w:rPr/>
        <w:t>and 25 per cent).</w:t>
      </w:r>
    </w:p>
    <w:p>
      <w:pPr>
        <w:pStyle w:val="BodyText"/>
        <w:spacing w:before="6"/>
        <w:rPr>
          <w:sz w:val="21"/>
        </w:rPr>
      </w:pPr>
    </w:p>
    <w:p>
      <w:pPr>
        <w:pStyle w:val="BodyText"/>
        <w:spacing w:line="259" w:lineRule="auto" w:before="1"/>
        <w:ind w:left="1337" w:right="1474"/>
        <w:jc w:val="both"/>
      </w:pPr>
      <w:r>
        <w:rPr/>
        <w:t>Employer-side</w:t>
      </w:r>
      <w:r>
        <w:rPr>
          <w:spacing w:val="-16"/>
        </w:rPr>
        <w:t> </w:t>
      </w:r>
      <w:r>
        <w:rPr/>
        <w:t>participants</w:t>
      </w:r>
      <w:r>
        <w:rPr>
          <w:spacing w:val="-16"/>
        </w:rPr>
        <w:t> </w:t>
      </w:r>
      <w:r>
        <w:rPr/>
        <w:t>involved</w:t>
      </w:r>
      <w:r>
        <w:rPr>
          <w:spacing w:val="-15"/>
        </w:rPr>
        <w:t> </w:t>
      </w:r>
      <w:r>
        <w:rPr/>
        <w:t>in</w:t>
      </w:r>
      <w:r>
        <w:rPr>
          <w:spacing w:val="-15"/>
        </w:rPr>
        <w:t> </w:t>
      </w:r>
      <w:r>
        <w:rPr/>
        <w:t>open</w:t>
      </w:r>
      <w:r>
        <w:rPr>
          <w:spacing w:val="-16"/>
        </w:rPr>
        <w:t> </w:t>
      </w:r>
      <w:r>
        <w:rPr/>
        <w:t>track</w:t>
      </w:r>
      <w:r>
        <w:rPr>
          <w:spacing w:val="-16"/>
        </w:rPr>
        <w:t> </w:t>
      </w:r>
      <w:r>
        <w:rPr/>
        <w:t>disputes</w:t>
      </w:r>
      <w:r>
        <w:rPr>
          <w:spacing w:val="-17"/>
        </w:rPr>
        <w:t> </w:t>
      </w:r>
      <w:r>
        <w:rPr/>
        <w:t>were</w:t>
      </w:r>
      <w:r>
        <w:rPr>
          <w:spacing w:val="-16"/>
        </w:rPr>
        <w:t> </w:t>
      </w:r>
      <w:r>
        <w:rPr/>
        <w:t>less</w:t>
      </w:r>
      <w:r>
        <w:rPr>
          <w:spacing w:val="-15"/>
        </w:rPr>
        <w:t> </w:t>
      </w:r>
      <w:r>
        <w:rPr/>
        <w:t>likely</w:t>
      </w:r>
      <w:r>
        <w:rPr>
          <w:spacing w:val="-15"/>
        </w:rPr>
        <w:t> </w:t>
      </w:r>
      <w:r>
        <w:rPr/>
        <w:t>to</w:t>
      </w:r>
      <w:r>
        <w:rPr>
          <w:spacing w:val="-15"/>
        </w:rPr>
        <w:t> </w:t>
      </w:r>
      <w:r>
        <w:rPr/>
        <w:t>report that</w:t>
      </w:r>
      <w:r>
        <w:rPr>
          <w:spacing w:val="-8"/>
        </w:rPr>
        <w:t> </w:t>
      </w:r>
      <w:r>
        <w:rPr/>
        <w:t>financial</w:t>
      </w:r>
      <w:r>
        <w:rPr>
          <w:spacing w:val="-8"/>
        </w:rPr>
        <w:t> </w:t>
      </w:r>
      <w:r>
        <w:rPr/>
        <w:t>compensation</w:t>
      </w:r>
      <w:r>
        <w:rPr>
          <w:spacing w:val="-6"/>
        </w:rPr>
        <w:t> </w:t>
      </w:r>
      <w:r>
        <w:rPr/>
        <w:t>had</w:t>
      </w:r>
      <w:r>
        <w:rPr>
          <w:spacing w:val="-8"/>
        </w:rPr>
        <w:t> </w:t>
      </w:r>
      <w:r>
        <w:rPr/>
        <w:t>been</w:t>
      </w:r>
      <w:r>
        <w:rPr>
          <w:spacing w:val="-6"/>
        </w:rPr>
        <w:t> </w:t>
      </w:r>
      <w:r>
        <w:rPr/>
        <w:t>a</w:t>
      </w:r>
      <w:r>
        <w:rPr>
          <w:spacing w:val="-8"/>
        </w:rPr>
        <w:t> </w:t>
      </w:r>
      <w:r>
        <w:rPr/>
        <w:t>part</w:t>
      </w:r>
      <w:r>
        <w:rPr>
          <w:spacing w:val="-8"/>
        </w:rPr>
        <w:t> </w:t>
      </w:r>
      <w:r>
        <w:rPr/>
        <w:t>of</w:t>
      </w:r>
      <w:r>
        <w:rPr>
          <w:spacing w:val="-7"/>
        </w:rPr>
        <w:t> </w:t>
      </w:r>
      <w:r>
        <w:rPr/>
        <w:t>the</w:t>
      </w:r>
      <w:r>
        <w:rPr>
          <w:spacing w:val="-8"/>
        </w:rPr>
        <w:t> </w:t>
      </w:r>
      <w:r>
        <w:rPr/>
        <w:t>agreement,</w:t>
      </w:r>
      <w:r>
        <w:rPr>
          <w:spacing w:val="-8"/>
        </w:rPr>
        <w:t> </w:t>
      </w:r>
      <w:r>
        <w:rPr/>
        <w:t>although</w:t>
      </w:r>
      <w:r>
        <w:rPr>
          <w:spacing w:val="-7"/>
        </w:rPr>
        <w:t> </w:t>
      </w:r>
      <w:r>
        <w:rPr/>
        <w:t>two</w:t>
      </w:r>
      <w:r>
        <w:rPr>
          <w:spacing w:val="-8"/>
        </w:rPr>
        <w:t> </w:t>
      </w:r>
      <w:r>
        <w:rPr/>
        <w:t>thirds still said this had been the case (65 per cent).</w:t>
      </w:r>
    </w:p>
    <w:p>
      <w:pPr>
        <w:pStyle w:val="BodyText"/>
        <w:spacing w:before="5"/>
        <w:rPr>
          <w:sz w:val="21"/>
        </w:rPr>
      </w:pPr>
    </w:p>
    <w:p>
      <w:pPr>
        <w:pStyle w:val="BodyText"/>
        <w:spacing w:line="259" w:lineRule="auto"/>
        <w:ind w:left="1337" w:right="1473"/>
        <w:jc w:val="both"/>
      </w:pPr>
      <w:r>
        <w:rPr/>
        <w:t>The average value of the financial settlements reported was £9,298 among claimant-side participants and £8,005 among employer-side participants. This represents</w:t>
      </w:r>
      <w:r>
        <w:rPr>
          <w:spacing w:val="22"/>
        </w:rPr>
        <w:t> </w:t>
      </w:r>
      <w:r>
        <w:rPr/>
        <w:t>a</w:t>
      </w:r>
      <w:r>
        <w:rPr>
          <w:spacing w:val="26"/>
        </w:rPr>
        <w:t> </w:t>
      </w:r>
      <w:r>
        <w:rPr/>
        <w:t>decrease</w:t>
      </w:r>
      <w:r>
        <w:rPr>
          <w:spacing w:val="23"/>
        </w:rPr>
        <w:t> </w:t>
      </w:r>
      <w:r>
        <w:rPr/>
        <w:t>of</w:t>
      </w:r>
      <w:r>
        <w:rPr>
          <w:spacing w:val="26"/>
        </w:rPr>
        <w:t> </w:t>
      </w:r>
      <w:r>
        <w:rPr/>
        <w:t>£769</w:t>
      </w:r>
      <w:r>
        <w:rPr>
          <w:spacing w:val="23"/>
        </w:rPr>
        <w:t> </w:t>
      </w:r>
      <w:r>
        <w:rPr/>
        <w:t>for</w:t>
      </w:r>
      <w:r>
        <w:rPr>
          <w:spacing w:val="24"/>
        </w:rPr>
        <w:t> </w:t>
      </w:r>
      <w:r>
        <w:rPr/>
        <w:t>claimant-side</w:t>
      </w:r>
      <w:r>
        <w:rPr>
          <w:spacing w:val="25"/>
        </w:rPr>
        <w:t> </w:t>
      </w:r>
      <w:r>
        <w:rPr/>
        <w:t>participants</w:t>
      </w:r>
      <w:r>
        <w:rPr>
          <w:spacing w:val="25"/>
        </w:rPr>
        <w:t> </w:t>
      </w:r>
      <w:r>
        <w:rPr/>
        <w:t>and</w:t>
      </w:r>
      <w:r>
        <w:rPr>
          <w:spacing w:val="25"/>
        </w:rPr>
        <w:t> </w:t>
      </w:r>
      <w:r>
        <w:rPr/>
        <w:t>an</w:t>
      </w:r>
      <w:r>
        <w:rPr>
          <w:spacing w:val="24"/>
        </w:rPr>
        <w:t> </w:t>
      </w:r>
      <w:r>
        <w:rPr/>
        <w:t>increase</w:t>
      </w:r>
      <w:r>
        <w:rPr>
          <w:spacing w:val="25"/>
        </w:rPr>
        <w:t> </w:t>
      </w:r>
      <w:r>
        <w:rPr>
          <w:spacing w:val="-5"/>
        </w:rPr>
        <w:t>of</w:t>
      </w:r>
    </w:p>
    <w:p>
      <w:pPr>
        <w:pStyle w:val="BodyText"/>
        <w:spacing w:line="259" w:lineRule="auto"/>
        <w:ind w:left="1337" w:right="1472"/>
        <w:jc w:val="both"/>
      </w:pPr>
      <w:r>
        <w:rPr/>
        <w:t>£925 cited by employer-side participants since 2016, although there is wide variation beneath this</w:t>
      </w:r>
      <w:r>
        <w:rPr>
          <w:spacing w:val="-1"/>
        </w:rPr>
        <w:t> </w:t>
      </w:r>
      <w:r>
        <w:rPr/>
        <w:t>mean: the</w:t>
      </w:r>
      <w:r>
        <w:rPr>
          <w:spacing w:val="-2"/>
        </w:rPr>
        <w:t> </w:t>
      </w:r>
      <w:r>
        <w:rPr/>
        <w:t>median value</w:t>
      </w:r>
      <w:r>
        <w:rPr>
          <w:spacing w:val="-1"/>
        </w:rPr>
        <w:t> </w:t>
      </w:r>
      <w:r>
        <w:rPr/>
        <w:t>was</w:t>
      </w:r>
      <w:r>
        <w:rPr>
          <w:spacing w:val="-1"/>
        </w:rPr>
        <w:t> </w:t>
      </w:r>
      <w:r>
        <w:rPr/>
        <w:t>£3,000</w:t>
      </w:r>
      <w:r>
        <w:rPr>
          <w:spacing w:val="-1"/>
        </w:rPr>
        <w:t> </w:t>
      </w:r>
      <w:r>
        <w:rPr/>
        <w:t>among</w:t>
      </w:r>
      <w:r>
        <w:rPr>
          <w:spacing w:val="-2"/>
        </w:rPr>
        <w:t> </w:t>
      </w:r>
      <w:r>
        <w:rPr/>
        <w:t>both claimants and employers.</w:t>
      </w:r>
    </w:p>
    <w:p>
      <w:pPr>
        <w:pStyle w:val="BodyText"/>
        <w:spacing w:before="5"/>
        <w:rPr>
          <w:sz w:val="21"/>
        </w:rPr>
      </w:pPr>
    </w:p>
    <w:p>
      <w:pPr>
        <w:pStyle w:val="BodyText"/>
        <w:spacing w:line="259" w:lineRule="auto"/>
        <w:ind w:left="1337" w:right="1472"/>
        <w:jc w:val="both"/>
      </w:pPr>
      <w:r>
        <w:rPr/>
        <w:t>The</w:t>
      </w:r>
      <w:r>
        <w:rPr>
          <w:spacing w:val="-13"/>
        </w:rPr>
        <w:t> </w:t>
      </w:r>
      <w:r>
        <w:rPr/>
        <w:t>value</w:t>
      </w:r>
      <w:r>
        <w:rPr>
          <w:spacing w:val="-13"/>
        </w:rPr>
        <w:t> </w:t>
      </w:r>
      <w:r>
        <w:rPr/>
        <w:t>of</w:t>
      </w:r>
      <w:r>
        <w:rPr>
          <w:spacing w:val="-13"/>
        </w:rPr>
        <w:t> </w:t>
      </w:r>
      <w:r>
        <w:rPr/>
        <w:t>financial</w:t>
      </w:r>
      <w:r>
        <w:rPr>
          <w:spacing w:val="-14"/>
        </w:rPr>
        <w:t> </w:t>
      </w:r>
      <w:r>
        <w:rPr/>
        <w:t>settlements</w:t>
      </w:r>
      <w:r>
        <w:rPr>
          <w:spacing w:val="-13"/>
        </w:rPr>
        <w:t> </w:t>
      </w:r>
      <w:r>
        <w:rPr/>
        <w:t>differed</w:t>
      </w:r>
      <w:r>
        <w:rPr>
          <w:spacing w:val="-13"/>
        </w:rPr>
        <w:t> </w:t>
      </w:r>
      <w:r>
        <w:rPr/>
        <w:t>significantly</w:t>
      </w:r>
      <w:r>
        <w:rPr>
          <w:spacing w:val="-12"/>
        </w:rPr>
        <w:t> </w:t>
      </w:r>
      <w:r>
        <w:rPr/>
        <w:t>across</w:t>
      </w:r>
      <w:r>
        <w:rPr>
          <w:spacing w:val="-13"/>
        </w:rPr>
        <w:t> </w:t>
      </w:r>
      <w:r>
        <w:rPr/>
        <w:t>case</w:t>
      </w:r>
      <w:r>
        <w:rPr>
          <w:spacing w:val="-13"/>
        </w:rPr>
        <w:t> </w:t>
      </w:r>
      <w:r>
        <w:rPr/>
        <w:t>track</w:t>
      </w:r>
      <w:r>
        <w:rPr>
          <w:spacing w:val="-12"/>
        </w:rPr>
        <w:t> </w:t>
      </w:r>
      <w:r>
        <w:rPr/>
        <w:t>(see</w:t>
      </w:r>
      <w:r>
        <w:rPr>
          <w:spacing w:val="-13"/>
        </w:rPr>
        <w:t> </w:t>
      </w:r>
      <w:r>
        <w:rPr/>
        <w:t>Table 25). Those in open track disputes reported the highest settlement value, while those in fast track disputes reported the lowest. Note that the mean value of settlement</w:t>
      </w:r>
      <w:r>
        <w:rPr>
          <w:spacing w:val="-12"/>
        </w:rPr>
        <w:t> </w:t>
      </w:r>
      <w:r>
        <w:rPr/>
        <w:t>for</w:t>
      </w:r>
      <w:r>
        <w:rPr>
          <w:spacing w:val="-13"/>
        </w:rPr>
        <w:t> </w:t>
      </w:r>
      <w:r>
        <w:rPr/>
        <w:t>employer-side</w:t>
      </w:r>
      <w:r>
        <w:rPr>
          <w:spacing w:val="-13"/>
        </w:rPr>
        <w:t> </w:t>
      </w:r>
      <w:r>
        <w:rPr/>
        <w:t>participants</w:t>
      </w:r>
      <w:r>
        <w:rPr>
          <w:spacing w:val="-14"/>
        </w:rPr>
        <w:t> </w:t>
      </w:r>
      <w:r>
        <w:rPr/>
        <w:t>in</w:t>
      </w:r>
      <w:r>
        <w:rPr>
          <w:spacing w:val="-12"/>
        </w:rPr>
        <w:t> </w:t>
      </w:r>
      <w:r>
        <w:rPr/>
        <w:t>open</w:t>
      </w:r>
      <w:r>
        <w:rPr>
          <w:spacing w:val="-13"/>
        </w:rPr>
        <w:t> </w:t>
      </w:r>
      <w:r>
        <w:rPr/>
        <w:t>track</w:t>
      </w:r>
      <w:r>
        <w:rPr>
          <w:spacing w:val="-14"/>
        </w:rPr>
        <w:t> </w:t>
      </w:r>
      <w:r>
        <w:rPr/>
        <w:t>disputes</w:t>
      </w:r>
      <w:r>
        <w:rPr>
          <w:spacing w:val="-13"/>
        </w:rPr>
        <w:t> </w:t>
      </w:r>
      <w:r>
        <w:rPr/>
        <w:t>is</w:t>
      </w:r>
      <w:r>
        <w:rPr>
          <w:spacing w:val="-14"/>
        </w:rPr>
        <w:t> </w:t>
      </w:r>
      <w:r>
        <w:rPr/>
        <w:t>likely</w:t>
      </w:r>
      <w:r>
        <w:rPr>
          <w:spacing w:val="-12"/>
        </w:rPr>
        <w:t> </w:t>
      </w:r>
      <w:r>
        <w:rPr/>
        <w:t>skewed</w:t>
      </w:r>
      <w:r>
        <w:rPr>
          <w:spacing w:val="-14"/>
        </w:rPr>
        <w:t> </w:t>
      </w:r>
      <w:r>
        <w:rPr/>
        <w:t>by the fact that almost half (46 per cent) could not recall the value of the settlement at the time of interview.</w:t>
      </w:r>
    </w:p>
    <w:p>
      <w:pPr>
        <w:pStyle w:val="BodyText"/>
        <w:spacing w:before="5"/>
        <w:rPr>
          <w:sz w:val="21"/>
        </w:rPr>
      </w:pPr>
    </w:p>
    <w:p>
      <w:pPr>
        <w:pStyle w:val="BodyText"/>
        <w:spacing w:line="259" w:lineRule="auto" w:before="1"/>
        <w:ind w:left="1337" w:right="1476"/>
        <w:jc w:val="both"/>
      </w:pPr>
      <w:r>
        <w:rPr/>
        <w:t>Across</w:t>
      </w:r>
      <w:r>
        <w:rPr>
          <w:spacing w:val="-10"/>
        </w:rPr>
        <w:t> </w:t>
      </w:r>
      <w:r>
        <w:rPr/>
        <w:t>all</w:t>
      </w:r>
      <w:r>
        <w:rPr>
          <w:spacing w:val="-11"/>
        </w:rPr>
        <w:t> </w:t>
      </w:r>
      <w:r>
        <w:rPr/>
        <w:t>case</w:t>
      </w:r>
      <w:r>
        <w:rPr>
          <w:spacing w:val="-11"/>
        </w:rPr>
        <w:t> </w:t>
      </w:r>
      <w:r>
        <w:rPr/>
        <w:t>tracks,</w:t>
      </w:r>
      <w:r>
        <w:rPr>
          <w:spacing w:val="-12"/>
        </w:rPr>
        <w:t> </w:t>
      </w:r>
      <w:r>
        <w:rPr/>
        <w:t>settlement</w:t>
      </w:r>
      <w:r>
        <w:rPr>
          <w:spacing w:val="-11"/>
        </w:rPr>
        <w:t> </w:t>
      </w:r>
      <w:r>
        <w:rPr/>
        <w:t>values</w:t>
      </w:r>
      <w:r>
        <w:rPr>
          <w:spacing w:val="-10"/>
        </w:rPr>
        <w:t> </w:t>
      </w:r>
      <w:r>
        <w:rPr/>
        <w:t>at</w:t>
      </w:r>
      <w:r>
        <w:rPr>
          <w:spacing w:val="-11"/>
        </w:rPr>
        <w:t> </w:t>
      </w:r>
      <w:r>
        <w:rPr/>
        <w:t>the</w:t>
      </w:r>
      <w:r>
        <w:rPr>
          <w:spacing w:val="-11"/>
        </w:rPr>
        <w:t> </w:t>
      </w:r>
      <w:r>
        <w:rPr/>
        <w:t>post-ET1</w:t>
      </w:r>
      <w:r>
        <w:rPr>
          <w:spacing w:val="-13"/>
        </w:rPr>
        <w:t> </w:t>
      </w:r>
      <w:r>
        <w:rPr/>
        <w:t>conciliation</w:t>
      </w:r>
      <w:r>
        <w:rPr>
          <w:spacing w:val="-10"/>
        </w:rPr>
        <w:t> </w:t>
      </w:r>
      <w:r>
        <w:rPr/>
        <w:t>stage</w:t>
      </w:r>
      <w:r>
        <w:rPr>
          <w:spacing w:val="-12"/>
        </w:rPr>
        <w:t> </w:t>
      </w:r>
      <w:r>
        <w:rPr/>
        <w:t>were</w:t>
      </w:r>
      <w:r>
        <w:rPr>
          <w:spacing w:val="-12"/>
        </w:rPr>
        <w:t> </w:t>
      </w:r>
      <w:r>
        <w:rPr/>
        <w:t>on average higher than those received at the EC stage.</w:t>
      </w:r>
    </w:p>
    <w:p>
      <w:pPr>
        <w:spacing w:after="0" w:line="259" w:lineRule="auto"/>
        <w:jc w:val="both"/>
        <w:sectPr>
          <w:pgSz w:w="11910" w:h="16840"/>
          <w:pgMar w:header="0" w:footer="996" w:top="1400" w:bottom="1180" w:left="460" w:right="320"/>
        </w:sectPr>
      </w:pPr>
    </w:p>
    <w:p>
      <w:pPr>
        <w:pStyle w:val="Heading3"/>
        <w:spacing w:before="82"/>
      </w:pPr>
      <w:r>
        <w:rPr/>
        <w:drawing>
          <wp:anchor distT="0" distB="0" distL="0" distR="0" allowOverlap="1" layoutInCell="1" locked="0" behindDoc="0" simplePos="0" relativeHeight="136">
            <wp:simplePos x="0" y="0"/>
            <wp:positionH relativeFrom="page">
              <wp:posOffset>1205645</wp:posOffset>
            </wp:positionH>
            <wp:positionV relativeFrom="paragraph">
              <wp:posOffset>233316</wp:posOffset>
            </wp:positionV>
            <wp:extent cx="5062368" cy="2704337"/>
            <wp:effectExtent l="0" t="0" r="0" b="0"/>
            <wp:wrapTopAndBottom/>
            <wp:docPr id="87" name="image44.png" descr="Table showing value of financial settlements received "/>
            <wp:cNvGraphicFramePr>
              <a:graphicFrameLocks noChangeAspect="1"/>
            </wp:cNvGraphicFramePr>
            <a:graphic>
              <a:graphicData uri="http://schemas.openxmlformats.org/drawingml/2006/picture">
                <pic:pic>
                  <pic:nvPicPr>
                    <pic:cNvPr id="88" name="image44.png"/>
                    <pic:cNvPicPr/>
                  </pic:nvPicPr>
                  <pic:blipFill>
                    <a:blip r:embed="rId57" cstate="print"/>
                    <a:stretch>
                      <a:fillRect/>
                    </a:stretch>
                  </pic:blipFill>
                  <pic:spPr>
                    <a:xfrm>
                      <a:off x="0" y="0"/>
                      <a:ext cx="5062368" cy="2704337"/>
                    </a:xfrm>
                    <a:prstGeom prst="rect">
                      <a:avLst/>
                    </a:prstGeom>
                  </pic:spPr>
                </pic:pic>
              </a:graphicData>
            </a:graphic>
          </wp:anchor>
        </w:drawing>
      </w:r>
      <w:r>
        <w:rPr/>
        <w:t>Table</w:t>
      </w:r>
      <w:r>
        <w:rPr>
          <w:spacing w:val="-4"/>
        </w:rPr>
        <w:t> </w:t>
      </w:r>
      <w:r>
        <w:rPr/>
        <w:t>25.</w:t>
      </w:r>
      <w:r>
        <w:rPr>
          <w:spacing w:val="-5"/>
        </w:rPr>
        <w:t> </w:t>
      </w:r>
      <w:r>
        <w:rPr/>
        <w:t>Value</w:t>
      </w:r>
      <w:r>
        <w:rPr>
          <w:spacing w:val="-5"/>
        </w:rPr>
        <w:t> </w:t>
      </w:r>
      <w:r>
        <w:rPr/>
        <w:t>of</w:t>
      </w:r>
      <w:r>
        <w:rPr>
          <w:spacing w:val="-5"/>
        </w:rPr>
        <w:t> </w:t>
      </w:r>
      <w:r>
        <w:rPr/>
        <w:t>financial</w:t>
      </w:r>
      <w:r>
        <w:rPr>
          <w:spacing w:val="-4"/>
        </w:rPr>
        <w:t> </w:t>
      </w:r>
      <w:r>
        <w:rPr/>
        <w:t>settlements</w:t>
      </w:r>
      <w:r>
        <w:rPr>
          <w:spacing w:val="-4"/>
        </w:rPr>
        <w:t> </w:t>
      </w:r>
      <w:r>
        <w:rPr>
          <w:spacing w:val="-2"/>
        </w:rPr>
        <w:t>received</w:t>
      </w:r>
    </w:p>
    <w:p>
      <w:pPr>
        <w:pStyle w:val="BodyText"/>
        <w:spacing w:before="7"/>
        <w:rPr>
          <w:b/>
          <w:sz w:val="35"/>
        </w:rPr>
      </w:pPr>
    </w:p>
    <w:p>
      <w:pPr>
        <w:pStyle w:val="BodyText"/>
        <w:spacing w:line="259" w:lineRule="auto" w:before="1"/>
        <w:ind w:left="1337" w:right="1473"/>
        <w:jc w:val="both"/>
      </w:pPr>
      <w:r>
        <w:rPr/>
        <w:t>Almost all settlements had been paid by the time of the interview; 98 per cent of claimant-side</w:t>
      </w:r>
      <w:r>
        <w:rPr>
          <w:spacing w:val="-16"/>
        </w:rPr>
        <w:t> </w:t>
      </w:r>
      <w:r>
        <w:rPr/>
        <w:t>participants</w:t>
      </w:r>
      <w:r>
        <w:rPr>
          <w:spacing w:val="-15"/>
        </w:rPr>
        <w:t> </w:t>
      </w:r>
      <w:r>
        <w:rPr/>
        <w:t>and</w:t>
      </w:r>
      <w:r>
        <w:rPr>
          <w:spacing w:val="-15"/>
        </w:rPr>
        <w:t> </w:t>
      </w:r>
      <w:r>
        <w:rPr/>
        <w:t>97</w:t>
      </w:r>
      <w:r>
        <w:rPr>
          <w:spacing w:val="-16"/>
        </w:rPr>
        <w:t> </w:t>
      </w:r>
      <w:r>
        <w:rPr/>
        <w:t>per</w:t>
      </w:r>
      <w:r>
        <w:rPr>
          <w:spacing w:val="-15"/>
        </w:rPr>
        <w:t> </w:t>
      </w:r>
      <w:r>
        <w:rPr/>
        <w:t>cent</w:t>
      </w:r>
      <w:r>
        <w:rPr>
          <w:spacing w:val="-15"/>
        </w:rPr>
        <w:t> </w:t>
      </w:r>
      <w:r>
        <w:rPr/>
        <w:t>of</w:t>
      </w:r>
      <w:r>
        <w:rPr>
          <w:spacing w:val="-16"/>
        </w:rPr>
        <w:t> </w:t>
      </w:r>
      <w:r>
        <w:rPr/>
        <w:t>employer-side</w:t>
      </w:r>
      <w:r>
        <w:rPr>
          <w:spacing w:val="-16"/>
        </w:rPr>
        <w:t> </w:t>
      </w:r>
      <w:r>
        <w:rPr/>
        <w:t>participants</w:t>
      </w:r>
      <w:r>
        <w:rPr>
          <w:spacing w:val="-15"/>
        </w:rPr>
        <w:t> </w:t>
      </w:r>
      <w:r>
        <w:rPr/>
        <w:t>agreed</w:t>
      </w:r>
      <w:r>
        <w:rPr>
          <w:spacing w:val="-15"/>
        </w:rPr>
        <w:t> </w:t>
      </w:r>
      <w:r>
        <w:rPr/>
        <w:t>the settlement</w:t>
      </w:r>
      <w:r>
        <w:rPr>
          <w:spacing w:val="-9"/>
        </w:rPr>
        <w:t> </w:t>
      </w:r>
      <w:r>
        <w:rPr/>
        <w:t>had</w:t>
      </w:r>
      <w:r>
        <w:rPr>
          <w:spacing w:val="-9"/>
        </w:rPr>
        <w:t> </w:t>
      </w:r>
      <w:r>
        <w:rPr/>
        <w:t>been</w:t>
      </w:r>
      <w:r>
        <w:rPr>
          <w:spacing w:val="-9"/>
        </w:rPr>
        <w:t> </w:t>
      </w:r>
      <w:r>
        <w:rPr/>
        <w:t>paid.</w:t>
      </w:r>
      <w:r>
        <w:rPr>
          <w:spacing w:val="-9"/>
        </w:rPr>
        <w:t> </w:t>
      </w:r>
      <w:r>
        <w:rPr/>
        <w:t>This</w:t>
      </w:r>
      <w:r>
        <w:rPr>
          <w:spacing w:val="-9"/>
        </w:rPr>
        <w:t> </w:t>
      </w:r>
      <w:r>
        <w:rPr/>
        <w:t>is</w:t>
      </w:r>
      <w:r>
        <w:rPr>
          <w:spacing w:val="-8"/>
        </w:rPr>
        <w:t> </w:t>
      </w:r>
      <w:r>
        <w:rPr/>
        <w:t>marginally</w:t>
      </w:r>
      <w:r>
        <w:rPr>
          <w:spacing w:val="-8"/>
        </w:rPr>
        <w:t> </w:t>
      </w:r>
      <w:r>
        <w:rPr/>
        <w:t>higher</w:t>
      </w:r>
      <w:r>
        <w:rPr>
          <w:spacing w:val="-9"/>
        </w:rPr>
        <w:t> </w:t>
      </w:r>
      <w:r>
        <w:rPr/>
        <w:t>than</w:t>
      </w:r>
      <w:r>
        <w:rPr>
          <w:spacing w:val="-10"/>
        </w:rPr>
        <w:t> </w:t>
      </w:r>
      <w:r>
        <w:rPr/>
        <w:t>at</w:t>
      </w:r>
      <w:r>
        <w:rPr>
          <w:spacing w:val="-9"/>
        </w:rPr>
        <w:t> </w:t>
      </w:r>
      <w:r>
        <w:rPr/>
        <w:t>the</w:t>
      </w:r>
      <w:r>
        <w:rPr>
          <w:spacing w:val="-10"/>
        </w:rPr>
        <w:t> </w:t>
      </w:r>
      <w:r>
        <w:rPr/>
        <w:t>EC</w:t>
      </w:r>
      <w:r>
        <w:rPr>
          <w:spacing w:val="-9"/>
        </w:rPr>
        <w:t> </w:t>
      </w:r>
      <w:r>
        <w:rPr/>
        <w:t>stage,</w:t>
      </w:r>
      <w:r>
        <w:rPr>
          <w:spacing w:val="-9"/>
        </w:rPr>
        <w:t> </w:t>
      </w:r>
      <w:r>
        <w:rPr/>
        <w:t>where</w:t>
      </w:r>
      <w:r>
        <w:rPr>
          <w:spacing w:val="-11"/>
        </w:rPr>
        <w:t> </w:t>
      </w:r>
      <w:r>
        <w:rPr/>
        <w:t>94 per cent overall said their private settlement had been paid by the time of the </w:t>
      </w:r>
      <w:r>
        <w:rPr>
          <w:spacing w:val="-2"/>
        </w:rPr>
        <w:t>survey.</w:t>
      </w:r>
    </w:p>
    <w:p>
      <w:pPr>
        <w:pStyle w:val="BodyText"/>
        <w:spacing w:before="6"/>
        <w:rPr>
          <w:sz w:val="21"/>
        </w:rPr>
      </w:pPr>
    </w:p>
    <w:p>
      <w:pPr>
        <w:pStyle w:val="Heading3"/>
        <w:numPr>
          <w:ilvl w:val="1"/>
          <w:numId w:val="2"/>
        </w:numPr>
        <w:tabs>
          <w:tab w:pos="1974" w:val="left" w:leader="none"/>
        </w:tabs>
        <w:spacing w:line="240" w:lineRule="auto" w:before="0" w:after="0"/>
        <w:ind w:left="1973" w:right="0" w:hanging="637"/>
        <w:jc w:val="both"/>
      </w:pPr>
      <w:bookmarkStart w:name="16.4  Settlement details" w:id="202"/>
      <w:bookmarkEnd w:id="202"/>
      <w:r>
        <w:rPr>
          <w:b w:val="0"/>
        </w:rPr>
      </w:r>
      <w:bookmarkStart w:name="_bookmark51" w:id="203"/>
      <w:bookmarkEnd w:id="203"/>
      <w:r>
        <w:rPr/>
        <w:t>Se</w:t>
      </w:r>
      <w:r>
        <w:rPr/>
        <w:t>ttlement</w:t>
      </w:r>
      <w:r>
        <w:rPr>
          <w:spacing w:val="-10"/>
        </w:rPr>
        <w:t> </w:t>
      </w:r>
      <w:r>
        <w:rPr>
          <w:spacing w:val="-2"/>
        </w:rPr>
        <w:t>details</w:t>
      </w:r>
    </w:p>
    <w:p>
      <w:pPr>
        <w:pStyle w:val="BodyText"/>
        <w:spacing w:line="259" w:lineRule="auto" w:before="119"/>
        <w:ind w:left="1337" w:right="1472"/>
        <w:jc w:val="both"/>
      </w:pPr>
      <w:r>
        <w:rPr/>
        <w:t>Claimant and employer-side participants who did not reach a settlement were asked to think about their Acas conciliation experience as a whole (including both before and after the ET claim was submitted) and consider whether a settlement offer or proposal was made which they turned down.</w:t>
      </w:r>
    </w:p>
    <w:p>
      <w:pPr>
        <w:pStyle w:val="BodyText"/>
        <w:spacing w:before="6"/>
        <w:rPr>
          <w:sz w:val="21"/>
        </w:rPr>
      </w:pPr>
    </w:p>
    <w:p>
      <w:pPr>
        <w:pStyle w:val="BodyText"/>
        <w:spacing w:line="259" w:lineRule="auto"/>
        <w:ind w:left="1337" w:right="1473"/>
        <w:jc w:val="both"/>
      </w:pPr>
      <w:r>
        <w:rPr/>
        <w:t>A sixth (17</w:t>
      </w:r>
      <w:r>
        <w:rPr>
          <w:spacing w:val="-1"/>
        </w:rPr>
        <w:t> </w:t>
      </w:r>
      <w:r>
        <w:rPr/>
        <w:t>per cent)</w:t>
      </w:r>
      <w:r>
        <w:rPr>
          <w:spacing w:val="-1"/>
        </w:rPr>
        <w:t> </w:t>
      </w:r>
      <w:r>
        <w:rPr/>
        <w:t>of claimant-side participants reported that an offer had</w:t>
      </w:r>
      <w:r>
        <w:rPr>
          <w:spacing w:val="-1"/>
        </w:rPr>
        <w:t> </w:t>
      </w:r>
      <w:r>
        <w:rPr/>
        <w:t>been made</w:t>
      </w:r>
      <w:r>
        <w:rPr>
          <w:spacing w:val="-1"/>
        </w:rPr>
        <w:t> </w:t>
      </w:r>
      <w:r>
        <w:rPr/>
        <w:t>which</w:t>
      </w:r>
      <w:r>
        <w:rPr>
          <w:spacing w:val="-2"/>
        </w:rPr>
        <w:t> </w:t>
      </w:r>
      <w:r>
        <w:rPr/>
        <w:t>they</w:t>
      </w:r>
      <w:r>
        <w:rPr>
          <w:spacing w:val="-1"/>
        </w:rPr>
        <w:t> </w:t>
      </w:r>
      <w:r>
        <w:rPr/>
        <w:t>turned</w:t>
      </w:r>
      <w:r>
        <w:rPr>
          <w:spacing w:val="-1"/>
        </w:rPr>
        <w:t> </w:t>
      </w:r>
      <w:r>
        <w:rPr/>
        <w:t>down.</w:t>
      </w:r>
      <w:r>
        <w:rPr>
          <w:spacing w:val="-1"/>
        </w:rPr>
        <w:t> </w:t>
      </w:r>
      <w:r>
        <w:rPr/>
        <w:t>A</w:t>
      </w:r>
      <w:r>
        <w:rPr>
          <w:spacing w:val="-1"/>
        </w:rPr>
        <w:t> </w:t>
      </w:r>
      <w:r>
        <w:rPr/>
        <w:t>third</w:t>
      </w:r>
      <w:r>
        <w:rPr>
          <w:spacing w:val="-1"/>
        </w:rPr>
        <w:t> </w:t>
      </w:r>
      <w:r>
        <w:rPr/>
        <w:t>(32</w:t>
      </w:r>
      <w:r>
        <w:rPr>
          <w:spacing w:val="-1"/>
        </w:rPr>
        <w:t> </w:t>
      </w:r>
      <w:r>
        <w:rPr/>
        <w:t>per</w:t>
      </w:r>
      <w:r>
        <w:rPr>
          <w:spacing w:val="-1"/>
        </w:rPr>
        <w:t> </w:t>
      </w:r>
      <w:r>
        <w:rPr/>
        <w:t>cent)</w:t>
      </w:r>
      <w:r>
        <w:rPr>
          <w:spacing w:val="-1"/>
        </w:rPr>
        <w:t> </w:t>
      </w:r>
      <w:r>
        <w:rPr/>
        <w:t>of employer-side</w:t>
      </w:r>
      <w:r>
        <w:rPr>
          <w:spacing w:val="-1"/>
        </w:rPr>
        <w:t> </w:t>
      </w:r>
      <w:r>
        <w:rPr/>
        <w:t>participants said they had made an offer which had been rejected.</w:t>
      </w:r>
    </w:p>
    <w:p>
      <w:pPr>
        <w:pStyle w:val="BodyText"/>
        <w:spacing w:before="6"/>
        <w:rPr>
          <w:sz w:val="21"/>
        </w:rPr>
      </w:pPr>
    </w:p>
    <w:p>
      <w:pPr>
        <w:pStyle w:val="BodyText"/>
        <w:spacing w:line="259" w:lineRule="auto"/>
        <w:ind w:left="1337" w:right="1473"/>
        <w:jc w:val="both"/>
      </w:pPr>
      <w:r>
        <w:rPr/>
        <w:t>The</w:t>
      </w:r>
      <w:r>
        <w:rPr>
          <w:spacing w:val="-10"/>
        </w:rPr>
        <w:t> </w:t>
      </w:r>
      <w:r>
        <w:rPr/>
        <w:t>proportion</w:t>
      </w:r>
      <w:r>
        <w:rPr>
          <w:spacing w:val="-9"/>
        </w:rPr>
        <w:t> </w:t>
      </w:r>
      <w:r>
        <w:rPr/>
        <w:t>of</w:t>
      </w:r>
      <w:r>
        <w:rPr>
          <w:spacing w:val="-9"/>
        </w:rPr>
        <w:t> </w:t>
      </w:r>
      <w:r>
        <w:rPr/>
        <w:t>participants</w:t>
      </w:r>
      <w:r>
        <w:rPr>
          <w:spacing w:val="-9"/>
        </w:rPr>
        <w:t> </w:t>
      </w:r>
      <w:r>
        <w:rPr/>
        <w:t>reporting</w:t>
      </w:r>
      <w:r>
        <w:rPr>
          <w:spacing w:val="-9"/>
        </w:rPr>
        <w:t> </w:t>
      </w:r>
      <w:r>
        <w:rPr/>
        <w:t>that</w:t>
      </w:r>
      <w:r>
        <w:rPr>
          <w:spacing w:val="-9"/>
        </w:rPr>
        <w:t> </w:t>
      </w:r>
      <w:r>
        <w:rPr/>
        <w:t>a</w:t>
      </w:r>
      <w:r>
        <w:rPr>
          <w:spacing w:val="-9"/>
        </w:rPr>
        <w:t> </w:t>
      </w:r>
      <w:r>
        <w:rPr/>
        <w:t>settlement</w:t>
      </w:r>
      <w:r>
        <w:rPr>
          <w:spacing w:val="-9"/>
        </w:rPr>
        <w:t> </w:t>
      </w:r>
      <w:r>
        <w:rPr/>
        <w:t>offer</w:t>
      </w:r>
      <w:r>
        <w:rPr>
          <w:spacing w:val="-9"/>
        </w:rPr>
        <w:t> </w:t>
      </w:r>
      <w:r>
        <w:rPr/>
        <w:t>had</w:t>
      </w:r>
      <w:r>
        <w:rPr>
          <w:spacing w:val="-9"/>
        </w:rPr>
        <w:t> </w:t>
      </w:r>
      <w:r>
        <w:rPr/>
        <w:t>been</w:t>
      </w:r>
      <w:r>
        <w:rPr>
          <w:spacing w:val="-9"/>
        </w:rPr>
        <w:t> </w:t>
      </w:r>
      <w:r>
        <w:rPr/>
        <w:t>made</w:t>
      </w:r>
      <w:r>
        <w:rPr>
          <w:spacing w:val="-10"/>
        </w:rPr>
        <w:t> </w:t>
      </w:r>
      <w:r>
        <w:rPr/>
        <w:t>has decreased</w:t>
      </w:r>
      <w:r>
        <w:rPr>
          <w:spacing w:val="-17"/>
        </w:rPr>
        <w:t> </w:t>
      </w:r>
      <w:r>
        <w:rPr/>
        <w:t>since</w:t>
      </w:r>
      <w:r>
        <w:rPr>
          <w:spacing w:val="-18"/>
        </w:rPr>
        <w:t> </w:t>
      </w:r>
      <w:r>
        <w:rPr/>
        <w:t>2016,</w:t>
      </w:r>
      <w:r>
        <w:rPr>
          <w:spacing w:val="-16"/>
        </w:rPr>
        <w:t> </w:t>
      </w:r>
      <w:r>
        <w:rPr/>
        <w:t>down</w:t>
      </w:r>
      <w:r>
        <w:rPr>
          <w:spacing w:val="-18"/>
        </w:rPr>
        <w:t> </w:t>
      </w:r>
      <w:r>
        <w:rPr/>
        <w:t>eight</w:t>
      </w:r>
      <w:r>
        <w:rPr>
          <w:spacing w:val="-16"/>
        </w:rPr>
        <w:t> </w:t>
      </w:r>
      <w:r>
        <w:rPr/>
        <w:t>points</w:t>
      </w:r>
      <w:r>
        <w:rPr>
          <w:spacing w:val="-17"/>
        </w:rPr>
        <w:t> </w:t>
      </w:r>
      <w:r>
        <w:rPr/>
        <w:t>among</w:t>
      </w:r>
      <w:r>
        <w:rPr>
          <w:spacing w:val="-17"/>
        </w:rPr>
        <w:t> </w:t>
      </w:r>
      <w:r>
        <w:rPr/>
        <w:t>claimant-side</w:t>
      </w:r>
      <w:r>
        <w:rPr>
          <w:spacing w:val="-18"/>
        </w:rPr>
        <w:t> </w:t>
      </w:r>
      <w:r>
        <w:rPr/>
        <w:t>participants,</w:t>
      </w:r>
      <w:r>
        <w:rPr>
          <w:spacing w:val="-17"/>
        </w:rPr>
        <w:t> </w:t>
      </w:r>
      <w:r>
        <w:rPr/>
        <w:t>and</w:t>
      </w:r>
      <w:r>
        <w:rPr>
          <w:spacing w:val="-18"/>
        </w:rPr>
        <w:t> </w:t>
      </w:r>
      <w:r>
        <w:rPr/>
        <w:t>ten points among employer-side participants.</w:t>
      </w:r>
    </w:p>
    <w:p>
      <w:pPr>
        <w:pStyle w:val="BodyText"/>
        <w:spacing w:before="10"/>
        <w:rPr>
          <w:sz w:val="29"/>
        </w:rPr>
      </w:pPr>
    </w:p>
    <w:p>
      <w:pPr>
        <w:pStyle w:val="Heading3"/>
        <w:numPr>
          <w:ilvl w:val="1"/>
          <w:numId w:val="2"/>
        </w:numPr>
        <w:tabs>
          <w:tab w:pos="1974" w:val="left" w:leader="none"/>
        </w:tabs>
        <w:spacing w:line="240" w:lineRule="auto" w:before="0" w:after="0"/>
        <w:ind w:left="1973" w:right="0" w:hanging="637"/>
        <w:jc w:val="both"/>
      </w:pPr>
      <w:bookmarkStart w:name="16.5  Role of Acas in resolving the case" w:id="204"/>
      <w:bookmarkEnd w:id="204"/>
      <w:r>
        <w:rPr>
          <w:b w:val="0"/>
        </w:rPr>
      </w:r>
      <w:bookmarkStart w:name="_bookmark52" w:id="205"/>
      <w:bookmarkEnd w:id="205"/>
      <w:r>
        <w:rPr/>
        <w:t>Ro</w:t>
      </w:r>
      <w:r>
        <w:rPr/>
        <w:t>le</w:t>
      </w:r>
      <w:r>
        <w:rPr>
          <w:spacing w:val="-3"/>
        </w:rPr>
        <w:t> </w:t>
      </w:r>
      <w:r>
        <w:rPr/>
        <w:t>of</w:t>
      </w:r>
      <w:r>
        <w:rPr>
          <w:spacing w:val="-2"/>
        </w:rPr>
        <w:t> </w:t>
      </w:r>
      <w:r>
        <w:rPr/>
        <w:t>Acas</w:t>
      </w:r>
      <w:r>
        <w:rPr>
          <w:spacing w:val="-3"/>
        </w:rPr>
        <w:t> </w:t>
      </w:r>
      <w:r>
        <w:rPr/>
        <w:t>in</w:t>
      </w:r>
      <w:r>
        <w:rPr>
          <w:spacing w:val="-3"/>
        </w:rPr>
        <w:t> </w:t>
      </w:r>
      <w:r>
        <w:rPr/>
        <w:t>resolving</w:t>
      </w:r>
      <w:r>
        <w:rPr>
          <w:spacing w:val="-3"/>
        </w:rPr>
        <w:t> </w:t>
      </w:r>
      <w:r>
        <w:rPr/>
        <w:t>the</w:t>
      </w:r>
      <w:r>
        <w:rPr>
          <w:spacing w:val="-2"/>
        </w:rPr>
        <w:t> </w:t>
      </w:r>
      <w:r>
        <w:rPr>
          <w:spacing w:val="-4"/>
        </w:rPr>
        <w:t>case</w:t>
      </w:r>
    </w:p>
    <w:p>
      <w:pPr>
        <w:pStyle w:val="BodyText"/>
        <w:spacing w:line="259" w:lineRule="auto" w:before="120"/>
        <w:ind w:left="1337" w:right="1473"/>
        <w:jc w:val="both"/>
      </w:pPr>
      <w:r>
        <w:rPr/>
        <w:t>At</w:t>
      </w:r>
      <w:r>
        <w:rPr>
          <w:spacing w:val="-10"/>
        </w:rPr>
        <w:t> </w:t>
      </w:r>
      <w:r>
        <w:rPr/>
        <w:t>this</w:t>
      </w:r>
      <w:r>
        <w:rPr>
          <w:spacing w:val="-11"/>
        </w:rPr>
        <w:t> </w:t>
      </w:r>
      <w:r>
        <w:rPr/>
        <w:t>point</w:t>
      </w:r>
      <w:r>
        <w:rPr>
          <w:spacing w:val="-10"/>
        </w:rPr>
        <w:t> </w:t>
      </w:r>
      <w:r>
        <w:rPr/>
        <w:t>in</w:t>
      </w:r>
      <w:r>
        <w:rPr>
          <w:spacing w:val="-10"/>
        </w:rPr>
        <w:t> </w:t>
      </w:r>
      <w:r>
        <w:rPr/>
        <w:t>the</w:t>
      </w:r>
      <w:r>
        <w:rPr>
          <w:spacing w:val="-12"/>
        </w:rPr>
        <w:t> </w:t>
      </w:r>
      <w:r>
        <w:rPr/>
        <w:t>survey</w:t>
      </w:r>
      <w:r>
        <w:rPr>
          <w:spacing w:val="-10"/>
        </w:rPr>
        <w:t> </w:t>
      </w:r>
      <w:r>
        <w:rPr/>
        <w:t>participants</w:t>
      </w:r>
      <w:r>
        <w:rPr>
          <w:spacing w:val="-12"/>
        </w:rPr>
        <w:t> </w:t>
      </w:r>
      <w:r>
        <w:rPr/>
        <w:t>were</w:t>
      </w:r>
      <w:r>
        <w:rPr>
          <w:spacing w:val="-11"/>
        </w:rPr>
        <w:t> </w:t>
      </w:r>
      <w:r>
        <w:rPr/>
        <w:t>asked</w:t>
      </w:r>
      <w:r>
        <w:rPr>
          <w:spacing w:val="-10"/>
        </w:rPr>
        <w:t> </w:t>
      </w:r>
      <w:r>
        <w:rPr/>
        <w:t>to</w:t>
      </w:r>
      <w:r>
        <w:rPr>
          <w:spacing w:val="-11"/>
        </w:rPr>
        <w:t> </w:t>
      </w:r>
      <w:r>
        <w:rPr/>
        <w:t>judge</w:t>
      </w:r>
      <w:r>
        <w:rPr>
          <w:spacing w:val="-11"/>
        </w:rPr>
        <w:t> </w:t>
      </w:r>
      <w:r>
        <w:rPr/>
        <w:t>the</w:t>
      </w:r>
      <w:r>
        <w:rPr>
          <w:spacing w:val="-11"/>
        </w:rPr>
        <w:t> </w:t>
      </w:r>
      <w:r>
        <w:rPr/>
        <w:t>importance</w:t>
      </w:r>
      <w:r>
        <w:rPr>
          <w:spacing w:val="-11"/>
        </w:rPr>
        <w:t> </w:t>
      </w:r>
      <w:r>
        <w:rPr/>
        <w:t>of</w:t>
      </w:r>
      <w:r>
        <w:rPr>
          <w:spacing w:val="-10"/>
        </w:rPr>
        <w:t> </w:t>
      </w:r>
      <w:r>
        <w:rPr/>
        <w:t>Acas’ involvement in their dispute in two ways:</w:t>
      </w:r>
    </w:p>
    <w:p>
      <w:pPr>
        <w:pStyle w:val="BodyText"/>
        <w:spacing w:before="6"/>
        <w:rPr>
          <w:sz w:val="21"/>
        </w:rPr>
      </w:pPr>
    </w:p>
    <w:p>
      <w:pPr>
        <w:pStyle w:val="ListParagraph"/>
        <w:numPr>
          <w:ilvl w:val="0"/>
          <w:numId w:val="43"/>
        </w:numPr>
        <w:tabs>
          <w:tab w:pos="2056" w:val="left" w:leader="none"/>
          <w:tab w:pos="2058" w:val="left" w:leader="none"/>
        </w:tabs>
        <w:spacing w:line="240" w:lineRule="auto" w:before="0" w:after="0"/>
        <w:ind w:left="2057" w:right="0" w:hanging="361"/>
        <w:jc w:val="left"/>
        <w:rPr>
          <w:sz w:val="20"/>
        </w:rPr>
      </w:pPr>
      <w:r>
        <w:rPr>
          <w:sz w:val="20"/>
        </w:rPr>
        <w:t>Helping</w:t>
      </w:r>
      <w:r>
        <w:rPr>
          <w:spacing w:val="-5"/>
          <w:sz w:val="20"/>
        </w:rPr>
        <w:t> </w:t>
      </w:r>
      <w:r>
        <w:rPr>
          <w:sz w:val="20"/>
        </w:rPr>
        <w:t>move</w:t>
      </w:r>
      <w:r>
        <w:rPr>
          <w:spacing w:val="-4"/>
          <w:sz w:val="20"/>
        </w:rPr>
        <w:t> </w:t>
      </w:r>
      <w:r>
        <w:rPr>
          <w:sz w:val="20"/>
        </w:rPr>
        <w:t>parties</w:t>
      </w:r>
      <w:r>
        <w:rPr>
          <w:spacing w:val="-2"/>
          <w:sz w:val="20"/>
        </w:rPr>
        <w:t> </w:t>
      </w:r>
      <w:r>
        <w:rPr>
          <w:sz w:val="20"/>
        </w:rPr>
        <w:t>closer</w:t>
      </w:r>
      <w:r>
        <w:rPr>
          <w:spacing w:val="-3"/>
          <w:sz w:val="20"/>
        </w:rPr>
        <w:t> </w:t>
      </w:r>
      <w:r>
        <w:rPr>
          <w:sz w:val="20"/>
        </w:rPr>
        <w:t>to</w:t>
      </w:r>
      <w:r>
        <w:rPr>
          <w:spacing w:val="-3"/>
          <w:sz w:val="20"/>
        </w:rPr>
        <w:t> </w:t>
      </w:r>
      <w:r>
        <w:rPr>
          <w:sz w:val="20"/>
        </w:rPr>
        <w:t>resolving</w:t>
      </w:r>
      <w:r>
        <w:rPr>
          <w:spacing w:val="-2"/>
          <w:sz w:val="20"/>
        </w:rPr>
        <w:t> </w:t>
      </w:r>
      <w:r>
        <w:rPr>
          <w:sz w:val="20"/>
        </w:rPr>
        <w:t>the</w:t>
      </w:r>
      <w:r>
        <w:rPr>
          <w:spacing w:val="-4"/>
          <w:sz w:val="20"/>
        </w:rPr>
        <w:t> </w:t>
      </w:r>
      <w:r>
        <w:rPr>
          <w:sz w:val="20"/>
        </w:rPr>
        <w:t>dispute;</w:t>
      </w:r>
      <w:r>
        <w:rPr>
          <w:spacing w:val="-2"/>
          <w:sz w:val="20"/>
        </w:rPr>
        <w:t> </w:t>
      </w:r>
      <w:r>
        <w:rPr>
          <w:spacing w:val="-5"/>
          <w:sz w:val="20"/>
        </w:rPr>
        <w:t>and</w:t>
      </w:r>
    </w:p>
    <w:p>
      <w:pPr>
        <w:pStyle w:val="ListParagraph"/>
        <w:numPr>
          <w:ilvl w:val="0"/>
          <w:numId w:val="43"/>
        </w:numPr>
        <w:tabs>
          <w:tab w:pos="2056" w:val="left" w:leader="none"/>
          <w:tab w:pos="2057" w:val="left" w:leader="none"/>
        </w:tabs>
        <w:spacing w:line="240" w:lineRule="auto" w:before="18" w:after="0"/>
        <w:ind w:left="2056" w:right="0" w:hanging="361"/>
        <w:jc w:val="left"/>
        <w:rPr>
          <w:sz w:val="20"/>
        </w:rPr>
      </w:pPr>
      <w:r>
        <w:rPr>
          <w:sz w:val="20"/>
        </w:rPr>
        <w:t>Helping</w:t>
      </w:r>
      <w:r>
        <w:rPr>
          <w:spacing w:val="-5"/>
          <w:sz w:val="20"/>
        </w:rPr>
        <w:t> </w:t>
      </w:r>
      <w:r>
        <w:rPr>
          <w:sz w:val="20"/>
        </w:rPr>
        <w:t>them</w:t>
      </w:r>
      <w:r>
        <w:rPr>
          <w:spacing w:val="-2"/>
          <w:sz w:val="20"/>
        </w:rPr>
        <w:t> </w:t>
      </w:r>
      <w:r>
        <w:rPr>
          <w:sz w:val="20"/>
        </w:rPr>
        <w:t>decide</w:t>
      </w:r>
      <w:r>
        <w:rPr>
          <w:spacing w:val="-2"/>
          <w:sz w:val="20"/>
        </w:rPr>
        <w:t> </w:t>
      </w:r>
      <w:r>
        <w:rPr>
          <w:sz w:val="20"/>
        </w:rPr>
        <w:t>whether</w:t>
      </w:r>
      <w:r>
        <w:rPr>
          <w:spacing w:val="-2"/>
          <w:sz w:val="20"/>
        </w:rPr>
        <w:t> </w:t>
      </w:r>
      <w:r>
        <w:rPr>
          <w:sz w:val="20"/>
        </w:rPr>
        <w:t>or</w:t>
      </w:r>
      <w:r>
        <w:rPr>
          <w:spacing w:val="-4"/>
          <w:sz w:val="20"/>
        </w:rPr>
        <w:t> </w:t>
      </w:r>
      <w:r>
        <w:rPr>
          <w:sz w:val="20"/>
        </w:rPr>
        <w:t>not</w:t>
      </w:r>
      <w:r>
        <w:rPr>
          <w:spacing w:val="-2"/>
          <w:sz w:val="20"/>
        </w:rPr>
        <w:t> </w:t>
      </w:r>
      <w:r>
        <w:rPr>
          <w:sz w:val="20"/>
        </w:rPr>
        <w:t>to</w:t>
      </w:r>
      <w:r>
        <w:rPr>
          <w:spacing w:val="-2"/>
          <w:sz w:val="20"/>
        </w:rPr>
        <w:t> </w:t>
      </w:r>
      <w:r>
        <w:rPr>
          <w:sz w:val="20"/>
        </w:rPr>
        <w:t>settle</w:t>
      </w:r>
      <w:r>
        <w:rPr>
          <w:spacing w:val="-2"/>
          <w:sz w:val="20"/>
        </w:rPr>
        <w:t> </w:t>
      </w:r>
      <w:r>
        <w:rPr>
          <w:sz w:val="20"/>
        </w:rPr>
        <w:t>the</w:t>
      </w:r>
      <w:r>
        <w:rPr>
          <w:spacing w:val="-2"/>
          <w:sz w:val="20"/>
        </w:rPr>
        <w:t> dispute.</w:t>
      </w:r>
    </w:p>
    <w:p>
      <w:pPr>
        <w:pStyle w:val="BodyText"/>
        <w:spacing w:before="12"/>
        <w:rPr>
          <w:sz w:val="22"/>
        </w:rPr>
      </w:pPr>
    </w:p>
    <w:p>
      <w:pPr>
        <w:pStyle w:val="BodyText"/>
        <w:spacing w:line="259" w:lineRule="auto"/>
        <w:ind w:left="1336" w:right="1475"/>
        <w:jc w:val="both"/>
      </w:pPr>
      <w:r>
        <w:rPr/>
        <w:t>As in 2016, six in ten (60 per cent) claimants (and their representatives) and half (52</w:t>
      </w:r>
      <w:r>
        <w:rPr>
          <w:spacing w:val="-2"/>
        </w:rPr>
        <w:t> </w:t>
      </w:r>
      <w:r>
        <w:rPr/>
        <w:t>per</w:t>
      </w:r>
      <w:r>
        <w:rPr>
          <w:spacing w:val="-3"/>
        </w:rPr>
        <w:t> </w:t>
      </w:r>
      <w:r>
        <w:rPr/>
        <w:t>cent)</w:t>
      </w:r>
      <w:r>
        <w:rPr>
          <w:spacing w:val="-2"/>
        </w:rPr>
        <w:t> </w:t>
      </w:r>
      <w:r>
        <w:rPr/>
        <w:t>of</w:t>
      </w:r>
      <w:r>
        <w:rPr>
          <w:spacing w:val="-2"/>
        </w:rPr>
        <w:t> </w:t>
      </w:r>
      <w:r>
        <w:rPr/>
        <w:t>employers</w:t>
      </w:r>
      <w:r>
        <w:rPr>
          <w:spacing w:val="-2"/>
        </w:rPr>
        <w:t> </w:t>
      </w:r>
      <w:r>
        <w:rPr/>
        <w:t>(and</w:t>
      </w:r>
      <w:r>
        <w:rPr>
          <w:spacing w:val="-3"/>
        </w:rPr>
        <w:t> </w:t>
      </w:r>
      <w:r>
        <w:rPr/>
        <w:t>their</w:t>
      </w:r>
      <w:r>
        <w:rPr>
          <w:spacing w:val="-2"/>
        </w:rPr>
        <w:t> </w:t>
      </w:r>
      <w:r>
        <w:rPr/>
        <w:t>representatives)</w:t>
      </w:r>
      <w:r>
        <w:rPr>
          <w:spacing w:val="-3"/>
        </w:rPr>
        <w:t> </w:t>
      </w:r>
      <w:r>
        <w:rPr/>
        <w:t>said</w:t>
      </w:r>
      <w:r>
        <w:rPr>
          <w:spacing w:val="-2"/>
        </w:rPr>
        <w:t> </w:t>
      </w:r>
      <w:r>
        <w:rPr/>
        <w:t>Acas’</w:t>
      </w:r>
      <w:r>
        <w:rPr>
          <w:spacing w:val="-2"/>
        </w:rPr>
        <w:t> </w:t>
      </w:r>
      <w:r>
        <w:rPr/>
        <w:t>involvement</w:t>
      </w:r>
      <w:r>
        <w:rPr>
          <w:spacing w:val="-2"/>
        </w:rPr>
        <w:t> </w:t>
      </w:r>
      <w:r>
        <w:rPr/>
        <w:t>had been important in helping to move parties closer together (Figure 36).</w:t>
      </w:r>
    </w:p>
    <w:p>
      <w:pPr>
        <w:spacing w:after="0" w:line="259" w:lineRule="auto"/>
        <w:jc w:val="both"/>
        <w:sectPr>
          <w:pgSz w:w="11910" w:h="16840"/>
          <w:pgMar w:header="0" w:footer="996" w:top="1340" w:bottom="1180" w:left="460" w:right="320"/>
        </w:sectPr>
      </w:pPr>
    </w:p>
    <w:p>
      <w:pPr>
        <w:pStyle w:val="Heading3"/>
        <w:spacing w:before="82"/>
        <w:ind w:right="1474"/>
      </w:pPr>
      <w:r>
        <w:rPr/>
        <w:t>Figure 36. Importance of Acas in helping move parties closer towards resolving the dispute</w:t>
      </w:r>
    </w:p>
    <w:p>
      <w:pPr>
        <w:pStyle w:val="BodyText"/>
        <w:ind w:left="1431"/>
      </w:pPr>
      <w:r>
        <w:rPr/>
        <w:drawing>
          <wp:inline distT="0" distB="0" distL="0" distR="0">
            <wp:extent cx="5078517" cy="1996058"/>
            <wp:effectExtent l="0" t="0" r="0" b="0"/>
            <wp:docPr id="89" name="image45.png" descr="Graph showing the importance of Acas in helping move parties closer towards resolving the dispute "/>
            <wp:cNvGraphicFramePr>
              <a:graphicFrameLocks noChangeAspect="1"/>
            </wp:cNvGraphicFramePr>
            <a:graphic>
              <a:graphicData uri="http://schemas.openxmlformats.org/drawingml/2006/picture">
                <pic:pic>
                  <pic:nvPicPr>
                    <pic:cNvPr id="90" name="image45.png"/>
                    <pic:cNvPicPr/>
                  </pic:nvPicPr>
                  <pic:blipFill>
                    <a:blip r:embed="rId58" cstate="print"/>
                    <a:stretch>
                      <a:fillRect/>
                    </a:stretch>
                  </pic:blipFill>
                  <pic:spPr>
                    <a:xfrm>
                      <a:off x="0" y="0"/>
                      <a:ext cx="5078517" cy="1996058"/>
                    </a:xfrm>
                    <a:prstGeom prst="rect">
                      <a:avLst/>
                    </a:prstGeom>
                  </pic:spPr>
                </pic:pic>
              </a:graphicData>
            </a:graphic>
          </wp:inline>
        </w:drawing>
      </w:r>
      <w:r>
        <w:rPr/>
      </w:r>
    </w:p>
    <w:p>
      <w:pPr>
        <w:pStyle w:val="BodyText"/>
        <w:spacing w:before="8"/>
        <w:rPr>
          <w:b/>
          <w:sz w:val="34"/>
        </w:rPr>
      </w:pPr>
    </w:p>
    <w:p>
      <w:pPr>
        <w:pStyle w:val="BodyText"/>
        <w:ind w:left="1337"/>
        <w:jc w:val="both"/>
      </w:pPr>
      <w:r>
        <w:rPr/>
        <w:t>The</w:t>
      </w:r>
      <w:r>
        <w:rPr>
          <w:spacing w:val="-7"/>
        </w:rPr>
        <w:t> </w:t>
      </w:r>
      <w:r>
        <w:rPr/>
        <w:t>perceived</w:t>
      </w:r>
      <w:r>
        <w:rPr>
          <w:spacing w:val="-3"/>
        </w:rPr>
        <w:t> </w:t>
      </w:r>
      <w:r>
        <w:rPr/>
        <w:t>importance</w:t>
      </w:r>
      <w:r>
        <w:rPr>
          <w:spacing w:val="-5"/>
        </w:rPr>
        <w:t> </w:t>
      </w:r>
      <w:r>
        <w:rPr/>
        <w:t>of</w:t>
      </w:r>
      <w:r>
        <w:rPr>
          <w:spacing w:val="-3"/>
        </w:rPr>
        <w:t> </w:t>
      </w:r>
      <w:r>
        <w:rPr/>
        <w:t>Acas</w:t>
      </w:r>
      <w:r>
        <w:rPr>
          <w:spacing w:val="-5"/>
        </w:rPr>
        <w:t> </w:t>
      </w:r>
      <w:r>
        <w:rPr/>
        <w:t>differed</w:t>
      </w:r>
      <w:r>
        <w:rPr>
          <w:spacing w:val="-3"/>
        </w:rPr>
        <w:t> </w:t>
      </w:r>
      <w:r>
        <w:rPr/>
        <w:t>significantly</w:t>
      </w:r>
      <w:r>
        <w:rPr>
          <w:spacing w:val="-4"/>
        </w:rPr>
        <w:t> </w:t>
      </w:r>
      <w:r>
        <w:rPr/>
        <w:t>across</w:t>
      </w:r>
      <w:r>
        <w:rPr>
          <w:spacing w:val="-3"/>
        </w:rPr>
        <w:t> </w:t>
      </w:r>
      <w:r>
        <w:rPr/>
        <w:t>several</w:t>
      </w:r>
      <w:r>
        <w:rPr>
          <w:spacing w:val="-4"/>
        </w:rPr>
        <w:t> </w:t>
      </w:r>
      <w:r>
        <w:rPr>
          <w:spacing w:val="-2"/>
        </w:rPr>
        <w:t>groups:</w:t>
      </w:r>
    </w:p>
    <w:p>
      <w:pPr>
        <w:pStyle w:val="BodyText"/>
        <w:spacing w:before="1"/>
        <w:rPr>
          <w:sz w:val="23"/>
        </w:rPr>
      </w:pPr>
    </w:p>
    <w:p>
      <w:pPr>
        <w:pStyle w:val="ListParagraph"/>
        <w:numPr>
          <w:ilvl w:val="0"/>
          <w:numId w:val="43"/>
        </w:numPr>
        <w:tabs>
          <w:tab w:pos="2058" w:val="left" w:leader="none"/>
        </w:tabs>
        <w:spacing w:line="259" w:lineRule="auto" w:before="0" w:after="0"/>
        <w:ind w:left="2057" w:right="1472" w:hanging="360"/>
        <w:jc w:val="both"/>
        <w:rPr>
          <w:sz w:val="20"/>
        </w:rPr>
      </w:pPr>
      <w:r>
        <w:rPr>
          <w:sz w:val="20"/>
        </w:rPr>
        <w:t>Ratings of Acas’ importance were highest among both claimant and employer-side participants involved in cases that settled with Acas (70 per cent</w:t>
      </w:r>
      <w:r>
        <w:rPr>
          <w:spacing w:val="-10"/>
          <w:sz w:val="20"/>
        </w:rPr>
        <w:t> </w:t>
      </w:r>
      <w:r>
        <w:rPr>
          <w:sz w:val="20"/>
        </w:rPr>
        <w:t>and</w:t>
      </w:r>
      <w:r>
        <w:rPr>
          <w:spacing w:val="-10"/>
          <w:sz w:val="20"/>
        </w:rPr>
        <w:t> </w:t>
      </w:r>
      <w:r>
        <w:rPr>
          <w:sz w:val="20"/>
        </w:rPr>
        <w:t>66</w:t>
      </w:r>
      <w:r>
        <w:rPr>
          <w:spacing w:val="-11"/>
          <w:sz w:val="20"/>
        </w:rPr>
        <w:t> </w:t>
      </w:r>
      <w:r>
        <w:rPr>
          <w:sz w:val="20"/>
        </w:rPr>
        <w:t>per</w:t>
      </w:r>
      <w:r>
        <w:rPr>
          <w:spacing w:val="-10"/>
          <w:sz w:val="20"/>
        </w:rPr>
        <w:t> </w:t>
      </w:r>
      <w:r>
        <w:rPr>
          <w:sz w:val="20"/>
        </w:rPr>
        <w:t>cent</w:t>
      </w:r>
      <w:r>
        <w:rPr>
          <w:spacing w:val="-10"/>
          <w:sz w:val="20"/>
        </w:rPr>
        <w:t> </w:t>
      </w:r>
      <w:r>
        <w:rPr>
          <w:sz w:val="20"/>
        </w:rPr>
        <w:t>respectively).</w:t>
      </w:r>
      <w:r>
        <w:rPr>
          <w:spacing w:val="-10"/>
          <w:sz w:val="20"/>
        </w:rPr>
        <w:t> </w:t>
      </w:r>
      <w:r>
        <w:rPr>
          <w:sz w:val="20"/>
        </w:rPr>
        <w:t>However,</w:t>
      </w:r>
      <w:r>
        <w:rPr>
          <w:spacing w:val="-10"/>
          <w:sz w:val="20"/>
        </w:rPr>
        <w:t> </w:t>
      </w:r>
      <w:r>
        <w:rPr>
          <w:sz w:val="20"/>
        </w:rPr>
        <w:t>half</w:t>
      </w:r>
      <w:r>
        <w:rPr>
          <w:spacing w:val="-10"/>
          <w:sz w:val="20"/>
        </w:rPr>
        <w:t> </w:t>
      </w:r>
      <w:r>
        <w:rPr>
          <w:sz w:val="20"/>
        </w:rPr>
        <w:t>(48</w:t>
      </w:r>
      <w:r>
        <w:rPr>
          <w:spacing w:val="-10"/>
          <w:sz w:val="20"/>
        </w:rPr>
        <w:t> </w:t>
      </w:r>
      <w:r>
        <w:rPr>
          <w:sz w:val="20"/>
        </w:rPr>
        <w:t>per</w:t>
      </w:r>
      <w:r>
        <w:rPr>
          <w:spacing w:val="-10"/>
          <w:sz w:val="20"/>
        </w:rPr>
        <w:t> </w:t>
      </w:r>
      <w:r>
        <w:rPr>
          <w:sz w:val="20"/>
        </w:rPr>
        <w:t>cent)</w:t>
      </w:r>
      <w:r>
        <w:rPr>
          <w:spacing w:val="-10"/>
          <w:sz w:val="20"/>
        </w:rPr>
        <w:t> </w:t>
      </w:r>
      <w:r>
        <w:rPr>
          <w:sz w:val="20"/>
        </w:rPr>
        <w:t>of</w:t>
      </w:r>
      <w:r>
        <w:rPr>
          <w:spacing w:val="-10"/>
          <w:sz w:val="20"/>
        </w:rPr>
        <w:t> </w:t>
      </w:r>
      <w:r>
        <w:rPr>
          <w:sz w:val="20"/>
        </w:rPr>
        <w:t>claimant- side participants involved in cases that </w:t>
      </w:r>
      <w:r>
        <w:rPr>
          <w:i/>
          <w:sz w:val="20"/>
        </w:rPr>
        <w:t>had not </w:t>
      </w:r>
      <w:r>
        <w:rPr>
          <w:sz w:val="20"/>
        </w:rPr>
        <w:t>been settled at the time of interview also agreed that Acas’ involvement had been important, while a quarter</w:t>
      </w:r>
      <w:r>
        <w:rPr>
          <w:spacing w:val="-18"/>
          <w:sz w:val="20"/>
        </w:rPr>
        <w:t> </w:t>
      </w:r>
      <w:r>
        <w:rPr>
          <w:sz w:val="20"/>
        </w:rPr>
        <w:t>of</w:t>
      </w:r>
      <w:r>
        <w:rPr>
          <w:spacing w:val="-18"/>
          <w:sz w:val="20"/>
        </w:rPr>
        <w:t> </w:t>
      </w:r>
      <w:r>
        <w:rPr>
          <w:sz w:val="20"/>
        </w:rPr>
        <w:t>employer-side</w:t>
      </w:r>
      <w:r>
        <w:rPr>
          <w:spacing w:val="-17"/>
          <w:sz w:val="20"/>
        </w:rPr>
        <w:t> </w:t>
      </w:r>
      <w:r>
        <w:rPr>
          <w:sz w:val="20"/>
        </w:rPr>
        <w:t>participants</w:t>
      </w:r>
      <w:r>
        <w:rPr>
          <w:spacing w:val="-18"/>
          <w:sz w:val="20"/>
        </w:rPr>
        <w:t> </w:t>
      </w:r>
      <w:r>
        <w:rPr>
          <w:sz w:val="20"/>
        </w:rPr>
        <w:t>said</w:t>
      </w:r>
      <w:r>
        <w:rPr>
          <w:spacing w:val="-17"/>
          <w:sz w:val="20"/>
        </w:rPr>
        <w:t> </w:t>
      </w:r>
      <w:r>
        <w:rPr>
          <w:sz w:val="20"/>
        </w:rPr>
        <w:t>the</w:t>
      </w:r>
      <w:r>
        <w:rPr>
          <w:spacing w:val="-18"/>
          <w:sz w:val="20"/>
        </w:rPr>
        <w:t> </w:t>
      </w:r>
      <w:r>
        <w:rPr>
          <w:sz w:val="20"/>
        </w:rPr>
        <w:t>same</w:t>
      </w:r>
      <w:r>
        <w:rPr>
          <w:spacing w:val="-18"/>
          <w:sz w:val="20"/>
        </w:rPr>
        <w:t> </w:t>
      </w:r>
      <w:r>
        <w:rPr>
          <w:sz w:val="20"/>
        </w:rPr>
        <w:t>(28</w:t>
      </w:r>
      <w:r>
        <w:rPr>
          <w:spacing w:val="-17"/>
          <w:sz w:val="20"/>
        </w:rPr>
        <w:t> </w:t>
      </w:r>
      <w:r>
        <w:rPr>
          <w:sz w:val="20"/>
        </w:rPr>
        <w:t>per</w:t>
      </w:r>
      <w:r>
        <w:rPr>
          <w:spacing w:val="-18"/>
          <w:sz w:val="20"/>
        </w:rPr>
        <w:t> </w:t>
      </w:r>
      <w:r>
        <w:rPr>
          <w:sz w:val="20"/>
        </w:rPr>
        <w:t>cent),</w:t>
      </w:r>
      <w:r>
        <w:rPr>
          <w:spacing w:val="-17"/>
          <w:sz w:val="20"/>
        </w:rPr>
        <w:t> </w:t>
      </w:r>
      <w:r>
        <w:rPr>
          <w:sz w:val="20"/>
        </w:rPr>
        <w:t>indicating that</w:t>
      </w:r>
      <w:r>
        <w:rPr>
          <w:spacing w:val="-13"/>
          <w:sz w:val="20"/>
        </w:rPr>
        <w:t> </w:t>
      </w:r>
      <w:r>
        <w:rPr>
          <w:sz w:val="20"/>
        </w:rPr>
        <w:t>Acas’</w:t>
      </w:r>
      <w:r>
        <w:rPr>
          <w:spacing w:val="-13"/>
          <w:sz w:val="20"/>
        </w:rPr>
        <w:t> </w:t>
      </w:r>
      <w:r>
        <w:rPr>
          <w:sz w:val="20"/>
        </w:rPr>
        <w:t>conciliatory</w:t>
      </w:r>
      <w:r>
        <w:rPr>
          <w:spacing w:val="-12"/>
          <w:sz w:val="20"/>
        </w:rPr>
        <w:t> </w:t>
      </w:r>
      <w:r>
        <w:rPr>
          <w:sz w:val="20"/>
        </w:rPr>
        <w:t>influence</w:t>
      </w:r>
      <w:r>
        <w:rPr>
          <w:spacing w:val="-13"/>
          <w:sz w:val="20"/>
        </w:rPr>
        <w:t> </w:t>
      </w:r>
      <w:r>
        <w:rPr>
          <w:sz w:val="20"/>
        </w:rPr>
        <w:t>extends</w:t>
      </w:r>
      <w:r>
        <w:rPr>
          <w:spacing w:val="-13"/>
          <w:sz w:val="20"/>
        </w:rPr>
        <w:t> </w:t>
      </w:r>
      <w:r>
        <w:rPr>
          <w:sz w:val="20"/>
        </w:rPr>
        <w:t>beyond</w:t>
      </w:r>
      <w:r>
        <w:rPr>
          <w:spacing w:val="-12"/>
          <w:sz w:val="20"/>
        </w:rPr>
        <w:t> </w:t>
      </w:r>
      <w:r>
        <w:rPr>
          <w:sz w:val="20"/>
        </w:rPr>
        <w:t>the</w:t>
      </w:r>
      <w:r>
        <w:rPr>
          <w:spacing w:val="-13"/>
          <w:sz w:val="20"/>
        </w:rPr>
        <w:t> </w:t>
      </w:r>
      <w:r>
        <w:rPr>
          <w:sz w:val="20"/>
        </w:rPr>
        <w:t>cases</w:t>
      </w:r>
      <w:r>
        <w:rPr>
          <w:spacing w:val="-13"/>
          <w:sz w:val="20"/>
        </w:rPr>
        <w:t> </w:t>
      </w:r>
      <w:r>
        <w:rPr>
          <w:sz w:val="20"/>
        </w:rPr>
        <w:t>it</w:t>
      </w:r>
      <w:r>
        <w:rPr>
          <w:spacing w:val="-12"/>
          <w:sz w:val="20"/>
        </w:rPr>
        <w:t> </w:t>
      </w:r>
      <w:r>
        <w:rPr>
          <w:sz w:val="20"/>
        </w:rPr>
        <w:t>settles</w:t>
      </w:r>
      <w:r>
        <w:rPr>
          <w:spacing w:val="-12"/>
          <w:sz w:val="20"/>
        </w:rPr>
        <w:t> </w:t>
      </w:r>
      <w:r>
        <w:rPr>
          <w:sz w:val="20"/>
        </w:rPr>
        <w:t>directly.</w:t>
      </w:r>
    </w:p>
    <w:p>
      <w:pPr>
        <w:pStyle w:val="ListParagraph"/>
        <w:numPr>
          <w:ilvl w:val="0"/>
          <w:numId w:val="43"/>
        </w:numPr>
        <w:tabs>
          <w:tab w:pos="2058" w:val="left" w:leader="none"/>
        </w:tabs>
        <w:spacing w:line="259" w:lineRule="auto" w:before="0" w:after="0"/>
        <w:ind w:left="2057" w:right="1472" w:hanging="360"/>
        <w:jc w:val="both"/>
        <w:rPr>
          <w:sz w:val="20"/>
        </w:rPr>
      </w:pPr>
      <w:r>
        <w:rPr>
          <w:sz w:val="20"/>
        </w:rPr>
        <w:t>Those who had previously taken part in EC were also more likely to rate Acas’ involvement as important in helping to move parties closer towards resolving</w:t>
      </w:r>
      <w:r>
        <w:rPr>
          <w:spacing w:val="-18"/>
          <w:sz w:val="20"/>
        </w:rPr>
        <w:t> </w:t>
      </w:r>
      <w:r>
        <w:rPr>
          <w:sz w:val="20"/>
        </w:rPr>
        <w:t>the</w:t>
      </w:r>
      <w:r>
        <w:rPr>
          <w:spacing w:val="-18"/>
          <w:sz w:val="20"/>
        </w:rPr>
        <w:t> </w:t>
      </w:r>
      <w:r>
        <w:rPr>
          <w:sz w:val="20"/>
        </w:rPr>
        <w:t>dispute:</w:t>
      </w:r>
      <w:r>
        <w:rPr>
          <w:spacing w:val="-17"/>
          <w:sz w:val="20"/>
        </w:rPr>
        <w:t> </w:t>
      </w:r>
      <w:r>
        <w:rPr>
          <w:sz w:val="20"/>
        </w:rPr>
        <w:t>66</w:t>
      </w:r>
      <w:r>
        <w:rPr>
          <w:spacing w:val="-18"/>
          <w:sz w:val="20"/>
        </w:rPr>
        <w:t> </w:t>
      </w:r>
      <w:r>
        <w:rPr>
          <w:sz w:val="20"/>
        </w:rPr>
        <w:t>per</w:t>
      </w:r>
      <w:r>
        <w:rPr>
          <w:spacing w:val="-17"/>
          <w:sz w:val="20"/>
        </w:rPr>
        <w:t> </w:t>
      </w:r>
      <w:r>
        <w:rPr>
          <w:sz w:val="20"/>
        </w:rPr>
        <w:t>cent</w:t>
      </w:r>
      <w:r>
        <w:rPr>
          <w:spacing w:val="-18"/>
          <w:sz w:val="20"/>
        </w:rPr>
        <w:t> </w:t>
      </w:r>
      <w:r>
        <w:rPr>
          <w:sz w:val="20"/>
        </w:rPr>
        <w:t>and</w:t>
      </w:r>
      <w:r>
        <w:rPr>
          <w:spacing w:val="-18"/>
          <w:sz w:val="20"/>
        </w:rPr>
        <w:t> </w:t>
      </w:r>
      <w:r>
        <w:rPr>
          <w:sz w:val="20"/>
        </w:rPr>
        <w:t>59</w:t>
      </w:r>
      <w:r>
        <w:rPr>
          <w:spacing w:val="-17"/>
          <w:sz w:val="20"/>
        </w:rPr>
        <w:t> </w:t>
      </w:r>
      <w:r>
        <w:rPr>
          <w:sz w:val="20"/>
        </w:rPr>
        <w:t>per</w:t>
      </w:r>
      <w:r>
        <w:rPr>
          <w:spacing w:val="-18"/>
          <w:sz w:val="20"/>
        </w:rPr>
        <w:t> </w:t>
      </w:r>
      <w:r>
        <w:rPr>
          <w:sz w:val="20"/>
        </w:rPr>
        <w:t>cent</w:t>
      </w:r>
      <w:r>
        <w:rPr>
          <w:spacing w:val="-17"/>
          <w:sz w:val="20"/>
        </w:rPr>
        <w:t> </w:t>
      </w:r>
      <w:r>
        <w:rPr>
          <w:sz w:val="20"/>
        </w:rPr>
        <w:t>of</w:t>
      </w:r>
      <w:r>
        <w:rPr>
          <w:spacing w:val="-18"/>
          <w:sz w:val="20"/>
        </w:rPr>
        <w:t> </w:t>
      </w:r>
      <w:r>
        <w:rPr>
          <w:sz w:val="20"/>
        </w:rPr>
        <w:t>claimant</w:t>
      </w:r>
      <w:r>
        <w:rPr>
          <w:spacing w:val="-17"/>
          <w:sz w:val="20"/>
        </w:rPr>
        <w:t> </w:t>
      </w:r>
      <w:r>
        <w:rPr>
          <w:sz w:val="20"/>
        </w:rPr>
        <w:t>and</w:t>
      </w:r>
      <w:r>
        <w:rPr>
          <w:spacing w:val="-18"/>
          <w:sz w:val="20"/>
        </w:rPr>
        <w:t> </w:t>
      </w:r>
      <w:r>
        <w:rPr>
          <w:sz w:val="20"/>
        </w:rPr>
        <w:t>employer- side participants reported this to have been the case.</w:t>
      </w:r>
    </w:p>
    <w:p>
      <w:pPr>
        <w:pStyle w:val="ListParagraph"/>
        <w:numPr>
          <w:ilvl w:val="0"/>
          <w:numId w:val="43"/>
        </w:numPr>
        <w:tabs>
          <w:tab w:pos="2058" w:val="left" w:leader="none"/>
        </w:tabs>
        <w:spacing w:line="259" w:lineRule="auto" w:before="0" w:after="0"/>
        <w:ind w:left="2057" w:right="1473" w:hanging="360"/>
        <w:jc w:val="both"/>
        <w:rPr>
          <w:sz w:val="20"/>
        </w:rPr>
      </w:pPr>
      <w:r>
        <w:rPr>
          <w:sz w:val="20"/>
        </w:rPr>
        <w:t>Claimant-side participants involved in fast track cases were more likely to rate Acas’ involvement as important (75 per cent) than those involved in open</w:t>
      </w:r>
      <w:r>
        <w:rPr>
          <w:spacing w:val="-5"/>
          <w:sz w:val="20"/>
        </w:rPr>
        <w:t> </w:t>
      </w:r>
      <w:r>
        <w:rPr>
          <w:sz w:val="20"/>
        </w:rPr>
        <w:t>or</w:t>
      </w:r>
      <w:r>
        <w:rPr>
          <w:spacing w:val="-6"/>
          <w:sz w:val="20"/>
        </w:rPr>
        <w:t> </w:t>
      </w:r>
      <w:r>
        <w:rPr>
          <w:sz w:val="20"/>
        </w:rPr>
        <w:t>standard</w:t>
      </w:r>
      <w:r>
        <w:rPr>
          <w:spacing w:val="-5"/>
          <w:sz w:val="20"/>
        </w:rPr>
        <w:t> </w:t>
      </w:r>
      <w:r>
        <w:rPr>
          <w:sz w:val="20"/>
        </w:rPr>
        <w:t>track</w:t>
      </w:r>
      <w:r>
        <w:rPr>
          <w:spacing w:val="-6"/>
          <w:sz w:val="20"/>
        </w:rPr>
        <w:t> </w:t>
      </w:r>
      <w:r>
        <w:rPr>
          <w:sz w:val="20"/>
        </w:rPr>
        <w:t>disputes</w:t>
      </w:r>
      <w:r>
        <w:rPr>
          <w:spacing w:val="-5"/>
          <w:sz w:val="20"/>
        </w:rPr>
        <w:t> </w:t>
      </w:r>
      <w:r>
        <w:rPr>
          <w:sz w:val="20"/>
        </w:rPr>
        <w:t>(56</w:t>
      </w:r>
      <w:r>
        <w:rPr>
          <w:spacing w:val="-6"/>
          <w:sz w:val="20"/>
        </w:rPr>
        <w:t> </w:t>
      </w:r>
      <w:r>
        <w:rPr>
          <w:sz w:val="20"/>
        </w:rPr>
        <w:t>per</w:t>
      </w:r>
      <w:r>
        <w:rPr>
          <w:spacing w:val="-6"/>
          <w:sz w:val="20"/>
        </w:rPr>
        <w:t> </w:t>
      </w:r>
      <w:r>
        <w:rPr>
          <w:sz w:val="20"/>
        </w:rPr>
        <w:t>cent</w:t>
      </w:r>
      <w:r>
        <w:rPr>
          <w:spacing w:val="-6"/>
          <w:sz w:val="20"/>
        </w:rPr>
        <w:t> </w:t>
      </w:r>
      <w:r>
        <w:rPr>
          <w:sz w:val="20"/>
        </w:rPr>
        <w:t>and</w:t>
      </w:r>
      <w:r>
        <w:rPr>
          <w:spacing w:val="-5"/>
          <w:sz w:val="20"/>
        </w:rPr>
        <w:t> </w:t>
      </w:r>
      <w:r>
        <w:rPr>
          <w:sz w:val="20"/>
        </w:rPr>
        <w:t>53</w:t>
      </w:r>
      <w:r>
        <w:rPr>
          <w:spacing w:val="-7"/>
          <w:sz w:val="20"/>
        </w:rPr>
        <w:t> </w:t>
      </w:r>
      <w:r>
        <w:rPr>
          <w:sz w:val="20"/>
        </w:rPr>
        <w:t>per</w:t>
      </w:r>
      <w:r>
        <w:rPr>
          <w:spacing w:val="-6"/>
          <w:sz w:val="20"/>
        </w:rPr>
        <w:t> </w:t>
      </w:r>
      <w:r>
        <w:rPr>
          <w:sz w:val="20"/>
        </w:rPr>
        <w:t>cent</w:t>
      </w:r>
      <w:r>
        <w:rPr>
          <w:spacing w:val="-5"/>
          <w:sz w:val="20"/>
        </w:rPr>
        <w:t> </w:t>
      </w:r>
      <w:r>
        <w:rPr>
          <w:sz w:val="20"/>
        </w:rPr>
        <w:t>respectively). As in 2016,</w:t>
      </w:r>
      <w:r>
        <w:rPr>
          <w:spacing w:val="-2"/>
          <w:sz w:val="20"/>
        </w:rPr>
        <w:t> </w:t>
      </w:r>
      <w:r>
        <w:rPr>
          <w:sz w:val="20"/>
        </w:rPr>
        <w:t>this trend</w:t>
      </w:r>
      <w:r>
        <w:rPr>
          <w:spacing w:val="-1"/>
          <w:sz w:val="20"/>
        </w:rPr>
        <w:t> </w:t>
      </w:r>
      <w:r>
        <w:rPr>
          <w:sz w:val="20"/>
        </w:rPr>
        <w:t>was not</w:t>
      </w:r>
      <w:r>
        <w:rPr>
          <w:spacing w:val="-1"/>
          <w:sz w:val="20"/>
        </w:rPr>
        <w:t> </w:t>
      </w:r>
      <w:r>
        <w:rPr>
          <w:sz w:val="20"/>
        </w:rPr>
        <w:t>reflected among</w:t>
      </w:r>
      <w:r>
        <w:rPr>
          <w:spacing w:val="-1"/>
          <w:sz w:val="20"/>
        </w:rPr>
        <w:t> </w:t>
      </w:r>
      <w:r>
        <w:rPr>
          <w:sz w:val="20"/>
        </w:rPr>
        <w:t>employer-side</w:t>
      </w:r>
      <w:r>
        <w:rPr>
          <w:spacing w:val="-1"/>
          <w:sz w:val="20"/>
        </w:rPr>
        <w:t> </w:t>
      </w:r>
      <w:r>
        <w:rPr>
          <w:sz w:val="20"/>
        </w:rPr>
        <w:t>participants.</w:t>
      </w:r>
    </w:p>
    <w:p>
      <w:pPr>
        <w:pStyle w:val="BodyText"/>
        <w:spacing w:before="8"/>
      </w:pPr>
    </w:p>
    <w:p>
      <w:pPr>
        <w:pStyle w:val="BodyText"/>
        <w:spacing w:line="259" w:lineRule="auto" w:before="1"/>
        <w:ind w:left="1337" w:right="1472"/>
        <w:jc w:val="both"/>
      </w:pPr>
      <w:r>
        <w:rPr/>
        <w:t>A little over half (55 per cent) of claimant-side participants involved in disputes which had reached a settlement (either an Acas-agreed COT3 settlement or a private</w:t>
      </w:r>
      <w:r>
        <w:rPr>
          <w:spacing w:val="-14"/>
        </w:rPr>
        <w:t> </w:t>
      </w:r>
      <w:r>
        <w:rPr/>
        <w:t>settlement)</w:t>
      </w:r>
      <w:r>
        <w:rPr>
          <w:spacing w:val="-14"/>
        </w:rPr>
        <w:t> </w:t>
      </w:r>
      <w:r>
        <w:rPr/>
        <w:t>agreed</w:t>
      </w:r>
      <w:r>
        <w:rPr>
          <w:spacing w:val="-14"/>
        </w:rPr>
        <w:t> </w:t>
      </w:r>
      <w:r>
        <w:rPr/>
        <w:t>that</w:t>
      </w:r>
      <w:r>
        <w:rPr>
          <w:spacing w:val="-13"/>
        </w:rPr>
        <w:t> </w:t>
      </w:r>
      <w:r>
        <w:rPr/>
        <w:t>Acas’</w:t>
      </w:r>
      <w:r>
        <w:rPr>
          <w:spacing w:val="-14"/>
        </w:rPr>
        <w:t> </w:t>
      </w:r>
      <w:r>
        <w:rPr/>
        <w:t>involvement</w:t>
      </w:r>
      <w:r>
        <w:rPr>
          <w:spacing w:val="-14"/>
        </w:rPr>
        <w:t> </w:t>
      </w:r>
      <w:r>
        <w:rPr/>
        <w:t>had</w:t>
      </w:r>
      <w:r>
        <w:rPr>
          <w:spacing w:val="-14"/>
        </w:rPr>
        <w:t> </w:t>
      </w:r>
      <w:r>
        <w:rPr/>
        <w:t>been</w:t>
      </w:r>
      <w:r>
        <w:rPr>
          <w:spacing w:val="-13"/>
        </w:rPr>
        <w:t> </w:t>
      </w:r>
      <w:r>
        <w:rPr/>
        <w:t>a</w:t>
      </w:r>
      <w:r>
        <w:rPr>
          <w:spacing w:val="-14"/>
        </w:rPr>
        <w:t> </w:t>
      </w:r>
      <w:r>
        <w:rPr/>
        <w:t>factor</w:t>
      </w:r>
      <w:r>
        <w:rPr>
          <w:spacing w:val="-14"/>
        </w:rPr>
        <w:t> </w:t>
      </w:r>
      <w:r>
        <w:rPr/>
        <w:t>in</w:t>
      </w:r>
      <w:r>
        <w:rPr>
          <w:spacing w:val="-13"/>
        </w:rPr>
        <w:t> </w:t>
      </w:r>
      <w:r>
        <w:rPr/>
        <w:t>the</w:t>
      </w:r>
      <w:r>
        <w:rPr>
          <w:spacing w:val="-14"/>
        </w:rPr>
        <w:t> </w:t>
      </w:r>
      <w:r>
        <w:rPr/>
        <w:t>decision to resolve the case. Among employers (and their representatives), 49 per cent reported this to have been the case. Scores have not changed significantly since 2016 among claimant-side participants, although they have improved among employer-side participants, up eight points (see Figure 37).</w:t>
      </w:r>
    </w:p>
    <w:p>
      <w:pPr>
        <w:spacing w:after="0" w:line="259" w:lineRule="auto"/>
        <w:jc w:val="both"/>
        <w:sectPr>
          <w:pgSz w:w="11910" w:h="16840"/>
          <w:pgMar w:header="0" w:footer="996" w:top="1340" w:bottom="1180" w:left="460" w:right="320"/>
        </w:sectPr>
      </w:pPr>
    </w:p>
    <w:p>
      <w:pPr>
        <w:pStyle w:val="Heading3"/>
        <w:spacing w:before="82"/>
        <w:ind w:right="1475"/>
      </w:pPr>
      <w:r>
        <w:rPr/>
        <w:t>Figure 37. Agreement that Acas’ involvement was a factor in the decision to resolve the case</w:t>
      </w:r>
    </w:p>
    <w:p>
      <w:pPr>
        <w:pStyle w:val="BodyText"/>
        <w:ind w:left="1412"/>
      </w:pPr>
      <w:r>
        <w:rPr/>
        <w:drawing>
          <wp:inline distT="0" distB="0" distL="0" distR="0">
            <wp:extent cx="5143480" cy="2122931"/>
            <wp:effectExtent l="0" t="0" r="0" b="0"/>
            <wp:docPr id="91" name="image46.png" descr="Graph showing agreement that Acas's involvement was a factor in the decision to resolve the case "/>
            <wp:cNvGraphicFramePr>
              <a:graphicFrameLocks noChangeAspect="1"/>
            </wp:cNvGraphicFramePr>
            <a:graphic>
              <a:graphicData uri="http://schemas.openxmlformats.org/drawingml/2006/picture">
                <pic:pic>
                  <pic:nvPicPr>
                    <pic:cNvPr id="92" name="image46.png"/>
                    <pic:cNvPicPr/>
                  </pic:nvPicPr>
                  <pic:blipFill>
                    <a:blip r:embed="rId59" cstate="print"/>
                    <a:stretch>
                      <a:fillRect/>
                    </a:stretch>
                  </pic:blipFill>
                  <pic:spPr>
                    <a:xfrm>
                      <a:off x="0" y="0"/>
                      <a:ext cx="5143480" cy="2122931"/>
                    </a:xfrm>
                    <a:prstGeom prst="rect">
                      <a:avLst/>
                    </a:prstGeom>
                  </pic:spPr>
                </pic:pic>
              </a:graphicData>
            </a:graphic>
          </wp:inline>
        </w:drawing>
      </w:r>
      <w:r>
        <w:rPr/>
      </w:r>
    </w:p>
    <w:p>
      <w:pPr>
        <w:pStyle w:val="BodyText"/>
        <w:spacing w:before="6"/>
        <w:rPr>
          <w:b/>
          <w:sz w:val="34"/>
        </w:rPr>
      </w:pPr>
    </w:p>
    <w:p>
      <w:pPr>
        <w:pStyle w:val="BodyText"/>
        <w:spacing w:line="259" w:lineRule="auto"/>
        <w:ind w:left="1337" w:right="1473"/>
        <w:jc w:val="both"/>
      </w:pPr>
      <w:r>
        <w:rPr/>
        <w:t>Results</w:t>
      </w:r>
      <w:r>
        <w:rPr>
          <w:spacing w:val="-18"/>
        </w:rPr>
        <w:t> </w:t>
      </w:r>
      <w:r>
        <w:rPr/>
        <w:t>differed</w:t>
      </w:r>
      <w:r>
        <w:rPr>
          <w:spacing w:val="-18"/>
        </w:rPr>
        <w:t> </w:t>
      </w:r>
      <w:r>
        <w:rPr/>
        <w:t>by</w:t>
      </w:r>
      <w:r>
        <w:rPr>
          <w:spacing w:val="-17"/>
        </w:rPr>
        <w:t> </w:t>
      </w:r>
      <w:r>
        <w:rPr/>
        <w:t>track,</w:t>
      </w:r>
      <w:r>
        <w:rPr>
          <w:spacing w:val="-18"/>
        </w:rPr>
        <w:t> </w:t>
      </w:r>
      <w:r>
        <w:rPr/>
        <w:t>with</w:t>
      </w:r>
      <w:r>
        <w:rPr>
          <w:spacing w:val="-17"/>
        </w:rPr>
        <w:t> </w:t>
      </w:r>
      <w:r>
        <w:rPr/>
        <w:t>claimant-side</w:t>
      </w:r>
      <w:r>
        <w:rPr>
          <w:spacing w:val="-18"/>
        </w:rPr>
        <w:t> </w:t>
      </w:r>
      <w:r>
        <w:rPr/>
        <w:t>participants</w:t>
      </w:r>
      <w:r>
        <w:rPr>
          <w:spacing w:val="-18"/>
        </w:rPr>
        <w:t> </w:t>
      </w:r>
      <w:r>
        <w:rPr/>
        <w:t>involved</w:t>
      </w:r>
      <w:r>
        <w:rPr>
          <w:spacing w:val="-17"/>
        </w:rPr>
        <w:t> </w:t>
      </w:r>
      <w:r>
        <w:rPr/>
        <w:t>in</w:t>
      </w:r>
      <w:r>
        <w:rPr>
          <w:spacing w:val="-18"/>
        </w:rPr>
        <w:t> </w:t>
      </w:r>
      <w:r>
        <w:rPr/>
        <w:t>fast</w:t>
      </w:r>
      <w:r>
        <w:rPr>
          <w:spacing w:val="-17"/>
        </w:rPr>
        <w:t> </w:t>
      </w:r>
      <w:r>
        <w:rPr/>
        <w:t>track</w:t>
      </w:r>
      <w:r>
        <w:rPr>
          <w:spacing w:val="-18"/>
        </w:rPr>
        <w:t> </w:t>
      </w:r>
      <w:r>
        <w:rPr/>
        <w:t>cases more likely to agree that Acas’ involvement had been a factor in the decision to resolve than those involved in standard or open track cases (80 per cent, 57 per cent</w:t>
      </w:r>
      <w:r>
        <w:rPr>
          <w:spacing w:val="-1"/>
        </w:rPr>
        <w:t> </w:t>
      </w:r>
      <w:r>
        <w:rPr/>
        <w:t>and</w:t>
      </w:r>
      <w:r>
        <w:rPr>
          <w:spacing w:val="-3"/>
        </w:rPr>
        <w:t> </w:t>
      </w:r>
      <w:r>
        <w:rPr/>
        <w:t>41</w:t>
      </w:r>
      <w:r>
        <w:rPr>
          <w:spacing w:val="-3"/>
        </w:rPr>
        <w:t> </w:t>
      </w:r>
      <w:r>
        <w:rPr/>
        <w:t>per</w:t>
      </w:r>
      <w:r>
        <w:rPr>
          <w:spacing w:val="-2"/>
        </w:rPr>
        <w:t> </w:t>
      </w:r>
      <w:r>
        <w:rPr/>
        <w:t>cent</w:t>
      </w:r>
      <w:r>
        <w:rPr>
          <w:spacing w:val="-1"/>
        </w:rPr>
        <w:t> </w:t>
      </w:r>
      <w:r>
        <w:rPr/>
        <w:t>respectively).</w:t>
      </w:r>
      <w:r>
        <w:rPr>
          <w:spacing w:val="-1"/>
        </w:rPr>
        <w:t> </w:t>
      </w:r>
      <w:r>
        <w:rPr/>
        <w:t>Among</w:t>
      </w:r>
      <w:r>
        <w:rPr>
          <w:spacing w:val="-3"/>
        </w:rPr>
        <w:t> </w:t>
      </w:r>
      <w:r>
        <w:rPr/>
        <w:t>employer-side</w:t>
      </w:r>
      <w:r>
        <w:rPr>
          <w:spacing w:val="-1"/>
        </w:rPr>
        <w:t> </w:t>
      </w:r>
      <w:r>
        <w:rPr/>
        <w:t>participants,</w:t>
      </w:r>
      <w:r>
        <w:rPr>
          <w:spacing w:val="-1"/>
        </w:rPr>
        <w:t> </w:t>
      </w:r>
      <w:r>
        <w:rPr/>
        <w:t>differences by track were less marked – those involved in fast or standard track disputes (59 per</w:t>
      </w:r>
      <w:r>
        <w:rPr>
          <w:spacing w:val="-13"/>
        </w:rPr>
        <w:t> </w:t>
      </w:r>
      <w:r>
        <w:rPr/>
        <w:t>cent</w:t>
      </w:r>
      <w:r>
        <w:rPr>
          <w:spacing w:val="-13"/>
        </w:rPr>
        <w:t> </w:t>
      </w:r>
      <w:r>
        <w:rPr/>
        <w:t>and</w:t>
      </w:r>
      <w:r>
        <w:rPr>
          <w:spacing w:val="-13"/>
        </w:rPr>
        <w:t> </w:t>
      </w:r>
      <w:r>
        <w:rPr/>
        <w:t>53</w:t>
      </w:r>
      <w:r>
        <w:rPr>
          <w:spacing w:val="-13"/>
        </w:rPr>
        <w:t> </w:t>
      </w:r>
      <w:r>
        <w:rPr/>
        <w:t>per</w:t>
      </w:r>
      <w:r>
        <w:rPr>
          <w:spacing w:val="-13"/>
        </w:rPr>
        <w:t> </w:t>
      </w:r>
      <w:r>
        <w:rPr/>
        <w:t>cent</w:t>
      </w:r>
      <w:r>
        <w:rPr>
          <w:spacing w:val="-13"/>
        </w:rPr>
        <w:t> </w:t>
      </w:r>
      <w:r>
        <w:rPr/>
        <w:t>respectively)</w:t>
      </w:r>
      <w:r>
        <w:rPr>
          <w:spacing w:val="-13"/>
        </w:rPr>
        <w:t> </w:t>
      </w:r>
      <w:r>
        <w:rPr/>
        <w:t>were</w:t>
      </w:r>
      <w:r>
        <w:rPr>
          <w:spacing w:val="-13"/>
        </w:rPr>
        <w:t> </w:t>
      </w:r>
      <w:r>
        <w:rPr/>
        <w:t>more</w:t>
      </w:r>
      <w:r>
        <w:rPr>
          <w:spacing w:val="-13"/>
        </w:rPr>
        <w:t> </w:t>
      </w:r>
      <w:r>
        <w:rPr/>
        <w:t>likely</w:t>
      </w:r>
      <w:r>
        <w:rPr>
          <w:spacing w:val="-13"/>
        </w:rPr>
        <w:t> </w:t>
      </w:r>
      <w:r>
        <w:rPr/>
        <w:t>than</w:t>
      </w:r>
      <w:r>
        <w:rPr>
          <w:spacing w:val="-12"/>
        </w:rPr>
        <w:t> </w:t>
      </w:r>
      <w:r>
        <w:rPr/>
        <w:t>those</w:t>
      </w:r>
      <w:r>
        <w:rPr>
          <w:spacing w:val="-13"/>
        </w:rPr>
        <w:t> </w:t>
      </w:r>
      <w:r>
        <w:rPr/>
        <w:t>involved</w:t>
      </w:r>
      <w:r>
        <w:rPr>
          <w:spacing w:val="-13"/>
        </w:rPr>
        <w:t> </w:t>
      </w:r>
      <w:r>
        <w:rPr/>
        <w:t>in</w:t>
      </w:r>
      <w:r>
        <w:rPr>
          <w:spacing w:val="-12"/>
        </w:rPr>
        <w:t> </w:t>
      </w:r>
      <w:r>
        <w:rPr/>
        <w:t>open track disputes (38 per cent) to rate Acas involvement as important.</w:t>
      </w:r>
    </w:p>
    <w:p>
      <w:pPr>
        <w:pStyle w:val="BodyText"/>
        <w:spacing w:before="5"/>
        <w:rPr>
          <w:sz w:val="21"/>
        </w:rPr>
      </w:pPr>
    </w:p>
    <w:p>
      <w:pPr>
        <w:pStyle w:val="BodyText"/>
        <w:spacing w:line="259" w:lineRule="auto"/>
        <w:ind w:left="1337" w:right="1474"/>
        <w:jc w:val="both"/>
      </w:pPr>
      <w:r>
        <w:rPr/>
        <w:t>As</w:t>
      </w:r>
      <w:r>
        <w:rPr>
          <w:spacing w:val="-13"/>
        </w:rPr>
        <w:t> </w:t>
      </w:r>
      <w:r>
        <w:rPr/>
        <w:t>was</w:t>
      </w:r>
      <w:r>
        <w:rPr>
          <w:spacing w:val="-14"/>
        </w:rPr>
        <w:t> </w:t>
      </w:r>
      <w:r>
        <w:rPr/>
        <w:t>the</w:t>
      </w:r>
      <w:r>
        <w:rPr>
          <w:spacing w:val="-14"/>
        </w:rPr>
        <w:t> </w:t>
      </w:r>
      <w:r>
        <w:rPr/>
        <w:t>case</w:t>
      </w:r>
      <w:r>
        <w:rPr>
          <w:spacing w:val="-13"/>
        </w:rPr>
        <w:t> </w:t>
      </w:r>
      <w:r>
        <w:rPr/>
        <w:t>in</w:t>
      </w:r>
      <w:r>
        <w:rPr>
          <w:spacing w:val="-12"/>
        </w:rPr>
        <w:t> </w:t>
      </w:r>
      <w:r>
        <w:rPr/>
        <w:t>2016,</w:t>
      </w:r>
      <w:r>
        <w:rPr>
          <w:spacing w:val="-12"/>
        </w:rPr>
        <w:t> </w:t>
      </w:r>
      <w:r>
        <w:rPr/>
        <w:t>claimants</w:t>
      </w:r>
      <w:r>
        <w:rPr>
          <w:spacing w:val="-13"/>
        </w:rPr>
        <w:t> </w:t>
      </w:r>
      <w:r>
        <w:rPr/>
        <w:t>remained</w:t>
      </w:r>
      <w:r>
        <w:rPr>
          <w:spacing w:val="-13"/>
        </w:rPr>
        <w:t> </w:t>
      </w:r>
      <w:r>
        <w:rPr/>
        <w:t>more</w:t>
      </w:r>
      <w:r>
        <w:rPr>
          <w:spacing w:val="-13"/>
        </w:rPr>
        <w:t> </w:t>
      </w:r>
      <w:r>
        <w:rPr/>
        <w:t>likely</w:t>
      </w:r>
      <w:r>
        <w:rPr>
          <w:spacing w:val="-11"/>
        </w:rPr>
        <w:t> </w:t>
      </w:r>
      <w:r>
        <w:rPr/>
        <w:t>than</w:t>
      </w:r>
      <w:r>
        <w:rPr>
          <w:spacing w:val="-13"/>
        </w:rPr>
        <w:t> </w:t>
      </w:r>
      <w:r>
        <w:rPr/>
        <w:t>their</w:t>
      </w:r>
      <w:r>
        <w:rPr>
          <w:spacing w:val="-13"/>
        </w:rPr>
        <w:t> </w:t>
      </w:r>
      <w:r>
        <w:rPr/>
        <w:t>representatives to agree that Acas involvement had been a factor in the decision to resolve the case (71 per cent and 40 per cent). There was no significant difference in opinion between employers and their representatives.</w:t>
      </w:r>
    </w:p>
    <w:p>
      <w:pPr>
        <w:pStyle w:val="BodyText"/>
        <w:spacing w:before="6"/>
        <w:rPr>
          <w:sz w:val="21"/>
        </w:rPr>
      </w:pPr>
    </w:p>
    <w:p>
      <w:pPr>
        <w:pStyle w:val="Heading3"/>
        <w:numPr>
          <w:ilvl w:val="1"/>
          <w:numId w:val="2"/>
        </w:numPr>
        <w:tabs>
          <w:tab w:pos="1974" w:val="left" w:leader="none"/>
        </w:tabs>
        <w:spacing w:line="240" w:lineRule="auto" w:before="0" w:after="0"/>
        <w:ind w:left="1973" w:right="0" w:hanging="637"/>
        <w:jc w:val="both"/>
      </w:pPr>
      <w:bookmarkStart w:name="16.6  Reasons for case withdrawals" w:id="206"/>
      <w:bookmarkEnd w:id="206"/>
      <w:r>
        <w:rPr>
          <w:b w:val="0"/>
        </w:rPr>
      </w:r>
      <w:bookmarkStart w:name="_bookmark53" w:id="207"/>
      <w:bookmarkEnd w:id="207"/>
      <w:r>
        <w:rPr/>
        <w:t>R</w:t>
      </w:r>
      <w:r>
        <w:rPr/>
        <w:t>easons</w:t>
      </w:r>
      <w:r>
        <w:rPr>
          <w:spacing w:val="-4"/>
        </w:rPr>
        <w:t> </w:t>
      </w:r>
      <w:r>
        <w:rPr/>
        <w:t>for</w:t>
      </w:r>
      <w:r>
        <w:rPr>
          <w:spacing w:val="-3"/>
        </w:rPr>
        <w:t> </w:t>
      </w:r>
      <w:r>
        <w:rPr/>
        <w:t>case</w:t>
      </w:r>
      <w:r>
        <w:rPr>
          <w:spacing w:val="-4"/>
        </w:rPr>
        <w:t> </w:t>
      </w:r>
      <w:r>
        <w:rPr>
          <w:spacing w:val="-2"/>
        </w:rPr>
        <w:t>withdrawals</w:t>
      </w:r>
    </w:p>
    <w:p>
      <w:pPr>
        <w:pStyle w:val="BodyText"/>
        <w:spacing w:line="259" w:lineRule="auto" w:before="121"/>
        <w:ind w:left="1336" w:right="1473"/>
        <w:jc w:val="both"/>
      </w:pPr>
      <w:r>
        <w:rPr/>
        <w:t>In addition to those whose ET cases avoided a hearing by means of a formal settlement,</w:t>
      </w:r>
      <w:r>
        <w:rPr>
          <w:spacing w:val="-10"/>
        </w:rPr>
        <w:t> </w:t>
      </w:r>
      <w:r>
        <w:rPr/>
        <w:t>there</w:t>
      </w:r>
      <w:r>
        <w:rPr>
          <w:spacing w:val="-11"/>
        </w:rPr>
        <w:t> </w:t>
      </w:r>
      <w:r>
        <w:rPr/>
        <w:t>is</w:t>
      </w:r>
      <w:r>
        <w:rPr>
          <w:spacing w:val="-10"/>
        </w:rPr>
        <w:t> </w:t>
      </w:r>
      <w:r>
        <w:rPr/>
        <w:t>a</w:t>
      </w:r>
      <w:r>
        <w:rPr>
          <w:spacing w:val="-11"/>
        </w:rPr>
        <w:t> </w:t>
      </w:r>
      <w:r>
        <w:rPr/>
        <w:t>further</w:t>
      </w:r>
      <w:r>
        <w:rPr>
          <w:spacing w:val="-11"/>
        </w:rPr>
        <w:t> </w:t>
      </w:r>
      <w:r>
        <w:rPr/>
        <w:t>cohort</w:t>
      </w:r>
      <w:r>
        <w:rPr>
          <w:spacing w:val="-11"/>
        </w:rPr>
        <w:t> </w:t>
      </w:r>
      <w:r>
        <w:rPr/>
        <w:t>of</w:t>
      </w:r>
      <w:r>
        <w:rPr>
          <w:spacing w:val="-10"/>
        </w:rPr>
        <w:t> </w:t>
      </w:r>
      <w:r>
        <w:rPr/>
        <w:t>individuals</w:t>
      </w:r>
      <w:r>
        <w:rPr>
          <w:spacing w:val="-10"/>
        </w:rPr>
        <w:t> </w:t>
      </w:r>
      <w:r>
        <w:rPr/>
        <w:t>who</w:t>
      </w:r>
      <w:r>
        <w:rPr>
          <w:spacing w:val="-11"/>
        </w:rPr>
        <w:t> </w:t>
      </w:r>
      <w:r>
        <w:rPr/>
        <w:t>stopped</w:t>
      </w:r>
      <w:r>
        <w:rPr>
          <w:spacing w:val="-10"/>
        </w:rPr>
        <w:t> </w:t>
      </w:r>
      <w:r>
        <w:rPr/>
        <w:t>short</w:t>
      </w:r>
      <w:r>
        <w:rPr>
          <w:spacing w:val="-10"/>
        </w:rPr>
        <w:t> </w:t>
      </w:r>
      <w:r>
        <w:rPr/>
        <w:t>of</w:t>
      </w:r>
      <w:r>
        <w:rPr>
          <w:spacing w:val="-11"/>
        </w:rPr>
        <w:t> </w:t>
      </w:r>
      <w:r>
        <w:rPr/>
        <w:t>proceeding to</w:t>
      </w:r>
      <w:r>
        <w:rPr>
          <w:spacing w:val="-8"/>
        </w:rPr>
        <w:t> </w:t>
      </w:r>
      <w:r>
        <w:rPr/>
        <w:t>an</w:t>
      </w:r>
      <w:r>
        <w:rPr>
          <w:spacing w:val="-9"/>
        </w:rPr>
        <w:t> </w:t>
      </w:r>
      <w:r>
        <w:rPr/>
        <w:t>Employment</w:t>
      </w:r>
      <w:r>
        <w:rPr>
          <w:spacing w:val="-9"/>
        </w:rPr>
        <w:t> </w:t>
      </w:r>
      <w:r>
        <w:rPr/>
        <w:t>Tribunal</w:t>
      </w:r>
      <w:r>
        <w:rPr>
          <w:spacing w:val="-9"/>
        </w:rPr>
        <w:t> </w:t>
      </w:r>
      <w:r>
        <w:rPr/>
        <w:t>because</w:t>
      </w:r>
      <w:r>
        <w:rPr>
          <w:spacing w:val="-9"/>
        </w:rPr>
        <w:t> </w:t>
      </w:r>
      <w:r>
        <w:rPr/>
        <w:t>the</w:t>
      </w:r>
      <w:r>
        <w:rPr>
          <w:spacing w:val="-10"/>
        </w:rPr>
        <w:t> </w:t>
      </w:r>
      <w:r>
        <w:rPr/>
        <w:t>claimant</w:t>
      </w:r>
      <w:r>
        <w:rPr>
          <w:spacing w:val="-8"/>
        </w:rPr>
        <w:t> </w:t>
      </w:r>
      <w:r>
        <w:rPr/>
        <w:t>chose</w:t>
      </w:r>
      <w:r>
        <w:rPr>
          <w:spacing w:val="-9"/>
        </w:rPr>
        <w:t> </w:t>
      </w:r>
      <w:r>
        <w:rPr/>
        <w:t>to</w:t>
      </w:r>
      <w:r>
        <w:rPr>
          <w:spacing w:val="-11"/>
        </w:rPr>
        <w:t> </w:t>
      </w:r>
      <w:r>
        <w:rPr/>
        <w:t>formally</w:t>
      </w:r>
      <w:r>
        <w:rPr>
          <w:spacing w:val="-8"/>
        </w:rPr>
        <w:t> </w:t>
      </w:r>
      <w:r>
        <w:rPr/>
        <w:t>‘withdraw’</w:t>
      </w:r>
      <w:r>
        <w:rPr>
          <w:spacing w:val="-8"/>
        </w:rPr>
        <w:t> </w:t>
      </w:r>
      <w:r>
        <w:rPr/>
        <w:t>their </w:t>
      </w:r>
      <w:r>
        <w:rPr>
          <w:spacing w:val="-2"/>
        </w:rPr>
        <w:t>case.</w:t>
      </w:r>
    </w:p>
    <w:p>
      <w:pPr>
        <w:pStyle w:val="BodyText"/>
        <w:spacing w:before="5"/>
        <w:rPr>
          <w:sz w:val="21"/>
        </w:rPr>
      </w:pPr>
    </w:p>
    <w:p>
      <w:pPr>
        <w:pStyle w:val="BodyText"/>
        <w:spacing w:line="259" w:lineRule="auto" w:before="1"/>
        <w:ind w:left="1336" w:right="1475"/>
        <w:jc w:val="both"/>
      </w:pPr>
      <w:r>
        <w:rPr/>
        <w:t>Among</w:t>
      </w:r>
      <w:r>
        <w:rPr>
          <w:spacing w:val="-8"/>
        </w:rPr>
        <w:t> </w:t>
      </w:r>
      <w:r>
        <w:rPr/>
        <w:t>this</w:t>
      </w:r>
      <w:r>
        <w:rPr>
          <w:spacing w:val="-9"/>
        </w:rPr>
        <w:t> </w:t>
      </w:r>
      <w:r>
        <w:rPr/>
        <w:t>group,</w:t>
      </w:r>
      <w:r>
        <w:rPr>
          <w:spacing w:val="-8"/>
        </w:rPr>
        <w:t> </w:t>
      </w:r>
      <w:r>
        <w:rPr/>
        <w:t>the</w:t>
      </w:r>
      <w:r>
        <w:rPr>
          <w:spacing w:val="-9"/>
        </w:rPr>
        <w:t> </w:t>
      </w:r>
      <w:r>
        <w:rPr/>
        <w:t>most</w:t>
      </w:r>
      <w:r>
        <w:rPr>
          <w:spacing w:val="-7"/>
        </w:rPr>
        <w:t> </w:t>
      </w:r>
      <w:r>
        <w:rPr/>
        <w:t>common</w:t>
      </w:r>
      <w:r>
        <w:rPr>
          <w:spacing w:val="-6"/>
        </w:rPr>
        <w:t> </w:t>
      </w:r>
      <w:r>
        <w:rPr/>
        <w:t>reason</w:t>
      </w:r>
      <w:r>
        <w:rPr>
          <w:spacing w:val="-9"/>
        </w:rPr>
        <w:t> </w:t>
      </w:r>
      <w:r>
        <w:rPr/>
        <w:t>for</w:t>
      </w:r>
      <w:r>
        <w:rPr>
          <w:spacing w:val="-7"/>
        </w:rPr>
        <w:t> </w:t>
      </w:r>
      <w:r>
        <w:rPr/>
        <w:t>choosing</w:t>
      </w:r>
      <w:r>
        <w:rPr>
          <w:spacing w:val="-9"/>
        </w:rPr>
        <w:t> </w:t>
      </w:r>
      <w:r>
        <w:rPr/>
        <w:t>to</w:t>
      </w:r>
      <w:r>
        <w:rPr>
          <w:spacing w:val="-8"/>
        </w:rPr>
        <w:t> </w:t>
      </w:r>
      <w:r>
        <w:rPr/>
        <w:t>withdraw</w:t>
      </w:r>
      <w:r>
        <w:rPr>
          <w:spacing w:val="-7"/>
        </w:rPr>
        <w:t> </w:t>
      </w:r>
      <w:r>
        <w:rPr/>
        <w:t>the</w:t>
      </w:r>
      <w:r>
        <w:rPr>
          <w:spacing w:val="-9"/>
        </w:rPr>
        <w:t> </w:t>
      </w:r>
      <w:r>
        <w:rPr/>
        <w:t>ET</w:t>
      </w:r>
      <w:r>
        <w:rPr>
          <w:spacing w:val="-8"/>
        </w:rPr>
        <w:t> </w:t>
      </w:r>
      <w:r>
        <w:rPr/>
        <w:t>claim given by claimants was that the process was ‘too stressful to continue’ (37 per cent).</w:t>
      </w:r>
      <w:r>
        <w:rPr>
          <w:spacing w:val="-10"/>
        </w:rPr>
        <w:t> </w:t>
      </w:r>
      <w:r>
        <w:rPr/>
        <w:t>A</w:t>
      </w:r>
      <w:r>
        <w:rPr>
          <w:spacing w:val="-9"/>
        </w:rPr>
        <w:t> </w:t>
      </w:r>
      <w:r>
        <w:rPr/>
        <w:t>sixth</w:t>
      </w:r>
      <w:r>
        <w:rPr>
          <w:spacing w:val="-9"/>
        </w:rPr>
        <w:t> </w:t>
      </w:r>
      <w:r>
        <w:rPr/>
        <w:t>(17</w:t>
      </w:r>
      <w:r>
        <w:rPr>
          <w:spacing w:val="-9"/>
        </w:rPr>
        <w:t> </w:t>
      </w:r>
      <w:r>
        <w:rPr/>
        <w:t>per</w:t>
      </w:r>
      <w:r>
        <w:rPr>
          <w:spacing w:val="-10"/>
        </w:rPr>
        <w:t> </w:t>
      </w:r>
      <w:r>
        <w:rPr/>
        <w:t>cent)</w:t>
      </w:r>
      <w:r>
        <w:rPr>
          <w:spacing w:val="-9"/>
        </w:rPr>
        <w:t> </w:t>
      </w:r>
      <w:r>
        <w:rPr/>
        <w:t>said</w:t>
      </w:r>
      <w:r>
        <w:rPr>
          <w:spacing w:val="-9"/>
        </w:rPr>
        <w:t> </w:t>
      </w:r>
      <w:r>
        <w:rPr/>
        <w:t>they</w:t>
      </w:r>
      <w:r>
        <w:rPr>
          <w:spacing w:val="-9"/>
        </w:rPr>
        <w:t> </w:t>
      </w:r>
      <w:r>
        <w:rPr/>
        <w:t>were</w:t>
      </w:r>
      <w:r>
        <w:rPr>
          <w:spacing w:val="-10"/>
        </w:rPr>
        <w:t> </w:t>
      </w:r>
      <w:r>
        <w:rPr/>
        <w:t>worried</w:t>
      </w:r>
      <w:r>
        <w:rPr>
          <w:spacing w:val="-9"/>
        </w:rPr>
        <w:t> </w:t>
      </w:r>
      <w:r>
        <w:rPr/>
        <w:t>about</w:t>
      </w:r>
      <w:r>
        <w:rPr>
          <w:spacing w:val="-9"/>
        </w:rPr>
        <w:t> </w:t>
      </w:r>
      <w:r>
        <w:rPr/>
        <w:t>having</w:t>
      </w:r>
      <w:r>
        <w:rPr>
          <w:spacing w:val="-9"/>
        </w:rPr>
        <w:t> </w:t>
      </w:r>
      <w:r>
        <w:rPr/>
        <w:t>to</w:t>
      </w:r>
      <w:r>
        <w:rPr>
          <w:spacing w:val="-10"/>
        </w:rPr>
        <w:t> </w:t>
      </w:r>
      <w:r>
        <w:rPr/>
        <w:t>pay</w:t>
      </w:r>
      <w:r>
        <w:rPr>
          <w:spacing w:val="-9"/>
        </w:rPr>
        <w:t> </w:t>
      </w:r>
      <w:r>
        <w:rPr/>
        <w:t>legal</w:t>
      </w:r>
      <w:r>
        <w:rPr>
          <w:spacing w:val="-10"/>
        </w:rPr>
        <w:t> </w:t>
      </w:r>
      <w:r>
        <w:rPr/>
        <w:t>costs, and 15 per cent said that they did not think they would win.</w:t>
      </w:r>
    </w:p>
    <w:p>
      <w:pPr>
        <w:pStyle w:val="BodyText"/>
        <w:spacing w:before="5"/>
        <w:rPr>
          <w:sz w:val="21"/>
        </w:rPr>
      </w:pPr>
    </w:p>
    <w:p>
      <w:pPr>
        <w:pStyle w:val="BodyText"/>
        <w:spacing w:line="259" w:lineRule="auto"/>
        <w:ind w:left="1336" w:right="1472"/>
        <w:jc w:val="both"/>
      </w:pPr>
      <w:r>
        <w:rPr/>
        <w:t>In 2016, concern that the process would be too stressful was the third most common reason (17</w:t>
      </w:r>
      <w:r>
        <w:rPr>
          <w:spacing w:val="-2"/>
        </w:rPr>
        <w:t> </w:t>
      </w:r>
      <w:r>
        <w:rPr/>
        <w:t>per</w:t>
      </w:r>
      <w:r>
        <w:rPr>
          <w:spacing w:val="-1"/>
        </w:rPr>
        <w:t> </w:t>
      </w:r>
      <w:r>
        <w:rPr/>
        <w:t>cent), behind</w:t>
      </w:r>
      <w:r>
        <w:rPr>
          <w:spacing w:val="-1"/>
        </w:rPr>
        <w:t> </w:t>
      </w:r>
      <w:r>
        <w:rPr/>
        <w:t>thinking</w:t>
      </w:r>
      <w:r>
        <w:rPr>
          <w:spacing w:val="-2"/>
        </w:rPr>
        <w:t> </w:t>
      </w:r>
      <w:r>
        <w:rPr/>
        <w:t>that that</w:t>
      </w:r>
      <w:r>
        <w:rPr>
          <w:spacing w:val="-2"/>
        </w:rPr>
        <w:t> </w:t>
      </w:r>
      <w:r>
        <w:rPr/>
        <w:t>their</w:t>
      </w:r>
      <w:r>
        <w:rPr>
          <w:spacing w:val="-1"/>
        </w:rPr>
        <w:t> </w:t>
      </w:r>
      <w:r>
        <w:rPr/>
        <w:t>employer</w:t>
      </w:r>
      <w:r>
        <w:rPr>
          <w:spacing w:val="-1"/>
        </w:rPr>
        <w:t> </w:t>
      </w:r>
      <w:r>
        <w:rPr/>
        <w:t>would</w:t>
      </w:r>
      <w:r>
        <w:rPr>
          <w:spacing w:val="-2"/>
        </w:rPr>
        <w:t> </w:t>
      </w:r>
      <w:r>
        <w:rPr/>
        <w:t>win a</w:t>
      </w:r>
      <w:r>
        <w:rPr>
          <w:spacing w:val="-8"/>
        </w:rPr>
        <w:t> </w:t>
      </w:r>
      <w:r>
        <w:rPr/>
        <w:t>tribunal</w:t>
      </w:r>
      <w:r>
        <w:rPr>
          <w:spacing w:val="-9"/>
        </w:rPr>
        <w:t> </w:t>
      </w:r>
      <w:r>
        <w:rPr/>
        <w:t>or</w:t>
      </w:r>
      <w:r>
        <w:rPr>
          <w:spacing w:val="-8"/>
        </w:rPr>
        <w:t> </w:t>
      </w:r>
      <w:r>
        <w:rPr/>
        <w:t>that</w:t>
      </w:r>
      <w:r>
        <w:rPr>
          <w:spacing w:val="-8"/>
        </w:rPr>
        <w:t> </w:t>
      </w:r>
      <w:r>
        <w:rPr/>
        <w:t>it</w:t>
      </w:r>
      <w:r>
        <w:rPr>
          <w:spacing w:val="-9"/>
        </w:rPr>
        <w:t> </w:t>
      </w:r>
      <w:r>
        <w:rPr/>
        <w:t>would</w:t>
      </w:r>
      <w:r>
        <w:rPr>
          <w:spacing w:val="-8"/>
        </w:rPr>
        <w:t> </w:t>
      </w:r>
      <w:r>
        <w:rPr/>
        <w:t>be</w:t>
      </w:r>
      <w:r>
        <w:rPr>
          <w:spacing w:val="-9"/>
        </w:rPr>
        <w:t> </w:t>
      </w:r>
      <w:r>
        <w:rPr/>
        <w:t>a</w:t>
      </w:r>
      <w:r>
        <w:rPr>
          <w:spacing w:val="-10"/>
        </w:rPr>
        <w:t> </w:t>
      </w:r>
      <w:r>
        <w:rPr/>
        <w:t>waste</w:t>
      </w:r>
      <w:r>
        <w:rPr>
          <w:spacing w:val="-9"/>
        </w:rPr>
        <w:t> </w:t>
      </w:r>
      <w:r>
        <w:rPr/>
        <w:t>of</w:t>
      </w:r>
      <w:r>
        <w:rPr>
          <w:spacing w:val="-8"/>
        </w:rPr>
        <w:t> </w:t>
      </w:r>
      <w:r>
        <w:rPr/>
        <w:t>time</w:t>
      </w:r>
      <w:r>
        <w:rPr>
          <w:spacing w:val="-9"/>
        </w:rPr>
        <w:t> </w:t>
      </w:r>
      <w:r>
        <w:rPr/>
        <w:t>(25</w:t>
      </w:r>
      <w:r>
        <w:rPr>
          <w:spacing w:val="-8"/>
        </w:rPr>
        <w:t> </w:t>
      </w:r>
      <w:r>
        <w:rPr/>
        <w:t>per</w:t>
      </w:r>
      <w:r>
        <w:rPr>
          <w:spacing w:val="-8"/>
        </w:rPr>
        <w:t> </w:t>
      </w:r>
      <w:r>
        <w:rPr/>
        <w:t>cent)</w:t>
      </w:r>
      <w:r>
        <w:rPr>
          <w:spacing w:val="-9"/>
        </w:rPr>
        <w:t> </w:t>
      </w:r>
      <w:r>
        <w:rPr/>
        <w:t>and</w:t>
      </w:r>
      <w:r>
        <w:rPr>
          <w:spacing w:val="-8"/>
        </w:rPr>
        <w:t> </w:t>
      </w:r>
      <w:r>
        <w:rPr/>
        <w:t>being</w:t>
      </w:r>
      <w:r>
        <w:rPr>
          <w:spacing w:val="-9"/>
        </w:rPr>
        <w:t> </w:t>
      </w:r>
      <w:r>
        <w:rPr/>
        <w:t>put</w:t>
      </w:r>
      <w:r>
        <w:rPr>
          <w:spacing w:val="-8"/>
        </w:rPr>
        <w:t> </w:t>
      </w:r>
      <w:r>
        <w:rPr/>
        <w:t>off</w:t>
      </w:r>
      <w:r>
        <w:rPr>
          <w:spacing w:val="-9"/>
        </w:rPr>
        <w:t> </w:t>
      </w:r>
      <w:r>
        <w:rPr/>
        <w:t>by</w:t>
      </w:r>
      <w:r>
        <w:rPr>
          <w:spacing w:val="-9"/>
        </w:rPr>
        <w:t> </w:t>
      </w:r>
      <w:r>
        <w:rPr/>
        <w:t>the tribunal</w:t>
      </w:r>
      <w:r>
        <w:rPr>
          <w:spacing w:val="-1"/>
        </w:rPr>
        <w:t> </w:t>
      </w:r>
      <w:r>
        <w:rPr/>
        <w:t>fees which were then required (20 per</w:t>
      </w:r>
      <w:r>
        <w:rPr>
          <w:spacing w:val="-1"/>
        </w:rPr>
        <w:t> </w:t>
      </w:r>
      <w:r>
        <w:rPr/>
        <w:t>cent).</w:t>
      </w:r>
      <w:r>
        <w:rPr>
          <w:spacing w:val="-1"/>
        </w:rPr>
        <w:t> </w:t>
      </w:r>
      <w:r>
        <w:rPr/>
        <w:t>It</w:t>
      </w:r>
      <w:r>
        <w:rPr>
          <w:spacing w:val="-1"/>
        </w:rPr>
        <w:t> </w:t>
      </w:r>
      <w:r>
        <w:rPr/>
        <w:t>should be noted here that comparison between the two waves should be taken extremely carefully owing to small base sizes for this group in each survey (50 in 2016 and 59 in 2019).</w:t>
      </w:r>
    </w:p>
    <w:p>
      <w:pPr>
        <w:spacing w:after="0" w:line="259" w:lineRule="auto"/>
        <w:jc w:val="both"/>
        <w:sectPr>
          <w:pgSz w:w="11910" w:h="16840"/>
          <w:pgMar w:header="0" w:footer="996" w:top="1340" w:bottom="1180" w:left="460" w:right="320"/>
        </w:sectPr>
      </w:pPr>
    </w:p>
    <w:p>
      <w:pPr>
        <w:pStyle w:val="Heading3"/>
        <w:spacing w:before="82"/>
      </w:pPr>
      <w:r>
        <w:rPr/>
        <w:t>Table</w:t>
      </w:r>
      <w:r>
        <w:rPr>
          <w:spacing w:val="-7"/>
        </w:rPr>
        <w:t> </w:t>
      </w:r>
      <w:r>
        <w:rPr/>
        <w:t>26.</w:t>
      </w:r>
      <w:r>
        <w:rPr>
          <w:spacing w:val="-6"/>
        </w:rPr>
        <w:t> </w:t>
      </w:r>
      <w:r>
        <w:rPr/>
        <w:t>Claimant-side</w:t>
      </w:r>
      <w:r>
        <w:rPr>
          <w:spacing w:val="-4"/>
        </w:rPr>
        <w:t> </w:t>
      </w:r>
      <w:r>
        <w:rPr/>
        <w:t>participant</w:t>
      </w:r>
      <w:r>
        <w:rPr>
          <w:spacing w:val="-6"/>
        </w:rPr>
        <w:t> </w:t>
      </w:r>
      <w:r>
        <w:rPr/>
        <w:t>reasons</w:t>
      </w:r>
      <w:r>
        <w:rPr>
          <w:spacing w:val="-5"/>
        </w:rPr>
        <w:t> </w:t>
      </w:r>
      <w:r>
        <w:rPr/>
        <w:t>for</w:t>
      </w:r>
      <w:r>
        <w:rPr>
          <w:spacing w:val="-4"/>
        </w:rPr>
        <w:t> </w:t>
      </w:r>
      <w:r>
        <w:rPr/>
        <w:t>case</w:t>
      </w:r>
      <w:r>
        <w:rPr>
          <w:spacing w:val="-6"/>
        </w:rPr>
        <w:t> </w:t>
      </w:r>
      <w:r>
        <w:rPr>
          <w:spacing w:val="-2"/>
        </w:rPr>
        <w:t>withdrawal</w:t>
      </w:r>
    </w:p>
    <w:p>
      <w:pPr>
        <w:pStyle w:val="BodyText"/>
        <w:spacing w:before="1"/>
        <w:rPr>
          <w:b/>
          <w:sz w:val="8"/>
        </w:rPr>
      </w:pPr>
      <w:r>
        <w:rPr/>
        <w:drawing>
          <wp:anchor distT="0" distB="0" distL="0" distR="0" allowOverlap="1" layoutInCell="1" locked="0" behindDoc="0" simplePos="0" relativeHeight="137">
            <wp:simplePos x="0" y="0"/>
            <wp:positionH relativeFrom="page">
              <wp:posOffset>1246992</wp:posOffset>
            </wp:positionH>
            <wp:positionV relativeFrom="paragraph">
              <wp:posOffset>78083</wp:posOffset>
            </wp:positionV>
            <wp:extent cx="4924246" cy="1364551"/>
            <wp:effectExtent l="0" t="0" r="0" b="0"/>
            <wp:wrapTopAndBottom/>
            <wp:docPr id="93" name="image47.png" descr="Table showing claimant-side participant reasons for case withdrawal "/>
            <wp:cNvGraphicFramePr>
              <a:graphicFrameLocks noChangeAspect="1"/>
            </wp:cNvGraphicFramePr>
            <a:graphic>
              <a:graphicData uri="http://schemas.openxmlformats.org/drawingml/2006/picture">
                <pic:pic>
                  <pic:nvPicPr>
                    <pic:cNvPr id="94" name="image47.png"/>
                    <pic:cNvPicPr/>
                  </pic:nvPicPr>
                  <pic:blipFill>
                    <a:blip r:embed="rId60" cstate="print"/>
                    <a:stretch>
                      <a:fillRect/>
                    </a:stretch>
                  </pic:blipFill>
                  <pic:spPr>
                    <a:xfrm>
                      <a:off x="0" y="0"/>
                      <a:ext cx="4924246" cy="1364551"/>
                    </a:xfrm>
                    <a:prstGeom prst="rect">
                      <a:avLst/>
                    </a:prstGeom>
                  </pic:spPr>
                </pic:pic>
              </a:graphicData>
            </a:graphic>
          </wp:anchor>
        </w:drawing>
      </w:r>
    </w:p>
    <w:p>
      <w:pPr>
        <w:pStyle w:val="BodyText"/>
        <w:spacing w:before="8"/>
        <w:rPr>
          <w:b/>
          <w:sz w:val="33"/>
        </w:rPr>
      </w:pPr>
    </w:p>
    <w:p>
      <w:pPr>
        <w:pStyle w:val="BodyText"/>
        <w:spacing w:line="259" w:lineRule="auto"/>
        <w:ind w:left="1337" w:right="1473"/>
        <w:jc w:val="both"/>
      </w:pPr>
      <w:r>
        <w:rPr/>
        <w:t>In contrast,</w:t>
      </w:r>
      <w:r>
        <w:rPr>
          <w:spacing w:val="-1"/>
        </w:rPr>
        <w:t> </w:t>
      </w:r>
      <w:r>
        <w:rPr/>
        <w:t>when asked</w:t>
      </w:r>
      <w:r>
        <w:rPr>
          <w:spacing w:val="-1"/>
        </w:rPr>
        <w:t> </w:t>
      </w:r>
      <w:r>
        <w:rPr/>
        <w:t>why</w:t>
      </w:r>
      <w:r>
        <w:rPr>
          <w:spacing w:val="-1"/>
        </w:rPr>
        <w:t> </w:t>
      </w:r>
      <w:r>
        <w:rPr/>
        <w:t>they</w:t>
      </w:r>
      <w:r>
        <w:rPr>
          <w:spacing w:val="-2"/>
        </w:rPr>
        <w:t> </w:t>
      </w:r>
      <w:r>
        <w:rPr/>
        <w:t>thought</w:t>
      </w:r>
      <w:r>
        <w:rPr>
          <w:spacing w:val="-1"/>
        </w:rPr>
        <w:t> </w:t>
      </w:r>
      <w:r>
        <w:rPr/>
        <w:t>the</w:t>
      </w:r>
      <w:r>
        <w:rPr>
          <w:spacing w:val="-1"/>
        </w:rPr>
        <w:t> </w:t>
      </w:r>
      <w:r>
        <w:rPr/>
        <w:t>claimant had</w:t>
      </w:r>
      <w:r>
        <w:rPr>
          <w:spacing w:val="-1"/>
        </w:rPr>
        <w:t> </w:t>
      </w:r>
      <w:r>
        <w:rPr/>
        <w:t>withdrawn</w:t>
      </w:r>
      <w:r>
        <w:rPr>
          <w:spacing w:val="-1"/>
        </w:rPr>
        <w:t> </w:t>
      </w:r>
      <w:r>
        <w:rPr/>
        <w:t>their</w:t>
      </w:r>
      <w:r>
        <w:rPr>
          <w:spacing w:val="-1"/>
        </w:rPr>
        <w:t> </w:t>
      </w:r>
      <w:r>
        <w:rPr/>
        <w:t>case, almost</w:t>
      </w:r>
      <w:r>
        <w:rPr>
          <w:spacing w:val="-18"/>
        </w:rPr>
        <w:t> </w:t>
      </w:r>
      <w:r>
        <w:rPr/>
        <w:t>half</w:t>
      </w:r>
      <w:r>
        <w:rPr>
          <w:spacing w:val="-17"/>
        </w:rPr>
        <w:t> </w:t>
      </w:r>
      <w:r>
        <w:rPr/>
        <w:t>(46</w:t>
      </w:r>
      <w:r>
        <w:rPr>
          <w:spacing w:val="-18"/>
        </w:rPr>
        <w:t> </w:t>
      </w:r>
      <w:r>
        <w:rPr/>
        <w:t>per</w:t>
      </w:r>
      <w:r>
        <w:rPr>
          <w:spacing w:val="-17"/>
        </w:rPr>
        <w:t> </w:t>
      </w:r>
      <w:r>
        <w:rPr/>
        <w:t>cent)</w:t>
      </w:r>
      <w:r>
        <w:rPr>
          <w:spacing w:val="-17"/>
        </w:rPr>
        <w:t> </w:t>
      </w:r>
      <w:r>
        <w:rPr/>
        <w:t>of</w:t>
      </w:r>
      <w:r>
        <w:rPr>
          <w:spacing w:val="-17"/>
        </w:rPr>
        <w:t> </w:t>
      </w:r>
      <w:r>
        <w:rPr/>
        <w:t>employer-side</w:t>
      </w:r>
      <w:r>
        <w:rPr>
          <w:spacing w:val="-18"/>
        </w:rPr>
        <w:t> </w:t>
      </w:r>
      <w:r>
        <w:rPr/>
        <w:t>participants</w:t>
      </w:r>
      <w:r>
        <w:rPr>
          <w:spacing w:val="-17"/>
        </w:rPr>
        <w:t> </w:t>
      </w:r>
      <w:r>
        <w:rPr/>
        <w:t>reported</w:t>
      </w:r>
      <w:r>
        <w:rPr>
          <w:spacing w:val="-17"/>
        </w:rPr>
        <w:t> </w:t>
      </w:r>
      <w:r>
        <w:rPr/>
        <w:t>that</w:t>
      </w:r>
      <w:r>
        <w:rPr>
          <w:spacing w:val="-17"/>
        </w:rPr>
        <w:t> </w:t>
      </w:r>
      <w:r>
        <w:rPr/>
        <w:t>it</w:t>
      </w:r>
      <w:r>
        <w:rPr>
          <w:spacing w:val="-18"/>
        </w:rPr>
        <w:t> </w:t>
      </w:r>
      <w:r>
        <w:rPr/>
        <w:t>was</w:t>
      </w:r>
      <w:r>
        <w:rPr>
          <w:spacing w:val="-17"/>
        </w:rPr>
        <w:t> </w:t>
      </w:r>
      <w:r>
        <w:rPr/>
        <w:t>because the claimant ‘didn’t think they would win the case / it would be a waste of time’. Just</w:t>
      </w:r>
      <w:r>
        <w:rPr>
          <w:spacing w:val="-18"/>
        </w:rPr>
        <w:t> </w:t>
      </w:r>
      <w:r>
        <w:rPr/>
        <w:t>14</w:t>
      </w:r>
      <w:r>
        <w:rPr>
          <w:spacing w:val="-18"/>
        </w:rPr>
        <w:t> </w:t>
      </w:r>
      <w:r>
        <w:rPr/>
        <w:t>per</w:t>
      </w:r>
      <w:r>
        <w:rPr>
          <w:spacing w:val="-17"/>
        </w:rPr>
        <w:t> </w:t>
      </w:r>
      <w:r>
        <w:rPr/>
        <w:t>cent</w:t>
      </w:r>
      <w:r>
        <w:rPr>
          <w:spacing w:val="-18"/>
        </w:rPr>
        <w:t> </w:t>
      </w:r>
      <w:r>
        <w:rPr/>
        <w:t>referenced</w:t>
      </w:r>
      <w:r>
        <w:rPr>
          <w:spacing w:val="-17"/>
        </w:rPr>
        <w:t> </w:t>
      </w:r>
      <w:r>
        <w:rPr/>
        <w:t>legal</w:t>
      </w:r>
      <w:r>
        <w:rPr>
          <w:spacing w:val="-18"/>
        </w:rPr>
        <w:t> </w:t>
      </w:r>
      <w:r>
        <w:rPr/>
        <w:t>costs,</w:t>
      </w:r>
      <w:r>
        <w:rPr>
          <w:spacing w:val="-18"/>
        </w:rPr>
        <w:t> </w:t>
      </w:r>
      <w:r>
        <w:rPr/>
        <w:t>and</w:t>
      </w:r>
      <w:r>
        <w:rPr>
          <w:spacing w:val="-17"/>
        </w:rPr>
        <w:t> </w:t>
      </w:r>
      <w:r>
        <w:rPr/>
        <w:t>four</w:t>
      </w:r>
      <w:r>
        <w:rPr>
          <w:spacing w:val="-18"/>
        </w:rPr>
        <w:t> </w:t>
      </w:r>
      <w:r>
        <w:rPr/>
        <w:t>per</w:t>
      </w:r>
      <w:r>
        <w:rPr>
          <w:spacing w:val="-17"/>
        </w:rPr>
        <w:t> </w:t>
      </w:r>
      <w:r>
        <w:rPr/>
        <w:t>cent</w:t>
      </w:r>
      <w:r>
        <w:rPr>
          <w:spacing w:val="-18"/>
        </w:rPr>
        <w:t> </w:t>
      </w:r>
      <w:r>
        <w:rPr/>
        <w:t>stress.</w:t>
      </w:r>
      <w:r>
        <w:rPr>
          <w:spacing w:val="-17"/>
        </w:rPr>
        <w:t> </w:t>
      </w:r>
      <w:r>
        <w:rPr/>
        <w:t>This</w:t>
      </w:r>
      <w:r>
        <w:rPr>
          <w:spacing w:val="-18"/>
        </w:rPr>
        <w:t> </w:t>
      </w:r>
      <w:r>
        <w:rPr/>
        <w:t>ranking</w:t>
      </w:r>
      <w:r>
        <w:rPr>
          <w:spacing w:val="-18"/>
        </w:rPr>
        <w:t> </w:t>
      </w:r>
      <w:r>
        <w:rPr/>
        <w:t>looked similar in 2016, with the claimant not thinking they would win being the most common rationale offered by employers.</w:t>
      </w:r>
    </w:p>
    <w:p>
      <w:pPr>
        <w:pStyle w:val="BodyText"/>
        <w:spacing w:before="5"/>
        <w:rPr>
          <w:sz w:val="21"/>
        </w:rPr>
      </w:pPr>
    </w:p>
    <w:p>
      <w:pPr>
        <w:pStyle w:val="BodyText"/>
        <w:spacing w:line="259" w:lineRule="auto"/>
        <w:ind w:left="1337" w:right="1473"/>
        <w:jc w:val="both"/>
      </w:pPr>
      <w:r>
        <w:rPr/>
        <w:t>Claimants (and their representatives) were next asked to what extent Acas had been a factor in helping them to reach the conclusion to withdraw. Just over half (56 per cent) felt Acas did not play a role in this decision, as did 65 per cent of employer-side</w:t>
      </w:r>
      <w:r>
        <w:rPr>
          <w:spacing w:val="-9"/>
        </w:rPr>
        <w:t> </w:t>
      </w:r>
      <w:r>
        <w:rPr/>
        <w:t>participants.</w:t>
      </w:r>
      <w:r>
        <w:rPr>
          <w:spacing w:val="-11"/>
        </w:rPr>
        <w:t> </w:t>
      </w:r>
      <w:r>
        <w:rPr/>
        <w:t>However,</w:t>
      </w:r>
      <w:r>
        <w:rPr>
          <w:spacing w:val="-9"/>
        </w:rPr>
        <w:t> </w:t>
      </w:r>
      <w:r>
        <w:rPr/>
        <w:t>Acas’</w:t>
      </w:r>
      <w:r>
        <w:rPr>
          <w:spacing w:val="-10"/>
        </w:rPr>
        <w:t> </w:t>
      </w:r>
      <w:r>
        <w:rPr/>
        <w:t>role</w:t>
      </w:r>
      <w:r>
        <w:rPr>
          <w:spacing w:val="-9"/>
        </w:rPr>
        <w:t> </w:t>
      </w:r>
      <w:r>
        <w:rPr/>
        <w:t>in</w:t>
      </w:r>
      <w:r>
        <w:rPr>
          <w:spacing w:val="-10"/>
        </w:rPr>
        <w:t> </w:t>
      </w:r>
      <w:r>
        <w:rPr/>
        <w:t>withdrawals</w:t>
      </w:r>
      <w:r>
        <w:rPr>
          <w:spacing w:val="-9"/>
        </w:rPr>
        <w:t> </w:t>
      </w:r>
      <w:r>
        <w:rPr/>
        <w:t>has</w:t>
      </w:r>
      <w:r>
        <w:rPr>
          <w:spacing w:val="-10"/>
        </w:rPr>
        <w:t> </w:t>
      </w:r>
      <w:r>
        <w:rPr/>
        <w:t>increased</w:t>
      </w:r>
      <w:r>
        <w:rPr>
          <w:spacing w:val="-9"/>
        </w:rPr>
        <w:t> </w:t>
      </w:r>
      <w:r>
        <w:rPr/>
        <w:t>since 2016 –</w:t>
      </w:r>
      <w:r>
        <w:rPr>
          <w:spacing w:val="-1"/>
        </w:rPr>
        <w:t> </w:t>
      </w:r>
      <w:r>
        <w:rPr/>
        <w:t>although further research is required to understand if this is related to the abolition of fees or other elements of the service:</w:t>
      </w:r>
    </w:p>
    <w:p>
      <w:pPr>
        <w:pStyle w:val="BodyText"/>
        <w:spacing w:before="5"/>
        <w:rPr>
          <w:sz w:val="21"/>
        </w:rPr>
      </w:pPr>
    </w:p>
    <w:p>
      <w:pPr>
        <w:pStyle w:val="ListParagraph"/>
        <w:numPr>
          <w:ilvl w:val="0"/>
          <w:numId w:val="44"/>
        </w:numPr>
        <w:tabs>
          <w:tab w:pos="2058" w:val="left" w:leader="none"/>
        </w:tabs>
        <w:spacing w:line="259" w:lineRule="auto" w:before="1" w:after="0"/>
        <w:ind w:left="2057" w:right="1472" w:hanging="360"/>
        <w:jc w:val="both"/>
        <w:rPr>
          <w:sz w:val="20"/>
        </w:rPr>
      </w:pPr>
      <w:r>
        <w:rPr>
          <w:sz w:val="20"/>
        </w:rPr>
        <w:t>Among</w:t>
      </w:r>
      <w:r>
        <w:rPr>
          <w:spacing w:val="-1"/>
          <w:sz w:val="20"/>
        </w:rPr>
        <w:t> </w:t>
      </w:r>
      <w:r>
        <w:rPr>
          <w:sz w:val="20"/>
        </w:rPr>
        <w:t>all</w:t>
      </w:r>
      <w:r>
        <w:rPr>
          <w:spacing w:val="-2"/>
          <w:sz w:val="20"/>
        </w:rPr>
        <w:t> </w:t>
      </w:r>
      <w:r>
        <w:rPr>
          <w:sz w:val="20"/>
        </w:rPr>
        <w:t>claimants, 44</w:t>
      </w:r>
      <w:r>
        <w:rPr>
          <w:spacing w:val="-1"/>
          <w:sz w:val="20"/>
        </w:rPr>
        <w:t> </w:t>
      </w:r>
      <w:r>
        <w:rPr>
          <w:sz w:val="20"/>
        </w:rPr>
        <w:t>per</w:t>
      </w:r>
      <w:r>
        <w:rPr>
          <w:spacing w:val="-1"/>
          <w:sz w:val="20"/>
        </w:rPr>
        <w:t> </w:t>
      </w:r>
      <w:r>
        <w:rPr>
          <w:sz w:val="20"/>
        </w:rPr>
        <w:t>cent</w:t>
      </w:r>
      <w:r>
        <w:rPr>
          <w:spacing w:val="-2"/>
          <w:sz w:val="20"/>
        </w:rPr>
        <w:t> </w:t>
      </w:r>
      <w:r>
        <w:rPr>
          <w:sz w:val="20"/>
        </w:rPr>
        <w:t>said</w:t>
      </w:r>
      <w:r>
        <w:rPr>
          <w:spacing w:val="-1"/>
          <w:sz w:val="20"/>
        </w:rPr>
        <w:t> </w:t>
      </w:r>
      <w:r>
        <w:rPr>
          <w:sz w:val="20"/>
        </w:rPr>
        <w:t>Acas</w:t>
      </w:r>
      <w:r>
        <w:rPr>
          <w:spacing w:val="-1"/>
          <w:sz w:val="20"/>
        </w:rPr>
        <w:t> </w:t>
      </w:r>
      <w:r>
        <w:rPr>
          <w:sz w:val="20"/>
        </w:rPr>
        <w:t>was</w:t>
      </w:r>
      <w:r>
        <w:rPr>
          <w:spacing w:val="-1"/>
          <w:sz w:val="20"/>
        </w:rPr>
        <w:t> </w:t>
      </w:r>
      <w:r>
        <w:rPr>
          <w:sz w:val="20"/>
        </w:rPr>
        <w:t>a</w:t>
      </w:r>
      <w:r>
        <w:rPr>
          <w:spacing w:val="-1"/>
          <w:sz w:val="20"/>
        </w:rPr>
        <w:t> </w:t>
      </w:r>
      <w:r>
        <w:rPr>
          <w:sz w:val="20"/>
        </w:rPr>
        <w:t>factor</w:t>
      </w:r>
      <w:r>
        <w:rPr>
          <w:spacing w:val="-1"/>
          <w:sz w:val="20"/>
        </w:rPr>
        <w:t> </w:t>
      </w:r>
      <w:r>
        <w:rPr>
          <w:sz w:val="20"/>
        </w:rPr>
        <w:t>in</w:t>
      </w:r>
      <w:r>
        <w:rPr>
          <w:spacing w:val="-2"/>
          <w:sz w:val="20"/>
        </w:rPr>
        <w:t> </w:t>
      </w:r>
      <w:r>
        <w:rPr>
          <w:sz w:val="20"/>
        </w:rPr>
        <w:t>their</w:t>
      </w:r>
      <w:r>
        <w:rPr>
          <w:spacing w:val="-1"/>
          <w:sz w:val="20"/>
        </w:rPr>
        <w:t> </w:t>
      </w:r>
      <w:r>
        <w:rPr>
          <w:sz w:val="20"/>
        </w:rPr>
        <w:t>decision to withdraw – a significant increase from 2016 when 17 per cent said that same thing</w:t>
      </w:r>
    </w:p>
    <w:p>
      <w:pPr>
        <w:pStyle w:val="ListParagraph"/>
        <w:numPr>
          <w:ilvl w:val="0"/>
          <w:numId w:val="44"/>
        </w:numPr>
        <w:tabs>
          <w:tab w:pos="2058" w:val="left" w:leader="none"/>
        </w:tabs>
        <w:spacing w:line="256" w:lineRule="auto" w:before="0" w:after="0"/>
        <w:ind w:left="2057" w:right="1474" w:hanging="360"/>
        <w:jc w:val="both"/>
        <w:rPr>
          <w:sz w:val="20"/>
        </w:rPr>
      </w:pPr>
      <w:r>
        <w:rPr>
          <w:sz w:val="20"/>
        </w:rPr>
        <w:t>On</w:t>
      </w:r>
      <w:r>
        <w:rPr>
          <w:spacing w:val="-6"/>
          <w:sz w:val="20"/>
        </w:rPr>
        <w:t> </w:t>
      </w:r>
      <w:r>
        <w:rPr>
          <w:sz w:val="20"/>
        </w:rPr>
        <w:t>the</w:t>
      </w:r>
      <w:r>
        <w:rPr>
          <w:spacing w:val="-7"/>
          <w:sz w:val="20"/>
        </w:rPr>
        <w:t> </w:t>
      </w:r>
      <w:r>
        <w:rPr>
          <w:sz w:val="20"/>
        </w:rPr>
        <w:t>employer</w:t>
      </w:r>
      <w:r>
        <w:rPr>
          <w:spacing w:val="-7"/>
          <w:sz w:val="20"/>
        </w:rPr>
        <w:t> </w:t>
      </w:r>
      <w:r>
        <w:rPr>
          <w:sz w:val="20"/>
        </w:rPr>
        <w:t>side</w:t>
      </w:r>
      <w:r>
        <w:rPr>
          <w:spacing w:val="-8"/>
          <w:sz w:val="20"/>
        </w:rPr>
        <w:t> </w:t>
      </w:r>
      <w:r>
        <w:rPr>
          <w:sz w:val="20"/>
        </w:rPr>
        <w:t>23</w:t>
      </w:r>
      <w:r>
        <w:rPr>
          <w:spacing w:val="-7"/>
          <w:sz w:val="20"/>
        </w:rPr>
        <w:t> </w:t>
      </w:r>
      <w:r>
        <w:rPr>
          <w:sz w:val="20"/>
        </w:rPr>
        <w:t>per</w:t>
      </w:r>
      <w:r>
        <w:rPr>
          <w:spacing w:val="-7"/>
          <w:sz w:val="20"/>
        </w:rPr>
        <w:t> </w:t>
      </w:r>
      <w:r>
        <w:rPr>
          <w:sz w:val="20"/>
        </w:rPr>
        <w:t>cent</w:t>
      </w:r>
      <w:r>
        <w:rPr>
          <w:spacing w:val="-8"/>
          <w:sz w:val="20"/>
        </w:rPr>
        <w:t> </w:t>
      </w:r>
      <w:r>
        <w:rPr>
          <w:sz w:val="20"/>
        </w:rPr>
        <w:t>cited</w:t>
      </w:r>
      <w:r>
        <w:rPr>
          <w:spacing w:val="-7"/>
          <w:sz w:val="20"/>
        </w:rPr>
        <w:t> </w:t>
      </w:r>
      <w:r>
        <w:rPr>
          <w:sz w:val="20"/>
        </w:rPr>
        <w:t>Acas</w:t>
      </w:r>
      <w:r>
        <w:rPr>
          <w:spacing w:val="-7"/>
          <w:sz w:val="20"/>
        </w:rPr>
        <w:t> </w:t>
      </w:r>
      <w:r>
        <w:rPr>
          <w:sz w:val="20"/>
        </w:rPr>
        <w:t>as</w:t>
      </w:r>
      <w:r>
        <w:rPr>
          <w:spacing w:val="-8"/>
          <w:sz w:val="20"/>
        </w:rPr>
        <w:t> </w:t>
      </w:r>
      <w:r>
        <w:rPr>
          <w:sz w:val="20"/>
        </w:rPr>
        <w:t>a</w:t>
      </w:r>
      <w:r>
        <w:rPr>
          <w:spacing w:val="-7"/>
          <w:sz w:val="20"/>
        </w:rPr>
        <w:t> </w:t>
      </w:r>
      <w:r>
        <w:rPr>
          <w:sz w:val="20"/>
        </w:rPr>
        <w:t>factor</w:t>
      </w:r>
      <w:r>
        <w:rPr>
          <w:spacing w:val="-7"/>
          <w:sz w:val="20"/>
        </w:rPr>
        <w:t> </w:t>
      </w:r>
      <w:r>
        <w:rPr>
          <w:sz w:val="20"/>
        </w:rPr>
        <w:t>in</w:t>
      </w:r>
      <w:r>
        <w:rPr>
          <w:spacing w:val="-8"/>
          <w:sz w:val="20"/>
        </w:rPr>
        <w:t> </w:t>
      </w:r>
      <w:r>
        <w:rPr>
          <w:sz w:val="20"/>
        </w:rPr>
        <w:t>their</w:t>
      </w:r>
      <w:r>
        <w:rPr>
          <w:spacing w:val="-7"/>
          <w:sz w:val="20"/>
        </w:rPr>
        <w:t> </w:t>
      </w:r>
      <w:r>
        <w:rPr>
          <w:sz w:val="20"/>
        </w:rPr>
        <w:t>decision,</w:t>
      </w:r>
      <w:r>
        <w:rPr>
          <w:spacing w:val="-7"/>
          <w:sz w:val="20"/>
        </w:rPr>
        <w:t> </w:t>
      </w:r>
      <w:r>
        <w:rPr>
          <w:sz w:val="20"/>
        </w:rPr>
        <w:t>an increase from nine per cent in 2016.</w:t>
      </w:r>
    </w:p>
    <w:p>
      <w:pPr>
        <w:pStyle w:val="BodyText"/>
        <w:rPr>
          <w:sz w:val="24"/>
        </w:rPr>
      </w:pPr>
    </w:p>
    <w:p>
      <w:pPr>
        <w:pStyle w:val="BodyText"/>
        <w:spacing w:before="2"/>
        <w:rPr>
          <w:sz w:val="19"/>
        </w:rPr>
      </w:pPr>
    </w:p>
    <w:p>
      <w:pPr>
        <w:pStyle w:val="Heading3"/>
        <w:numPr>
          <w:ilvl w:val="1"/>
          <w:numId w:val="2"/>
        </w:numPr>
        <w:tabs>
          <w:tab w:pos="1973" w:val="left" w:leader="none"/>
        </w:tabs>
        <w:spacing w:line="240" w:lineRule="auto" w:before="0" w:after="0"/>
        <w:ind w:left="1972" w:right="0" w:hanging="636"/>
        <w:jc w:val="both"/>
      </w:pPr>
      <w:bookmarkStart w:name="16.7  Determining the ‘Acas effect’ in n" w:id="208"/>
      <w:bookmarkEnd w:id="208"/>
      <w:r>
        <w:rPr>
          <w:b w:val="0"/>
        </w:rPr>
      </w:r>
      <w:bookmarkStart w:name="_bookmark54" w:id="209"/>
      <w:bookmarkEnd w:id="209"/>
      <w:r>
        <w:rPr/>
        <w:t>De</w:t>
      </w:r>
      <w:r>
        <w:rPr/>
        <w:t>termining</w:t>
      </w:r>
      <w:r>
        <w:rPr>
          <w:spacing w:val="-6"/>
        </w:rPr>
        <w:t> </w:t>
      </w:r>
      <w:r>
        <w:rPr/>
        <w:t>the</w:t>
      </w:r>
      <w:r>
        <w:rPr>
          <w:spacing w:val="-4"/>
        </w:rPr>
        <w:t> </w:t>
      </w:r>
      <w:r>
        <w:rPr/>
        <w:t>‘Acas</w:t>
      </w:r>
      <w:r>
        <w:rPr>
          <w:spacing w:val="-5"/>
        </w:rPr>
        <w:t> </w:t>
      </w:r>
      <w:r>
        <w:rPr/>
        <w:t>effect’</w:t>
      </w:r>
      <w:r>
        <w:rPr>
          <w:spacing w:val="-5"/>
        </w:rPr>
        <w:t> </w:t>
      </w:r>
      <w:r>
        <w:rPr/>
        <w:t>in</w:t>
      </w:r>
      <w:r>
        <w:rPr>
          <w:spacing w:val="-3"/>
        </w:rPr>
        <w:t> </w:t>
      </w:r>
      <w:r>
        <w:rPr/>
        <w:t>non-progression</w:t>
      </w:r>
      <w:r>
        <w:rPr>
          <w:spacing w:val="-4"/>
        </w:rPr>
        <w:t> </w:t>
      </w:r>
      <w:r>
        <w:rPr/>
        <w:t>to</w:t>
      </w:r>
      <w:r>
        <w:rPr>
          <w:spacing w:val="-4"/>
        </w:rPr>
        <w:t> </w:t>
      </w:r>
      <w:r>
        <w:rPr/>
        <w:t>an</w:t>
      </w:r>
      <w:r>
        <w:rPr>
          <w:spacing w:val="-4"/>
        </w:rPr>
        <w:t> </w:t>
      </w:r>
      <w:r>
        <w:rPr/>
        <w:t>ET</w:t>
      </w:r>
      <w:r>
        <w:rPr>
          <w:spacing w:val="-3"/>
        </w:rPr>
        <w:t> </w:t>
      </w:r>
      <w:r>
        <w:rPr>
          <w:spacing w:val="-2"/>
        </w:rPr>
        <w:t>hearing</w:t>
      </w:r>
    </w:p>
    <w:p>
      <w:pPr>
        <w:pStyle w:val="BodyText"/>
        <w:spacing w:line="259" w:lineRule="auto" w:before="119"/>
        <w:ind w:left="1336" w:right="1474"/>
        <w:jc w:val="both"/>
      </w:pPr>
      <w:r>
        <w:rPr/>
        <w:t>By combining separate outcome groups, it is possible to derive an estimate of the overall proportion of claimants (and representatives) who submitted an ET claim but</w:t>
      </w:r>
      <w:r>
        <w:rPr>
          <w:spacing w:val="-10"/>
        </w:rPr>
        <w:t> </w:t>
      </w:r>
      <w:r>
        <w:rPr/>
        <w:t>did</w:t>
      </w:r>
      <w:r>
        <w:rPr>
          <w:spacing w:val="-10"/>
        </w:rPr>
        <w:t> </w:t>
      </w:r>
      <w:r>
        <w:rPr/>
        <w:t>not</w:t>
      </w:r>
      <w:r>
        <w:rPr>
          <w:spacing w:val="-10"/>
        </w:rPr>
        <w:t> </w:t>
      </w:r>
      <w:r>
        <w:rPr/>
        <w:t>go</w:t>
      </w:r>
      <w:r>
        <w:rPr>
          <w:spacing w:val="-10"/>
        </w:rPr>
        <w:t> </w:t>
      </w:r>
      <w:r>
        <w:rPr/>
        <w:t>on</w:t>
      </w:r>
      <w:r>
        <w:rPr>
          <w:spacing w:val="-10"/>
        </w:rPr>
        <w:t> </w:t>
      </w:r>
      <w:r>
        <w:rPr/>
        <w:t>to</w:t>
      </w:r>
      <w:r>
        <w:rPr>
          <w:spacing w:val="-11"/>
        </w:rPr>
        <w:t> </w:t>
      </w:r>
      <w:r>
        <w:rPr/>
        <w:t>a</w:t>
      </w:r>
      <w:r>
        <w:rPr>
          <w:spacing w:val="-11"/>
        </w:rPr>
        <w:t> </w:t>
      </w:r>
      <w:r>
        <w:rPr/>
        <w:t>tribunal</w:t>
      </w:r>
      <w:r>
        <w:rPr>
          <w:spacing w:val="-10"/>
        </w:rPr>
        <w:t> </w:t>
      </w:r>
      <w:r>
        <w:rPr/>
        <w:t>hearing,</w:t>
      </w:r>
      <w:r>
        <w:rPr>
          <w:spacing w:val="-10"/>
        </w:rPr>
        <w:t> </w:t>
      </w:r>
      <w:r>
        <w:rPr/>
        <w:t>for</w:t>
      </w:r>
      <w:r>
        <w:rPr>
          <w:spacing w:val="-12"/>
        </w:rPr>
        <w:t> </w:t>
      </w:r>
      <w:r>
        <w:rPr/>
        <w:t>whom</w:t>
      </w:r>
      <w:r>
        <w:rPr>
          <w:spacing w:val="-10"/>
        </w:rPr>
        <w:t> </w:t>
      </w:r>
      <w:r>
        <w:rPr/>
        <w:t>Acas</w:t>
      </w:r>
      <w:r>
        <w:rPr>
          <w:spacing w:val="-10"/>
        </w:rPr>
        <w:t> </w:t>
      </w:r>
      <w:r>
        <w:rPr/>
        <w:t>was</w:t>
      </w:r>
      <w:r>
        <w:rPr>
          <w:spacing w:val="-10"/>
        </w:rPr>
        <w:t> </w:t>
      </w:r>
      <w:r>
        <w:rPr/>
        <w:t>a</w:t>
      </w:r>
      <w:r>
        <w:rPr>
          <w:spacing w:val="-11"/>
        </w:rPr>
        <w:t> </w:t>
      </w:r>
      <w:r>
        <w:rPr/>
        <w:t>factor</w:t>
      </w:r>
      <w:r>
        <w:rPr>
          <w:spacing w:val="-11"/>
        </w:rPr>
        <w:t> </w:t>
      </w:r>
      <w:r>
        <w:rPr/>
        <w:t>in</w:t>
      </w:r>
      <w:r>
        <w:rPr>
          <w:spacing w:val="-10"/>
        </w:rPr>
        <w:t> </w:t>
      </w:r>
      <w:r>
        <w:rPr/>
        <w:t>helping</w:t>
      </w:r>
      <w:r>
        <w:rPr>
          <w:spacing w:val="-9"/>
        </w:rPr>
        <w:t> </w:t>
      </w:r>
      <w:r>
        <w:rPr/>
        <w:t>them to</w:t>
      </w:r>
      <w:r>
        <w:rPr>
          <w:spacing w:val="-7"/>
        </w:rPr>
        <w:t> </w:t>
      </w:r>
      <w:r>
        <w:rPr/>
        <w:t>reach</w:t>
      </w:r>
      <w:r>
        <w:rPr>
          <w:spacing w:val="-6"/>
        </w:rPr>
        <w:t> </w:t>
      </w:r>
      <w:r>
        <w:rPr/>
        <w:t>this</w:t>
      </w:r>
      <w:r>
        <w:rPr>
          <w:spacing w:val="-7"/>
        </w:rPr>
        <w:t> </w:t>
      </w:r>
      <w:r>
        <w:rPr/>
        <w:t>conclusion</w:t>
      </w:r>
      <w:r>
        <w:rPr>
          <w:spacing w:val="-8"/>
        </w:rPr>
        <w:t> </w:t>
      </w:r>
      <w:r>
        <w:rPr/>
        <w:t>–</w:t>
      </w:r>
      <w:r>
        <w:rPr>
          <w:spacing w:val="-7"/>
        </w:rPr>
        <w:t> </w:t>
      </w:r>
      <w:r>
        <w:rPr/>
        <w:t>what</w:t>
      </w:r>
      <w:r>
        <w:rPr>
          <w:spacing w:val="-7"/>
        </w:rPr>
        <w:t> </w:t>
      </w:r>
      <w:r>
        <w:rPr/>
        <w:t>might</w:t>
      </w:r>
      <w:r>
        <w:rPr>
          <w:spacing w:val="-7"/>
        </w:rPr>
        <w:t> </w:t>
      </w:r>
      <w:r>
        <w:rPr/>
        <w:t>be</w:t>
      </w:r>
      <w:r>
        <w:rPr>
          <w:spacing w:val="-8"/>
        </w:rPr>
        <w:t> </w:t>
      </w:r>
      <w:r>
        <w:rPr/>
        <w:t>thought</w:t>
      </w:r>
      <w:r>
        <w:rPr>
          <w:spacing w:val="-7"/>
        </w:rPr>
        <w:t> </w:t>
      </w:r>
      <w:r>
        <w:rPr/>
        <w:t>of</w:t>
      </w:r>
      <w:r>
        <w:rPr>
          <w:spacing w:val="-6"/>
        </w:rPr>
        <w:t> </w:t>
      </w:r>
      <w:r>
        <w:rPr/>
        <w:t>as</w:t>
      </w:r>
      <w:r>
        <w:rPr>
          <w:spacing w:val="-7"/>
        </w:rPr>
        <w:t> </w:t>
      </w:r>
      <w:r>
        <w:rPr/>
        <w:t>the</w:t>
      </w:r>
      <w:r>
        <w:rPr>
          <w:spacing w:val="-7"/>
        </w:rPr>
        <w:t> </w:t>
      </w:r>
      <w:r>
        <w:rPr/>
        <w:t>‘Acas</w:t>
      </w:r>
      <w:r>
        <w:rPr>
          <w:spacing w:val="-7"/>
        </w:rPr>
        <w:t> </w:t>
      </w:r>
      <w:r>
        <w:rPr/>
        <w:t>effect’.</w:t>
      </w:r>
      <w:r>
        <w:rPr>
          <w:spacing w:val="-7"/>
        </w:rPr>
        <w:t> </w:t>
      </w:r>
      <w:r>
        <w:rPr/>
        <w:t>This</w:t>
      </w:r>
      <w:r>
        <w:rPr>
          <w:spacing w:val="-7"/>
        </w:rPr>
        <w:t> </w:t>
      </w:r>
      <w:r>
        <w:rPr/>
        <w:t>figure can be derived by combining the following claimants together:</w:t>
      </w:r>
    </w:p>
    <w:p>
      <w:pPr>
        <w:pStyle w:val="BodyText"/>
        <w:spacing w:before="6"/>
        <w:rPr>
          <w:sz w:val="21"/>
        </w:rPr>
      </w:pPr>
    </w:p>
    <w:p>
      <w:pPr>
        <w:pStyle w:val="ListParagraph"/>
        <w:numPr>
          <w:ilvl w:val="0"/>
          <w:numId w:val="45"/>
        </w:numPr>
        <w:tabs>
          <w:tab w:pos="2057" w:val="left" w:leader="none"/>
        </w:tabs>
        <w:spacing w:line="240" w:lineRule="auto" w:before="0" w:after="0"/>
        <w:ind w:left="2056" w:right="0" w:hanging="361"/>
        <w:jc w:val="both"/>
        <w:rPr>
          <w:sz w:val="20"/>
        </w:rPr>
      </w:pPr>
      <w:r>
        <w:rPr>
          <w:sz w:val="20"/>
        </w:rPr>
        <w:t>Those</w:t>
      </w:r>
      <w:r>
        <w:rPr>
          <w:spacing w:val="-4"/>
          <w:sz w:val="20"/>
        </w:rPr>
        <w:t> </w:t>
      </w:r>
      <w:r>
        <w:rPr>
          <w:sz w:val="20"/>
        </w:rPr>
        <w:t>who</w:t>
      </w:r>
      <w:r>
        <w:rPr>
          <w:spacing w:val="-3"/>
          <w:sz w:val="20"/>
        </w:rPr>
        <w:t> </w:t>
      </w:r>
      <w:r>
        <w:rPr>
          <w:sz w:val="20"/>
        </w:rPr>
        <w:t>reached</w:t>
      </w:r>
      <w:r>
        <w:rPr>
          <w:spacing w:val="-2"/>
          <w:sz w:val="20"/>
        </w:rPr>
        <w:t> </w:t>
      </w:r>
      <w:r>
        <w:rPr>
          <w:sz w:val="20"/>
        </w:rPr>
        <w:t>a</w:t>
      </w:r>
      <w:r>
        <w:rPr>
          <w:spacing w:val="-1"/>
          <w:sz w:val="20"/>
        </w:rPr>
        <w:t> </w:t>
      </w:r>
      <w:r>
        <w:rPr>
          <w:sz w:val="20"/>
        </w:rPr>
        <w:t>COT3</w:t>
      </w:r>
      <w:r>
        <w:rPr>
          <w:spacing w:val="-1"/>
          <w:sz w:val="20"/>
        </w:rPr>
        <w:t> </w:t>
      </w:r>
      <w:r>
        <w:rPr>
          <w:spacing w:val="-2"/>
          <w:sz w:val="20"/>
        </w:rPr>
        <w:t>settlement</w:t>
      </w:r>
    </w:p>
    <w:p>
      <w:pPr>
        <w:pStyle w:val="ListParagraph"/>
        <w:numPr>
          <w:ilvl w:val="0"/>
          <w:numId w:val="45"/>
        </w:numPr>
        <w:tabs>
          <w:tab w:pos="2057" w:val="left" w:leader="none"/>
        </w:tabs>
        <w:spacing w:line="240" w:lineRule="auto" w:before="17" w:after="0"/>
        <w:ind w:left="2056" w:right="0" w:hanging="361"/>
        <w:jc w:val="both"/>
        <w:rPr>
          <w:sz w:val="20"/>
        </w:rPr>
      </w:pPr>
      <w:r>
        <w:rPr>
          <w:sz w:val="20"/>
        </w:rPr>
        <w:t>Those</w:t>
      </w:r>
      <w:r>
        <w:rPr>
          <w:spacing w:val="-4"/>
          <w:sz w:val="20"/>
        </w:rPr>
        <w:t> </w:t>
      </w:r>
      <w:r>
        <w:rPr>
          <w:sz w:val="20"/>
        </w:rPr>
        <w:t>who</w:t>
      </w:r>
      <w:r>
        <w:rPr>
          <w:spacing w:val="-4"/>
          <w:sz w:val="20"/>
        </w:rPr>
        <w:t> </w:t>
      </w:r>
      <w:r>
        <w:rPr>
          <w:sz w:val="20"/>
        </w:rPr>
        <w:t>reached</w:t>
      </w:r>
      <w:r>
        <w:rPr>
          <w:spacing w:val="-2"/>
          <w:sz w:val="20"/>
        </w:rPr>
        <w:t> </w:t>
      </w:r>
      <w:r>
        <w:rPr>
          <w:sz w:val="20"/>
        </w:rPr>
        <w:t>a</w:t>
      </w:r>
      <w:r>
        <w:rPr>
          <w:spacing w:val="-2"/>
          <w:sz w:val="20"/>
        </w:rPr>
        <w:t> </w:t>
      </w:r>
      <w:r>
        <w:rPr>
          <w:sz w:val="20"/>
        </w:rPr>
        <w:t>private</w:t>
      </w:r>
      <w:r>
        <w:rPr>
          <w:spacing w:val="-2"/>
          <w:sz w:val="20"/>
        </w:rPr>
        <w:t> settlement</w:t>
      </w:r>
    </w:p>
    <w:p>
      <w:pPr>
        <w:pStyle w:val="ListParagraph"/>
        <w:numPr>
          <w:ilvl w:val="0"/>
          <w:numId w:val="45"/>
        </w:numPr>
        <w:tabs>
          <w:tab w:pos="2057" w:val="left" w:leader="none"/>
        </w:tabs>
        <w:spacing w:line="256" w:lineRule="auto" w:before="17" w:after="0"/>
        <w:ind w:left="2056" w:right="1473" w:hanging="360"/>
        <w:jc w:val="both"/>
        <w:rPr>
          <w:sz w:val="20"/>
        </w:rPr>
      </w:pPr>
      <w:r>
        <w:rPr>
          <w:sz w:val="20"/>
        </w:rPr>
        <w:t>Those who did not reach a settlement, but also did not go on to a hearing and for whom Acas conciliation was a factor in helping to reach this </w:t>
      </w:r>
      <w:r>
        <w:rPr>
          <w:spacing w:val="-2"/>
          <w:sz w:val="20"/>
        </w:rPr>
        <w:t>conclusion.</w:t>
      </w:r>
    </w:p>
    <w:p>
      <w:pPr>
        <w:pStyle w:val="BodyText"/>
        <w:spacing w:before="11"/>
        <w:rPr>
          <w:sz w:val="21"/>
        </w:rPr>
      </w:pPr>
    </w:p>
    <w:p>
      <w:pPr>
        <w:pStyle w:val="BodyText"/>
        <w:spacing w:line="259" w:lineRule="auto"/>
        <w:ind w:left="1336" w:right="1476"/>
        <w:jc w:val="both"/>
      </w:pPr>
      <w:r>
        <w:rPr/>
        <w:t>Combining</w:t>
      </w:r>
      <w:r>
        <w:rPr>
          <w:spacing w:val="-8"/>
        </w:rPr>
        <w:t> </w:t>
      </w:r>
      <w:r>
        <w:rPr/>
        <w:t>the</w:t>
      </w:r>
      <w:r>
        <w:rPr>
          <w:spacing w:val="-8"/>
        </w:rPr>
        <w:t> </w:t>
      </w:r>
      <w:r>
        <w:rPr/>
        <w:t>data</w:t>
      </w:r>
      <w:r>
        <w:rPr>
          <w:spacing w:val="-8"/>
        </w:rPr>
        <w:t> </w:t>
      </w:r>
      <w:r>
        <w:rPr/>
        <w:t>from</w:t>
      </w:r>
      <w:r>
        <w:rPr>
          <w:spacing w:val="-8"/>
        </w:rPr>
        <w:t> </w:t>
      </w:r>
      <w:r>
        <w:rPr/>
        <w:t>these</w:t>
      </w:r>
      <w:r>
        <w:rPr>
          <w:spacing w:val="-8"/>
        </w:rPr>
        <w:t> </w:t>
      </w:r>
      <w:r>
        <w:rPr/>
        <w:t>sources</w:t>
      </w:r>
      <w:r>
        <w:rPr>
          <w:spacing w:val="-8"/>
        </w:rPr>
        <w:t> </w:t>
      </w:r>
      <w:r>
        <w:rPr/>
        <w:t>together</w:t>
      </w:r>
      <w:r>
        <w:rPr>
          <w:spacing w:val="-8"/>
        </w:rPr>
        <w:t> </w:t>
      </w:r>
      <w:r>
        <w:rPr/>
        <w:t>would</w:t>
      </w:r>
      <w:r>
        <w:rPr>
          <w:spacing w:val="-8"/>
        </w:rPr>
        <w:t> </w:t>
      </w:r>
      <w:r>
        <w:rPr/>
        <w:t>suggest</w:t>
      </w:r>
      <w:r>
        <w:rPr>
          <w:spacing w:val="-8"/>
        </w:rPr>
        <w:t> </w:t>
      </w:r>
      <w:r>
        <w:rPr/>
        <w:t>that</w:t>
      </w:r>
      <w:r>
        <w:rPr>
          <w:spacing w:val="-8"/>
        </w:rPr>
        <w:t> </w:t>
      </w:r>
      <w:r>
        <w:rPr/>
        <w:t>61</w:t>
      </w:r>
      <w:r>
        <w:rPr>
          <w:spacing w:val="-8"/>
        </w:rPr>
        <w:t> </w:t>
      </w:r>
      <w:r>
        <w:rPr/>
        <w:t>per</w:t>
      </w:r>
      <w:r>
        <w:rPr>
          <w:spacing w:val="-8"/>
        </w:rPr>
        <w:t> </w:t>
      </w:r>
      <w:r>
        <w:rPr/>
        <w:t>cent</w:t>
      </w:r>
      <w:r>
        <w:rPr>
          <w:spacing w:val="-8"/>
        </w:rPr>
        <w:t> </w:t>
      </w:r>
      <w:r>
        <w:rPr/>
        <w:t>of cases experienced ‘the Acas effect’, the same as 2016.</w:t>
      </w:r>
    </w:p>
    <w:p>
      <w:pPr>
        <w:spacing w:after="0" w:line="259" w:lineRule="auto"/>
        <w:jc w:val="both"/>
        <w:sectPr>
          <w:pgSz w:w="11910" w:h="16840"/>
          <w:pgMar w:header="0" w:footer="996" w:top="1340" w:bottom="1180" w:left="460" w:right="320"/>
        </w:sectPr>
      </w:pPr>
    </w:p>
    <w:p>
      <w:pPr>
        <w:pStyle w:val="Heading3"/>
        <w:numPr>
          <w:ilvl w:val="1"/>
          <w:numId w:val="2"/>
        </w:numPr>
        <w:tabs>
          <w:tab w:pos="1974" w:val="left" w:leader="none"/>
        </w:tabs>
        <w:spacing w:line="240" w:lineRule="auto" w:before="82" w:after="0"/>
        <w:ind w:left="1973" w:right="0" w:hanging="637"/>
        <w:jc w:val="both"/>
      </w:pPr>
      <w:bookmarkStart w:name="16.8  ET hearings" w:id="210"/>
      <w:bookmarkEnd w:id="210"/>
      <w:r>
        <w:rPr>
          <w:b w:val="0"/>
        </w:rPr>
      </w:r>
      <w:bookmarkStart w:name="_bookmark55" w:id="211"/>
      <w:bookmarkEnd w:id="211"/>
      <w:r>
        <w:rPr/>
        <w:t>E</w:t>
      </w:r>
      <w:r>
        <w:rPr/>
        <w:t>T</w:t>
      </w:r>
      <w:r>
        <w:rPr>
          <w:spacing w:val="-1"/>
        </w:rPr>
        <w:t> </w:t>
      </w:r>
      <w:r>
        <w:rPr>
          <w:spacing w:val="-2"/>
        </w:rPr>
        <w:t>hearings</w:t>
      </w:r>
    </w:p>
    <w:p>
      <w:pPr>
        <w:pStyle w:val="Heading4"/>
        <w:numPr>
          <w:ilvl w:val="2"/>
          <w:numId w:val="46"/>
        </w:numPr>
        <w:tabs>
          <w:tab w:pos="2189" w:val="left" w:leader="none"/>
        </w:tabs>
        <w:spacing w:line="240" w:lineRule="auto" w:before="119" w:after="0"/>
        <w:ind w:left="2188" w:right="1645" w:hanging="851"/>
        <w:jc w:val="both"/>
      </w:pPr>
      <w:bookmarkStart w:name="16.8.1 Reasons for not reaching a settle" w:id="212"/>
      <w:bookmarkEnd w:id="212"/>
      <w:r>
        <w:rPr>
          <w:i/>
        </w:rPr>
        <w:t>R</w:t>
      </w:r>
      <w:r>
        <w:rPr>
          <w:i/>
        </w:rPr>
        <w:t>easons</w:t>
      </w:r>
      <w:r>
        <w:rPr>
          <w:i/>
          <w:spacing w:val="-6"/>
        </w:rPr>
        <w:t> </w:t>
      </w:r>
      <w:r>
        <w:rPr>
          <w:i/>
        </w:rPr>
        <w:t>for</w:t>
      </w:r>
      <w:r>
        <w:rPr>
          <w:i/>
          <w:spacing w:val="-4"/>
        </w:rPr>
        <w:t> </w:t>
      </w:r>
      <w:r>
        <w:rPr>
          <w:i/>
        </w:rPr>
        <w:t>not</w:t>
      </w:r>
      <w:r>
        <w:rPr>
          <w:i/>
          <w:spacing w:val="-4"/>
        </w:rPr>
        <w:t> </w:t>
      </w:r>
      <w:r>
        <w:rPr>
          <w:i/>
        </w:rPr>
        <w:t>reaching</w:t>
      </w:r>
      <w:r>
        <w:rPr>
          <w:i/>
          <w:spacing w:val="-5"/>
        </w:rPr>
        <w:t> </w:t>
      </w:r>
      <w:r>
        <w:rPr>
          <w:i/>
        </w:rPr>
        <w:t>a</w:t>
      </w:r>
      <w:r>
        <w:rPr>
          <w:i/>
          <w:spacing w:val="-4"/>
        </w:rPr>
        <w:t> </w:t>
      </w:r>
      <w:r>
        <w:rPr>
          <w:i/>
        </w:rPr>
        <w:t>settlement</w:t>
      </w:r>
      <w:r>
        <w:rPr>
          <w:i/>
          <w:spacing w:val="-5"/>
        </w:rPr>
        <w:t> </w:t>
      </w:r>
      <w:r>
        <w:rPr>
          <w:i/>
        </w:rPr>
        <w:t>and</w:t>
      </w:r>
      <w:r>
        <w:rPr>
          <w:i/>
          <w:spacing w:val="-4"/>
        </w:rPr>
        <w:t> </w:t>
      </w:r>
      <w:r>
        <w:rPr>
          <w:i/>
        </w:rPr>
        <w:t>instead</w:t>
      </w:r>
      <w:r>
        <w:rPr>
          <w:i/>
          <w:spacing w:val="-6"/>
        </w:rPr>
        <w:t> </w:t>
      </w:r>
      <w:r>
        <w:rPr>
          <w:i/>
        </w:rPr>
        <w:t>proceeding</w:t>
      </w:r>
      <w:r>
        <w:rPr>
          <w:i/>
          <w:spacing w:val="-4"/>
        </w:rPr>
        <w:t> </w:t>
      </w:r>
      <w:r>
        <w:rPr>
          <w:i/>
        </w:rPr>
        <w:t>to</w:t>
      </w:r>
      <w:r>
        <w:rPr/>
        <w:t> an ET hearing</w:t>
      </w:r>
    </w:p>
    <w:p>
      <w:pPr>
        <w:pStyle w:val="BodyText"/>
        <w:spacing w:line="259" w:lineRule="auto" w:before="61"/>
        <w:ind w:left="1337" w:right="1473"/>
        <w:jc w:val="both"/>
      </w:pPr>
      <w:r>
        <w:rPr/>
        <w:t>Two-thirds (67 per cent) of claimants who proceeded to a hearing said it was because</w:t>
      </w:r>
      <w:r>
        <w:rPr>
          <w:spacing w:val="-12"/>
        </w:rPr>
        <w:t> </w:t>
      </w:r>
      <w:r>
        <w:rPr/>
        <w:t>the</w:t>
      </w:r>
      <w:r>
        <w:rPr>
          <w:spacing w:val="-13"/>
        </w:rPr>
        <w:t> </w:t>
      </w:r>
      <w:r>
        <w:rPr/>
        <w:t>employer</w:t>
      </w:r>
      <w:r>
        <w:rPr>
          <w:spacing w:val="-12"/>
        </w:rPr>
        <w:t> </w:t>
      </w:r>
      <w:r>
        <w:rPr/>
        <w:t>was</w:t>
      </w:r>
      <w:r>
        <w:rPr>
          <w:spacing w:val="-12"/>
        </w:rPr>
        <w:t> </w:t>
      </w:r>
      <w:r>
        <w:rPr/>
        <w:t>not</w:t>
      </w:r>
      <w:r>
        <w:rPr>
          <w:spacing w:val="-13"/>
        </w:rPr>
        <w:t> </w:t>
      </w:r>
      <w:r>
        <w:rPr/>
        <w:t>willing</w:t>
      </w:r>
      <w:r>
        <w:rPr>
          <w:spacing w:val="-12"/>
        </w:rPr>
        <w:t> </w:t>
      </w:r>
      <w:r>
        <w:rPr/>
        <w:t>to</w:t>
      </w:r>
      <w:r>
        <w:rPr>
          <w:spacing w:val="-12"/>
        </w:rPr>
        <w:t> </w:t>
      </w:r>
      <w:r>
        <w:rPr/>
        <w:t>negotiate.</w:t>
      </w:r>
      <w:r>
        <w:rPr>
          <w:spacing w:val="-11"/>
        </w:rPr>
        <w:t> </w:t>
      </w:r>
      <w:r>
        <w:rPr/>
        <w:t>Nine</w:t>
      </w:r>
      <w:r>
        <w:rPr>
          <w:spacing w:val="-12"/>
        </w:rPr>
        <w:t> </w:t>
      </w:r>
      <w:r>
        <w:rPr/>
        <w:t>per</w:t>
      </w:r>
      <w:r>
        <w:rPr>
          <w:spacing w:val="-12"/>
        </w:rPr>
        <w:t> </w:t>
      </w:r>
      <w:r>
        <w:rPr/>
        <w:t>cent</w:t>
      </w:r>
      <w:r>
        <w:rPr>
          <w:spacing w:val="-11"/>
        </w:rPr>
        <w:t> </w:t>
      </w:r>
      <w:r>
        <w:rPr/>
        <w:t>said</w:t>
      </w:r>
      <w:r>
        <w:rPr>
          <w:spacing w:val="-12"/>
        </w:rPr>
        <w:t> </w:t>
      </w:r>
      <w:r>
        <w:rPr/>
        <w:t>the</w:t>
      </w:r>
      <w:r>
        <w:rPr>
          <w:spacing w:val="-12"/>
        </w:rPr>
        <w:t> </w:t>
      </w:r>
      <w:r>
        <w:rPr/>
        <w:t>employer made</w:t>
      </w:r>
      <w:r>
        <w:rPr>
          <w:spacing w:val="-16"/>
        </w:rPr>
        <w:t> </w:t>
      </w:r>
      <w:r>
        <w:rPr/>
        <w:t>them</w:t>
      </w:r>
      <w:r>
        <w:rPr>
          <w:spacing w:val="-18"/>
        </w:rPr>
        <w:t> </w:t>
      </w:r>
      <w:r>
        <w:rPr/>
        <w:t>an</w:t>
      </w:r>
      <w:r>
        <w:rPr>
          <w:spacing w:val="-15"/>
        </w:rPr>
        <w:t> </w:t>
      </w:r>
      <w:r>
        <w:rPr/>
        <w:t>offer</w:t>
      </w:r>
      <w:r>
        <w:rPr>
          <w:spacing w:val="-16"/>
        </w:rPr>
        <w:t> </w:t>
      </w:r>
      <w:r>
        <w:rPr/>
        <w:t>of</w:t>
      </w:r>
      <w:r>
        <w:rPr>
          <w:spacing w:val="-16"/>
        </w:rPr>
        <w:t> </w:t>
      </w:r>
      <w:r>
        <w:rPr/>
        <w:t>a</w:t>
      </w:r>
      <w:r>
        <w:rPr>
          <w:spacing w:val="-16"/>
        </w:rPr>
        <w:t> </w:t>
      </w:r>
      <w:r>
        <w:rPr/>
        <w:t>settlement</w:t>
      </w:r>
      <w:r>
        <w:rPr>
          <w:spacing w:val="-18"/>
        </w:rPr>
        <w:t> </w:t>
      </w:r>
      <w:r>
        <w:rPr/>
        <w:t>which</w:t>
      </w:r>
      <w:r>
        <w:rPr>
          <w:spacing w:val="-17"/>
        </w:rPr>
        <w:t> </w:t>
      </w:r>
      <w:r>
        <w:rPr/>
        <w:t>was</w:t>
      </w:r>
      <w:r>
        <w:rPr>
          <w:spacing w:val="-16"/>
        </w:rPr>
        <w:t> </w:t>
      </w:r>
      <w:r>
        <w:rPr/>
        <w:t>less</w:t>
      </w:r>
      <w:r>
        <w:rPr>
          <w:spacing w:val="-15"/>
        </w:rPr>
        <w:t> </w:t>
      </w:r>
      <w:r>
        <w:rPr/>
        <w:t>than</w:t>
      </w:r>
      <w:r>
        <w:rPr>
          <w:spacing w:val="-16"/>
        </w:rPr>
        <w:t> </w:t>
      </w:r>
      <w:r>
        <w:rPr/>
        <w:t>they</w:t>
      </w:r>
      <w:r>
        <w:rPr>
          <w:spacing w:val="-16"/>
        </w:rPr>
        <w:t> </w:t>
      </w:r>
      <w:r>
        <w:rPr/>
        <w:t>were</w:t>
      </w:r>
      <w:r>
        <w:rPr>
          <w:spacing w:val="-17"/>
        </w:rPr>
        <w:t> </w:t>
      </w:r>
      <w:r>
        <w:rPr/>
        <w:t>willing</w:t>
      </w:r>
      <w:r>
        <w:rPr>
          <w:spacing w:val="-16"/>
        </w:rPr>
        <w:t> </w:t>
      </w:r>
      <w:r>
        <w:rPr/>
        <w:t>to</w:t>
      </w:r>
      <w:r>
        <w:rPr>
          <w:spacing w:val="-17"/>
        </w:rPr>
        <w:t> </w:t>
      </w:r>
      <w:r>
        <w:rPr/>
        <w:t>accept, while</w:t>
      </w:r>
      <w:r>
        <w:rPr>
          <w:spacing w:val="-6"/>
        </w:rPr>
        <w:t> </w:t>
      </w:r>
      <w:r>
        <w:rPr/>
        <w:t>six</w:t>
      </w:r>
      <w:r>
        <w:rPr>
          <w:spacing w:val="-5"/>
        </w:rPr>
        <w:t> </w:t>
      </w:r>
      <w:r>
        <w:rPr/>
        <w:t>per</w:t>
      </w:r>
      <w:r>
        <w:rPr>
          <w:spacing w:val="-6"/>
        </w:rPr>
        <w:t> </w:t>
      </w:r>
      <w:r>
        <w:rPr/>
        <w:t>cent</w:t>
      </w:r>
      <w:r>
        <w:rPr>
          <w:spacing w:val="-5"/>
        </w:rPr>
        <w:t> </w:t>
      </w:r>
      <w:r>
        <w:rPr/>
        <w:t>(five</w:t>
      </w:r>
      <w:r>
        <w:rPr>
          <w:spacing w:val="-7"/>
        </w:rPr>
        <w:t> </w:t>
      </w:r>
      <w:r>
        <w:rPr/>
        <w:t>participants</w:t>
      </w:r>
      <w:r>
        <w:rPr>
          <w:spacing w:val="-6"/>
        </w:rPr>
        <w:t> </w:t>
      </w:r>
      <w:r>
        <w:rPr/>
        <w:t>in</w:t>
      </w:r>
      <w:r>
        <w:rPr>
          <w:spacing w:val="-5"/>
        </w:rPr>
        <w:t> </w:t>
      </w:r>
      <w:r>
        <w:rPr/>
        <w:t>total,</w:t>
      </w:r>
      <w:r>
        <w:rPr>
          <w:spacing w:val="-5"/>
        </w:rPr>
        <w:t> </w:t>
      </w:r>
      <w:r>
        <w:rPr/>
        <w:t>only</w:t>
      </w:r>
      <w:r>
        <w:rPr>
          <w:spacing w:val="-5"/>
        </w:rPr>
        <w:t> </w:t>
      </w:r>
      <w:r>
        <w:rPr/>
        <w:t>one</w:t>
      </w:r>
      <w:r>
        <w:rPr>
          <w:spacing w:val="-6"/>
        </w:rPr>
        <w:t> </w:t>
      </w:r>
      <w:r>
        <w:rPr/>
        <w:t>of</w:t>
      </w:r>
      <w:r>
        <w:rPr>
          <w:spacing w:val="-5"/>
        </w:rPr>
        <w:t> </w:t>
      </w:r>
      <w:r>
        <w:rPr/>
        <w:t>whom</w:t>
      </w:r>
      <w:r>
        <w:rPr>
          <w:spacing w:val="-6"/>
        </w:rPr>
        <w:t> </w:t>
      </w:r>
      <w:r>
        <w:rPr/>
        <w:t>reported</w:t>
      </w:r>
      <w:r>
        <w:rPr>
          <w:spacing w:val="-6"/>
        </w:rPr>
        <w:t> </w:t>
      </w:r>
      <w:r>
        <w:rPr/>
        <w:t>taking</w:t>
      </w:r>
      <w:r>
        <w:rPr>
          <w:spacing w:val="-6"/>
        </w:rPr>
        <w:t> </w:t>
      </w:r>
      <w:r>
        <w:rPr/>
        <w:t>part in conciliation) said Acas had not contacted them regarding a settlement.</w:t>
      </w:r>
    </w:p>
    <w:p>
      <w:pPr>
        <w:pStyle w:val="BodyText"/>
        <w:spacing w:before="5"/>
        <w:rPr>
          <w:sz w:val="21"/>
        </w:rPr>
      </w:pPr>
    </w:p>
    <w:p>
      <w:pPr>
        <w:pStyle w:val="BodyText"/>
        <w:spacing w:line="259" w:lineRule="auto"/>
        <w:ind w:left="1337" w:right="1472"/>
        <w:jc w:val="both"/>
      </w:pPr>
      <w:r>
        <w:rPr/>
        <w:t>By contrast, three in ten (29 per cent) employers said they had been unwilling to negotiate</w:t>
      </w:r>
      <w:r>
        <w:rPr>
          <w:spacing w:val="-3"/>
        </w:rPr>
        <w:t> </w:t>
      </w:r>
      <w:r>
        <w:rPr/>
        <w:t>–</w:t>
      </w:r>
      <w:r>
        <w:rPr>
          <w:spacing w:val="-2"/>
        </w:rPr>
        <w:t> </w:t>
      </w:r>
      <w:r>
        <w:rPr/>
        <w:t>they</w:t>
      </w:r>
      <w:r>
        <w:rPr>
          <w:spacing w:val="-2"/>
        </w:rPr>
        <w:t> </w:t>
      </w:r>
      <w:r>
        <w:rPr/>
        <w:t>believed</w:t>
      </w:r>
      <w:r>
        <w:rPr>
          <w:spacing w:val="-2"/>
        </w:rPr>
        <w:t> </w:t>
      </w:r>
      <w:r>
        <w:rPr/>
        <w:t>they</w:t>
      </w:r>
      <w:r>
        <w:rPr>
          <w:spacing w:val="-3"/>
        </w:rPr>
        <w:t> </w:t>
      </w:r>
      <w:r>
        <w:rPr/>
        <w:t>had</w:t>
      </w:r>
      <w:r>
        <w:rPr>
          <w:spacing w:val="-3"/>
        </w:rPr>
        <w:t> </w:t>
      </w:r>
      <w:r>
        <w:rPr/>
        <w:t>done</w:t>
      </w:r>
      <w:r>
        <w:rPr>
          <w:spacing w:val="-3"/>
        </w:rPr>
        <w:t> </w:t>
      </w:r>
      <w:r>
        <w:rPr/>
        <w:t>nothing</w:t>
      </w:r>
      <w:r>
        <w:rPr>
          <w:spacing w:val="-2"/>
        </w:rPr>
        <w:t> </w:t>
      </w:r>
      <w:r>
        <w:rPr/>
        <w:t>wrong.</w:t>
      </w:r>
      <w:r>
        <w:rPr>
          <w:spacing w:val="-2"/>
        </w:rPr>
        <w:t> </w:t>
      </w:r>
      <w:r>
        <w:rPr/>
        <w:t>A</w:t>
      </w:r>
      <w:r>
        <w:rPr>
          <w:spacing w:val="-3"/>
        </w:rPr>
        <w:t> </w:t>
      </w:r>
      <w:r>
        <w:rPr/>
        <w:t>sixth</w:t>
      </w:r>
      <w:r>
        <w:rPr>
          <w:spacing w:val="-2"/>
        </w:rPr>
        <w:t> </w:t>
      </w:r>
      <w:r>
        <w:rPr/>
        <w:t>(16</w:t>
      </w:r>
      <w:r>
        <w:rPr>
          <w:spacing w:val="-3"/>
        </w:rPr>
        <w:t> </w:t>
      </w:r>
      <w:r>
        <w:rPr/>
        <w:t>per</w:t>
      </w:r>
      <w:r>
        <w:rPr>
          <w:spacing w:val="-2"/>
        </w:rPr>
        <w:t> </w:t>
      </w:r>
      <w:r>
        <w:rPr/>
        <w:t>cent)</w:t>
      </w:r>
      <w:r>
        <w:rPr>
          <w:spacing w:val="-3"/>
        </w:rPr>
        <w:t> </w:t>
      </w:r>
      <w:r>
        <w:rPr/>
        <w:t>said the claimant had been unwilling to negotiate, while the same proportion (16 per cent) said they had offered the claimant a settlement that had been rejected. 15 per cent said they had talked to Acas about settling but that they did not hear anything further (seven participants in total, five of whom reported taking part in </w:t>
      </w:r>
      <w:r>
        <w:rPr>
          <w:spacing w:val="-2"/>
        </w:rPr>
        <w:t>conciliation).</w:t>
      </w:r>
    </w:p>
    <w:p>
      <w:pPr>
        <w:pStyle w:val="BodyText"/>
        <w:spacing w:before="5"/>
        <w:rPr>
          <w:sz w:val="21"/>
        </w:rPr>
      </w:pPr>
    </w:p>
    <w:p>
      <w:pPr>
        <w:pStyle w:val="BodyText"/>
        <w:spacing w:line="259" w:lineRule="auto" w:before="1"/>
        <w:ind w:left="1337" w:right="1473"/>
        <w:jc w:val="both"/>
      </w:pPr>
      <w:r>
        <w:rPr/>
        <w:t>The</w:t>
      </w:r>
      <w:r>
        <w:rPr>
          <w:spacing w:val="-7"/>
        </w:rPr>
        <w:t> </w:t>
      </w:r>
      <w:r>
        <w:rPr/>
        <w:t>views</w:t>
      </w:r>
      <w:r>
        <w:rPr>
          <w:spacing w:val="-7"/>
        </w:rPr>
        <w:t> </w:t>
      </w:r>
      <w:r>
        <w:rPr/>
        <w:t>of</w:t>
      </w:r>
      <w:r>
        <w:rPr>
          <w:spacing w:val="-6"/>
        </w:rPr>
        <w:t> </w:t>
      </w:r>
      <w:r>
        <w:rPr/>
        <w:t>claimant</w:t>
      </w:r>
      <w:r>
        <w:rPr>
          <w:spacing w:val="-6"/>
        </w:rPr>
        <w:t> </w:t>
      </w:r>
      <w:r>
        <w:rPr/>
        <w:t>and</w:t>
      </w:r>
      <w:r>
        <w:rPr>
          <w:spacing w:val="-7"/>
        </w:rPr>
        <w:t> </w:t>
      </w:r>
      <w:r>
        <w:rPr/>
        <w:t>employer</w:t>
      </w:r>
      <w:r>
        <w:rPr>
          <w:spacing w:val="-7"/>
        </w:rPr>
        <w:t> </w:t>
      </w:r>
      <w:r>
        <w:rPr/>
        <w:t>representatives</w:t>
      </w:r>
      <w:r>
        <w:rPr>
          <w:spacing w:val="-7"/>
        </w:rPr>
        <w:t> </w:t>
      </w:r>
      <w:r>
        <w:rPr/>
        <w:t>aligned</w:t>
      </w:r>
      <w:r>
        <w:rPr>
          <w:spacing w:val="-7"/>
        </w:rPr>
        <w:t> </w:t>
      </w:r>
      <w:r>
        <w:rPr/>
        <w:t>closely</w:t>
      </w:r>
      <w:r>
        <w:rPr>
          <w:spacing w:val="-6"/>
        </w:rPr>
        <w:t> </w:t>
      </w:r>
      <w:r>
        <w:rPr/>
        <w:t>to</w:t>
      </w:r>
      <w:r>
        <w:rPr>
          <w:spacing w:val="-7"/>
        </w:rPr>
        <w:t> </w:t>
      </w:r>
      <w:r>
        <w:rPr/>
        <w:t>those</w:t>
      </w:r>
      <w:r>
        <w:rPr>
          <w:spacing w:val="-7"/>
        </w:rPr>
        <w:t> </w:t>
      </w:r>
      <w:r>
        <w:rPr/>
        <w:t>of</w:t>
      </w:r>
      <w:r>
        <w:rPr>
          <w:spacing w:val="-8"/>
        </w:rPr>
        <w:t> </w:t>
      </w:r>
      <w:r>
        <w:rPr/>
        <w:t>the parties they represented, with claimant representatives most likely to report that the employer had been unwilling to negotiate (60 per cent), and employer </w:t>
      </w:r>
      <w:r>
        <w:rPr>
          <w:spacing w:val="-2"/>
        </w:rPr>
        <w:t>representatives</w:t>
      </w:r>
      <w:r>
        <w:rPr>
          <w:spacing w:val="-9"/>
        </w:rPr>
        <w:t> </w:t>
      </w:r>
      <w:r>
        <w:rPr>
          <w:spacing w:val="-2"/>
        </w:rPr>
        <w:t>most</w:t>
      </w:r>
      <w:r>
        <w:rPr>
          <w:spacing w:val="-9"/>
        </w:rPr>
        <w:t> </w:t>
      </w:r>
      <w:r>
        <w:rPr>
          <w:spacing w:val="-2"/>
        </w:rPr>
        <w:t>likely</w:t>
      </w:r>
      <w:r>
        <w:rPr>
          <w:spacing w:val="-9"/>
        </w:rPr>
        <w:t> </w:t>
      </w:r>
      <w:r>
        <w:rPr>
          <w:spacing w:val="-2"/>
        </w:rPr>
        <w:t>to</w:t>
      </w:r>
      <w:r>
        <w:rPr>
          <w:spacing w:val="-9"/>
        </w:rPr>
        <w:t> </w:t>
      </w:r>
      <w:r>
        <w:rPr>
          <w:spacing w:val="-2"/>
        </w:rPr>
        <w:t>say</w:t>
      </w:r>
      <w:r>
        <w:rPr>
          <w:spacing w:val="-9"/>
        </w:rPr>
        <w:t> </w:t>
      </w:r>
      <w:r>
        <w:rPr>
          <w:spacing w:val="-2"/>
        </w:rPr>
        <w:t>that</w:t>
      </w:r>
      <w:r>
        <w:rPr>
          <w:spacing w:val="-9"/>
        </w:rPr>
        <w:t> </w:t>
      </w:r>
      <w:r>
        <w:rPr>
          <w:spacing w:val="-2"/>
        </w:rPr>
        <w:t>the</w:t>
      </w:r>
      <w:r>
        <w:rPr>
          <w:spacing w:val="-9"/>
        </w:rPr>
        <w:t> </w:t>
      </w:r>
      <w:r>
        <w:rPr>
          <w:spacing w:val="-2"/>
        </w:rPr>
        <w:t>employer</w:t>
      </w:r>
      <w:r>
        <w:rPr>
          <w:spacing w:val="-9"/>
        </w:rPr>
        <w:t> </w:t>
      </w:r>
      <w:r>
        <w:rPr>
          <w:spacing w:val="-2"/>
        </w:rPr>
        <w:t>had</w:t>
      </w:r>
      <w:r>
        <w:rPr>
          <w:spacing w:val="-9"/>
        </w:rPr>
        <w:t> </w:t>
      </w:r>
      <w:r>
        <w:rPr>
          <w:spacing w:val="-2"/>
        </w:rPr>
        <w:t>been</w:t>
      </w:r>
      <w:r>
        <w:rPr>
          <w:spacing w:val="-9"/>
        </w:rPr>
        <w:t> </w:t>
      </w:r>
      <w:r>
        <w:rPr>
          <w:spacing w:val="-2"/>
        </w:rPr>
        <w:t>unwilling</w:t>
      </w:r>
      <w:r>
        <w:rPr>
          <w:spacing w:val="-9"/>
        </w:rPr>
        <w:t> </w:t>
      </w:r>
      <w:r>
        <w:rPr>
          <w:spacing w:val="-2"/>
        </w:rPr>
        <w:t>to</w:t>
      </w:r>
      <w:r>
        <w:rPr>
          <w:spacing w:val="-9"/>
        </w:rPr>
        <w:t> </w:t>
      </w:r>
      <w:r>
        <w:rPr>
          <w:spacing w:val="-2"/>
        </w:rPr>
        <w:t>negotiate </w:t>
      </w:r>
      <w:r>
        <w:rPr/>
        <w:t>(27 per cent) or that the claimant had wanted to proceed to tribunal (also 27 per cent). Responses match closely with those given in 2016 for all audiences.</w:t>
      </w:r>
    </w:p>
    <w:p>
      <w:pPr>
        <w:pStyle w:val="BodyText"/>
        <w:spacing w:before="5"/>
        <w:rPr>
          <w:sz w:val="21"/>
        </w:rPr>
      </w:pPr>
    </w:p>
    <w:p>
      <w:pPr>
        <w:pStyle w:val="Heading4"/>
        <w:numPr>
          <w:ilvl w:val="2"/>
          <w:numId w:val="46"/>
        </w:numPr>
        <w:tabs>
          <w:tab w:pos="2189" w:val="left" w:leader="none"/>
        </w:tabs>
        <w:spacing w:line="240" w:lineRule="auto" w:before="0" w:after="0"/>
        <w:ind w:left="2188" w:right="0" w:hanging="852"/>
        <w:jc w:val="both"/>
        <w:rPr>
          <w:i/>
        </w:rPr>
      </w:pPr>
      <w:bookmarkStart w:name="16.8.2 What the tribunal ordered at the " w:id="213"/>
      <w:bookmarkEnd w:id="213"/>
      <w:r>
        <w:rPr>
          <w:i/>
        </w:rPr>
        <w:t>Wh</w:t>
      </w:r>
      <w:r>
        <w:rPr>
          <w:i/>
        </w:rPr>
        <w:t>at</w:t>
      </w:r>
      <w:r>
        <w:rPr>
          <w:i/>
          <w:spacing w:val="-5"/>
        </w:rPr>
        <w:t> </w:t>
      </w:r>
      <w:r>
        <w:rPr>
          <w:i/>
        </w:rPr>
        <w:t>the</w:t>
      </w:r>
      <w:r>
        <w:rPr>
          <w:i/>
          <w:spacing w:val="-3"/>
        </w:rPr>
        <w:t> </w:t>
      </w:r>
      <w:r>
        <w:rPr>
          <w:i/>
        </w:rPr>
        <w:t>tribunal</w:t>
      </w:r>
      <w:r>
        <w:rPr>
          <w:i/>
          <w:spacing w:val="-4"/>
        </w:rPr>
        <w:t> </w:t>
      </w:r>
      <w:r>
        <w:rPr>
          <w:i/>
        </w:rPr>
        <w:t>ordered</w:t>
      </w:r>
      <w:r>
        <w:rPr>
          <w:i/>
          <w:spacing w:val="-4"/>
        </w:rPr>
        <w:t> </w:t>
      </w:r>
      <w:r>
        <w:rPr>
          <w:i/>
        </w:rPr>
        <w:t>at</w:t>
      </w:r>
      <w:r>
        <w:rPr>
          <w:i/>
          <w:spacing w:val="-4"/>
        </w:rPr>
        <w:t> </w:t>
      </w:r>
      <w:r>
        <w:rPr>
          <w:i/>
        </w:rPr>
        <w:t>the</w:t>
      </w:r>
      <w:r>
        <w:rPr>
          <w:i/>
          <w:spacing w:val="-3"/>
        </w:rPr>
        <w:t> </w:t>
      </w:r>
      <w:r>
        <w:rPr>
          <w:i/>
          <w:spacing w:val="-2"/>
        </w:rPr>
        <w:t>hearing</w:t>
      </w:r>
    </w:p>
    <w:p>
      <w:pPr>
        <w:pStyle w:val="BodyText"/>
        <w:spacing w:line="259" w:lineRule="auto" w:before="60"/>
        <w:ind w:left="1337" w:right="1472"/>
        <w:jc w:val="both"/>
      </w:pPr>
      <w:r>
        <w:rPr/>
        <w:t>Participants</w:t>
      </w:r>
      <w:r>
        <w:rPr>
          <w:spacing w:val="-18"/>
        </w:rPr>
        <w:t> </w:t>
      </w:r>
      <w:r>
        <w:rPr/>
        <w:t>involved</w:t>
      </w:r>
      <w:r>
        <w:rPr>
          <w:spacing w:val="-18"/>
        </w:rPr>
        <w:t> </w:t>
      </w:r>
      <w:r>
        <w:rPr/>
        <w:t>in</w:t>
      </w:r>
      <w:r>
        <w:rPr>
          <w:spacing w:val="-17"/>
        </w:rPr>
        <w:t> </w:t>
      </w:r>
      <w:r>
        <w:rPr/>
        <w:t>cases</w:t>
      </w:r>
      <w:r>
        <w:rPr>
          <w:spacing w:val="-18"/>
        </w:rPr>
        <w:t> </w:t>
      </w:r>
      <w:r>
        <w:rPr/>
        <w:t>that</w:t>
      </w:r>
      <w:r>
        <w:rPr>
          <w:spacing w:val="-17"/>
        </w:rPr>
        <w:t> </w:t>
      </w:r>
      <w:r>
        <w:rPr/>
        <w:t>proceeded</w:t>
      </w:r>
      <w:r>
        <w:rPr>
          <w:spacing w:val="-18"/>
        </w:rPr>
        <w:t> </w:t>
      </w:r>
      <w:r>
        <w:rPr/>
        <w:t>to</w:t>
      </w:r>
      <w:r>
        <w:rPr>
          <w:spacing w:val="-18"/>
        </w:rPr>
        <w:t> </w:t>
      </w:r>
      <w:r>
        <w:rPr/>
        <w:t>tribunal</w:t>
      </w:r>
      <w:r>
        <w:rPr>
          <w:spacing w:val="-17"/>
        </w:rPr>
        <w:t> </w:t>
      </w:r>
      <w:r>
        <w:rPr/>
        <w:t>were</w:t>
      </w:r>
      <w:r>
        <w:rPr>
          <w:spacing w:val="-18"/>
        </w:rPr>
        <w:t> </w:t>
      </w:r>
      <w:r>
        <w:rPr/>
        <w:t>asked</w:t>
      </w:r>
      <w:r>
        <w:rPr>
          <w:spacing w:val="-17"/>
        </w:rPr>
        <w:t> </w:t>
      </w:r>
      <w:r>
        <w:rPr/>
        <w:t>to</w:t>
      </w:r>
      <w:r>
        <w:rPr>
          <w:spacing w:val="-18"/>
        </w:rPr>
        <w:t> </w:t>
      </w:r>
      <w:r>
        <w:rPr/>
        <w:t>say</w:t>
      </w:r>
      <w:r>
        <w:rPr>
          <w:spacing w:val="-17"/>
        </w:rPr>
        <w:t> </w:t>
      </w:r>
      <w:r>
        <w:rPr/>
        <w:t>in</w:t>
      </w:r>
      <w:r>
        <w:rPr>
          <w:spacing w:val="-18"/>
        </w:rPr>
        <w:t> </w:t>
      </w:r>
      <w:r>
        <w:rPr/>
        <w:t>whose favour the hearing had been decided. Two-thirds (66 per cent) of claimant-side participants reported that the tribunal hearing had been decided in their favour. Three in ten (29 per cent) said the hearing had been decided in favour of the employer, while five per cent said the case had been dismissed. In 2016 a more even split (51 per cent claimants to 48 per cent employers) was observed.</w:t>
      </w:r>
    </w:p>
    <w:p>
      <w:pPr>
        <w:pStyle w:val="BodyText"/>
        <w:spacing w:before="5"/>
        <w:rPr>
          <w:sz w:val="21"/>
        </w:rPr>
      </w:pPr>
    </w:p>
    <w:p>
      <w:pPr>
        <w:pStyle w:val="BodyText"/>
        <w:spacing w:line="259" w:lineRule="auto"/>
        <w:ind w:left="1337" w:right="1472"/>
        <w:jc w:val="both"/>
      </w:pPr>
      <w:r>
        <w:rPr/>
        <w:t>Among</w:t>
      </w:r>
      <w:r>
        <w:rPr>
          <w:spacing w:val="-13"/>
        </w:rPr>
        <w:t> </w:t>
      </w:r>
      <w:r>
        <w:rPr/>
        <w:t>employer-side</w:t>
      </w:r>
      <w:r>
        <w:rPr>
          <w:spacing w:val="-13"/>
        </w:rPr>
        <w:t> </w:t>
      </w:r>
      <w:r>
        <w:rPr/>
        <w:t>participants,</w:t>
      </w:r>
      <w:r>
        <w:rPr>
          <w:spacing w:val="-14"/>
        </w:rPr>
        <w:t> </w:t>
      </w:r>
      <w:r>
        <w:rPr/>
        <w:t>it</w:t>
      </w:r>
      <w:r>
        <w:rPr>
          <w:spacing w:val="-13"/>
        </w:rPr>
        <w:t> </w:t>
      </w:r>
      <w:r>
        <w:rPr/>
        <w:t>was</w:t>
      </w:r>
      <w:r>
        <w:rPr>
          <w:spacing w:val="-13"/>
        </w:rPr>
        <w:t> </w:t>
      </w:r>
      <w:r>
        <w:rPr/>
        <w:t>reported</w:t>
      </w:r>
      <w:r>
        <w:rPr>
          <w:spacing w:val="-13"/>
        </w:rPr>
        <w:t> </w:t>
      </w:r>
      <w:r>
        <w:rPr/>
        <w:t>that</w:t>
      </w:r>
      <w:r>
        <w:rPr>
          <w:spacing w:val="-13"/>
        </w:rPr>
        <w:t> </w:t>
      </w:r>
      <w:r>
        <w:rPr/>
        <w:t>half</w:t>
      </w:r>
      <w:r>
        <w:rPr>
          <w:spacing w:val="-14"/>
        </w:rPr>
        <w:t> </w:t>
      </w:r>
      <w:r>
        <w:rPr/>
        <w:t>(54</w:t>
      </w:r>
      <w:r>
        <w:rPr>
          <w:spacing w:val="-13"/>
        </w:rPr>
        <w:t> </w:t>
      </w:r>
      <w:r>
        <w:rPr/>
        <w:t>per</w:t>
      </w:r>
      <w:r>
        <w:rPr>
          <w:spacing w:val="-13"/>
        </w:rPr>
        <w:t> </w:t>
      </w:r>
      <w:r>
        <w:rPr/>
        <w:t>cent)</w:t>
      </w:r>
      <w:r>
        <w:rPr>
          <w:spacing w:val="-13"/>
        </w:rPr>
        <w:t> </w:t>
      </w:r>
      <w:r>
        <w:rPr/>
        <w:t>had</w:t>
      </w:r>
      <w:r>
        <w:rPr>
          <w:spacing w:val="-14"/>
        </w:rPr>
        <w:t> </w:t>
      </w:r>
      <w:r>
        <w:rPr/>
        <w:t>been decided in favour of the employer, and two-fifths (42 per cent) in favour of the claimant. Four per cent had been dismissed. A very similar pattern was observed in 2016 (58:39 in the employer’s favour).</w:t>
      </w:r>
    </w:p>
    <w:p>
      <w:pPr>
        <w:pStyle w:val="BodyText"/>
        <w:spacing w:before="6"/>
        <w:rPr>
          <w:sz w:val="21"/>
        </w:rPr>
      </w:pPr>
    </w:p>
    <w:p>
      <w:pPr>
        <w:pStyle w:val="BodyText"/>
        <w:spacing w:line="259" w:lineRule="auto"/>
        <w:ind w:left="1337" w:right="1473"/>
        <w:jc w:val="both"/>
      </w:pPr>
      <w:r>
        <w:rPr/>
        <w:t>Outcome varied by case track among claimant-side participants, with those involved</w:t>
      </w:r>
      <w:r>
        <w:rPr>
          <w:spacing w:val="-9"/>
        </w:rPr>
        <w:t> </w:t>
      </w:r>
      <w:r>
        <w:rPr/>
        <w:t>in</w:t>
      </w:r>
      <w:r>
        <w:rPr>
          <w:spacing w:val="-9"/>
        </w:rPr>
        <w:t> </w:t>
      </w:r>
      <w:r>
        <w:rPr/>
        <w:t>fast</w:t>
      </w:r>
      <w:r>
        <w:rPr>
          <w:spacing w:val="-9"/>
        </w:rPr>
        <w:t> </w:t>
      </w:r>
      <w:r>
        <w:rPr/>
        <w:t>track</w:t>
      </w:r>
      <w:r>
        <w:rPr>
          <w:spacing w:val="-9"/>
        </w:rPr>
        <w:t> </w:t>
      </w:r>
      <w:r>
        <w:rPr/>
        <w:t>cases</w:t>
      </w:r>
      <w:r>
        <w:rPr>
          <w:spacing w:val="-9"/>
        </w:rPr>
        <w:t> </w:t>
      </w:r>
      <w:r>
        <w:rPr/>
        <w:t>more</w:t>
      </w:r>
      <w:r>
        <w:rPr>
          <w:spacing w:val="-10"/>
        </w:rPr>
        <w:t> </w:t>
      </w:r>
      <w:r>
        <w:rPr/>
        <w:t>likely</w:t>
      </w:r>
      <w:r>
        <w:rPr>
          <w:spacing w:val="-9"/>
        </w:rPr>
        <w:t> </w:t>
      </w:r>
      <w:r>
        <w:rPr/>
        <w:t>than</w:t>
      </w:r>
      <w:r>
        <w:rPr>
          <w:spacing w:val="-9"/>
        </w:rPr>
        <w:t> </w:t>
      </w:r>
      <w:r>
        <w:rPr/>
        <w:t>average</w:t>
      </w:r>
      <w:r>
        <w:rPr>
          <w:spacing w:val="-10"/>
        </w:rPr>
        <w:t> </w:t>
      </w:r>
      <w:r>
        <w:rPr/>
        <w:t>to</w:t>
      </w:r>
      <w:r>
        <w:rPr>
          <w:spacing w:val="-10"/>
        </w:rPr>
        <w:t> </w:t>
      </w:r>
      <w:r>
        <w:rPr/>
        <w:t>report</w:t>
      </w:r>
      <w:r>
        <w:rPr>
          <w:spacing w:val="-9"/>
        </w:rPr>
        <w:t> </w:t>
      </w:r>
      <w:r>
        <w:rPr/>
        <w:t>that</w:t>
      </w:r>
      <w:r>
        <w:rPr>
          <w:spacing w:val="-10"/>
        </w:rPr>
        <w:t> </w:t>
      </w:r>
      <w:r>
        <w:rPr/>
        <w:t>the</w:t>
      </w:r>
      <w:r>
        <w:rPr>
          <w:spacing w:val="-11"/>
        </w:rPr>
        <w:t> </w:t>
      </w:r>
      <w:r>
        <w:rPr/>
        <w:t>hearing</w:t>
      </w:r>
      <w:r>
        <w:rPr>
          <w:spacing w:val="-9"/>
        </w:rPr>
        <w:t> </w:t>
      </w:r>
      <w:r>
        <w:rPr/>
        <w:t>had been</w:t>
      </w:r>
      <w:r>
        <w:rPr>
          <w:spacing w:val="-1"/>
        </w:rPr>
        <w:t> </w:t>
      </w:r>
      <w:r>
        <w:rPr/>
        <w:t>found</w:t>
      </w:r>
      <w:r>
        <w:rPr>
          <w:spacing w:val="-4"/>
        </w:rPr>
        <w:t> </w:t>
      </w:r>
      <w:r>
        <w:rPr/>
        <w:t>in</w:t>
      </w:r>
      <w:r>
        <w:rPr>
          <w:spacing w:val="-1"/>
        </w:rPr>
        <w:t> </w:t>
      </w:r>
      <w:r>
        <w:rPr/>
        <w:t>their</w:t>
      </w:r>
      <w:r>
        <w:rPr>
          <w:spacing w:val="-2"/>
        </w:rPr>
        <w:t> </w:t>
      </w:r>
      <w:r>
        <w:rPr/>
        <w:t>favour</w:t>
      </w:r>
      <w:r>
        <w:rPr>
          <w:spacing w:val="-2"/>
        </w:rPr>
        <w:t> </w:t>
      </w:r>
      <w:r>
        <w:rPr/>
        <w:t>(84</w:t>
      </w:r>
      <w:r>
        <w:rPr>
          <w:spacing w:val="-3"/>
        </w:rPr>
        <w:t> </w:t>
      </w:r>
      <w:r>
        <w:rPr/>
        <w:t>per</w:t>
      </w:r>
      <w:r>
        <w:rPr>
          <w:spacing w:val="-2"/>
        </w:rPr>
        <w:t> </w:t>
      </w:r>
      <w:r>
        <w:rPr/>
        <w:t>cent).</w:t>
      </w:r>
      <w:r>
        <w:rPr>
          <w:spacing w:val="-3"/>
        </w:rPr>
        <w:t> </w:t>
      </w:r>
      <w:r>
        <w:rPr/>
        <w:t>Among</w:t>
      </w:r>
      <w:r>
        <w:rPr>
          <w:spacing w:val="-2"/>
        </w:rPr>
        <w:t> </w:t>
      </w:r>
      <w:r>
        <w:rPr/>
        <w:t>employer-side</w:t>
      </w:r>
      <w:r>
        <w:rPr>
          <w:spacing w:val="-2"/>
        </w:rPr>
        <w:t> </w:t>
      </w:r>
      <w:r>
        <w:rPr/>
        <w:t>participants,</w:t>
      </w:r>
      <w:r>
        <w:rPr>
          <w:spacing w:val="-3"/>
        </w:rPr>
        <w:t> </w:t>
      </w:r>
      <w:r>
        <w:rPr/>
        <w:t>there was</w:t>
      </w:r>
      <w:r>
        <w:rPr>
          <w:spacing w:val="-9"/>
        </w:rPr>
        <w:t> </w:t>
      </w:r>
      <w:r>
        <w:rPr/>
        <w:t>no</w:t>
      </w:r>
      <w:r>
        <w:rPr>
          <w:spacing w:val="-10"/>
        </w:rPr>
        <w:t> </w:t>
      </w:r>
      <w:r>
        <w:rPr/>
        <w:t>significant</w:t>
      </w:r>
      <w:r>
        <w:rPr>
          <w:spacing w:val="-9"/>
        </w:rPr>
        <w:t> </w:t>
      </w:r>
      <w:r>
        <w:rPr/>
        <w:t>difference</w:t>
      </w:r>
      <w:r>
        <w:rPr>
          <w:spacing w:val="-10"/>
        </w:rPr>
        <w:t> </w:t>
      </w:r>
      <w:r>
        <w:rPr/>
        <w:t>by</w:t>
      </w:r>
      <w:r>
        <w:rPr>
          <w:spacing w:val="-9"/>
        </w:rPr>
        <w:t> </w:t>
      </w:r>
      <w:r>
        <w:rPr/>
        <w:t>case</w:t>
      </w:r>
      <w:r>
        <w:rPr>
          <w:spacing w:val="-10"/>
        </w:rPr>
        <w:t> </w:t>
      </w:r>
      <w:r>
        <w:rPr/>
        <w:t>track,</w:t>
      </w:r>
      <w:r>
        <w:rPr>
          <w:spacing w:val="-9"/>
        </w:rPr>
        <w:t> </w:t>
      </w:r>
      <w:r>
        <w:rPr/>
        <w:t>although</w:t>
      </w:r>
      <w:r>
        <w:rPr>
          <w:spacing w:val="-9"/>
        </w:rPr>
        <w:t> </w:t>
      </w:r>
      <w:r>
        <w:rPr/>
        <w:t>the</w:t>
      </w:r>
      <w:r>
        <w:rPr>
          <w:spacing w:val="-10"/>
        </w:rPr>
        <w:t> </w:t>
      </w:r>
      <w:r>
        <w:rPr/>
        <w:t>general</w:t>
      </w:r>
      <w:r>
        <w:rPr>
          <w:spacing w:val="-10"/>
        </w:rPr>
        <w:t> </w:t>
      </w:r>
      <w:r>
        <w:rPr/>
        <w:t>trend</w:t>
      </w:r>
      <w:r>
        <w:rPr>
          <w:spacing w:val="-9"/>
        </w:rPr>
        <w:t> </w:t>
      </w:r>
      <w:r>
        <w:rPr/>
        <w:t>reflects</w:t>
      </w:r>
      <w:r>
        <w:rPr>
          <w:spacing w:val="-9"/>
        </w:rPr>
        <w:t> </w:t>
      </w:r>
      <w:r>
        <w:rPr/>
        <w:t>that seen among claimant-side participants. A very similar pattern was observed in </w:t>
      </w:r>
      <w:r>
        <w:rPr>
          <w:spacing w:val="-2"/>
        </w:rPr>
        <w:t>2016.</w:t>
      </w:r>
    </w:p>
    <w:p>
      <w:pPr>
        <w:pStyle w:val="BodyText"/>
        <w:spacing w:before="5"/>
        <w:rPr>
          <w:sz w:val="21"/>
        </w:rPr>
      </w:pPr>
    </w:p>
    <w:p>
      <w:pPr>
        <w:pStyle w:val="BodyText"/>
        <w:spacing w:line="259" w:lineRule="auto" w:before="1"/>
        <w:ind w:left="1337" w:right="1473"/>
        <w:jc w:val="both"/>
      </w:pPr>
      <w:r>
        <w:rPr/>
        <w:t>Across both sets of participants, it was reported that a financial payment was awarded in 91 per cent of cases found in favour of the claimant.</w:t>
      </w:r>
      <w:hyperlink w:history="true" w:anchor="_bookmark87">
        <w:r>
          <w:rPr>
            <w:position w:val="7"/>
            <w:sz w:val="13"/>
          </w:rPr>
          <w:t>38</w:t>
        </w:r>
      </w:hyperlink>
      <w:r>
        <w:rPr>
          <w:spacing w:val="38"/>
          <w:position w:val="7"/>
          <w:sz w:val="13"/>
        </w:rPr>
        <w:t> </w:t>
      </w:r>
      <w:r>
        <w:rPr/>
        <w:t>Claimant-side participants reported an average (mean) award to the claimant of £6,914, while employer-side</w:t>
      </w:r>
      <w:r>
        <w:rPr>
          <w:spacing w:val="43"/>
        </w:rPr>
        <w:t> </w:t>
      </w:r>
      <w:r>
        <w:rPr/>
        <w:t>participants</w:t>
      </w:r>
      <w:r>
        <w:rPr>
          <w:spacing w:val="46"/>
        </w:rPr>
        <w:t> </w:t>
      </w:r>
      <w:r>
        <w:rPr/>
        <w:t>reported</w:t>
      </w:r>
      <w:r>
        <w:rPr>
          <w:spacing w:val="46"/>
        </w:rPr>
        <w:t> </w:t>
      </w:r>
      <w:r>
        <w:rPr/>
        <w:t>an</w:t>
      </w:r>
      <w:r>
        <w:rPr>
          <w:spacing w:val="47"/>
        </w:rPr>
        <w:t> </w:t>
      </w:r>
      <w:r>
        <w:rPr/>
        <w:t>average</w:t>
      </w:r>
      <w:r>
        <w:rPr>
          <w:spacing w:val="46"/>
        </w:rPr>
        <w:t> </w:t>
      </w:r>
      <w:r>
        <w:rPr/>
        <w:t>(mean)</w:t>
      </w:r>
      <w:r>
        <w:rPr>
          <w:spacing w:val="45"/>
        </w:rPr>
        <w:t> </w:t>
      </w:r>
      <w:r>
        <w:rPr/>
        <w:t>award</w:t>
      </w:r>
      <w:r>
        <w:rPr>
          <w:spacing w:val="45"/>
        </w:rPr>
        <w:t> </w:t>
      </w:r>
      <w:r>
        <w:rPr/>
        <w:t>to</w:t>
      </w:r>
      <w:r>
        <w:rPr>
          <w:spacing w:val="45"/>
        </w:rPr>
        <w:t> </w:t>
      </w:r>
      <w:r>
        <w:rPr/>
        <w:t>claimants</w:t>
      </w:r>
      <w:r>
        <w:rPr>
          <w:spacing w:val="46"/>
        </w:rPr>
        <w:t> </w:t>
      </w:r>
      <w:r>
        <w:rPr>
          <w:spacing w:val="-5"/>
        </w:rPr>
        <w:t>of</w:t>
      </w:r>
    </w:p>
    <w:p>
      <w:pPr>
        <w:pStyle w:val="BodyText"/>
        <w:spacing w:before="1"/>
        <w:ind w:left="1337"/>
      </w:pPr>
      <w:r>
        <w:rPr>
          <w:spacing w:val="-2"/>
        </w:rPr>
        <w:t>£5,234.</w:t>
      </w:r>
    </w:p>
    <w:p>
      <w:pPr>
        <w:spacing w:after="0"/>
        <w:sectPr>
          <w:pgSz w:w="11910" w:h="16840"/>
          <w:pgMar w:header="0" w:footer="996" w:top="1340" w:bottom="1180" w:left="460" w:right="320"/>
        </w:sectPr>
      </w:pPr>
    </w:p>
    <w:p>
      <w:pPr>
        <w:pStyle w:val="Heading3"/>
        <w:numPr>
          <w:ilvl w:val="1"/>
          <w:numId w:val="2"/>
        </w:numPr>
        <w:tabs>
          <w:tab w:pos="1974" w:val="left" w:leader="none"/>
        </w:tabs>
        <w:spacing w:line="240" w:lineRule="auto" w:before="82" w:after="0"/>
        <w:ind w:left="1973" w:right="0" w:hanging="637"/>
        <w:jc w:val="both"/>
      </w:pPr>
      <w:bookmarkStart w:name="16.9  Satisfaction with case outcome" w:id="214"/>
      <w:bookmarkEnd w:id="214"/>
      <w:r>
        <w:rPr>
          <w:b w:val="0"/>
        </w:rPr>
      </w:r>
      <w:bookmarkStart w:name="_bookmark56" w:id="215"/>
      <w:bookmarkEnd w:id="215"/>
      <w:r>
        <w:rPr/>
        <w:t>Sa</w:t>
      </w:r>
      <w:r>
        <w:rPr/>
        <w:t>tisfaction</w:t>
      </w:r>
      <w:r>
        <w:rPr>
          <w:spacing w:val="-7"/>
        </w:rPr>
        <w:t> </w:t>
      </w:r>
      <w:r>
        <w:rPr/>
        <w:t>with</w:t>
      </w:r>
      <w:r>
        <w:rPr>
          <w:spacing w:val="-5"/>
        </w:rPr>
        <w:t> </w:t>
      </w:r>
      <w:r>
        <w:rPr/>
        <w:t>case</w:t>
      </w:r>
      <w:r>
        <w:rPr>
          <w:spacing w:val="-5"/>
        </w:rPr>
        <w:t> </w:t>
      </w:r>
      <w:r>
        <w:rPr>
          <w:spacing w:val="-2"/>
        </w:rPr>
        <w:t>outcome</w:t>
      </w:r>
    </w:p>
    <w:p>
      <w:pPr>
        <w:pStyle w:val="BodyText"/>
        <w:spacing w:line="259" w:lineRule="auto" w:before="120"/>
        <w:ind w:left="1337" w:right="1474"/>
        <w:jc w:val="both"/>
      </w:pPr>
      <w:r>
        <w:rPr/>
        <w:t>At</w:t>
      </w:r>
      <w:r>
        <w:rPr>
          <w:spacing w:val="-12"/>
        </w:rPr>
        <w:t> </w:t>
      </w:r>
      <w:r>
        <w:rPr/>
        <w:t>this</w:t>
      </w:r>
      <w:r>
        <w:rPr>
          <w:spacing w:val="-12"/>
        </w:rPr>
        <w:t> </w:t>
      </w:r>
      <w:r>
        <w:rPr/>
        <w:t>point</w:t>
      </w:r>
      <w:r>
        <w:rPr>
          <w:spacing w:val="-13"/>
        </w:rPr>
        <w:t> </w:t>
      </w:r>
      <w:r>
        <w:rPr/>
        <w:t>in</w:t>
      </w:r>
      <w:r>
        <w:rPr>
          <w:spacing w:val="-12"/>
        </w:rPr>
        <w:t> </w:t>
      </w:r>
      <w:r>
        <w:rPr/>
        <w:t>the</w:t>
      </w:r>
      <w:r>
        <w:rPr>
          <w:spacing w:val="-12"/>
        </w:rPr>
        <w:t> </w:t>
      </w:r>
      <w:r>
        <w:rPr/>
        <w:t>survey,</w:t>
      </w:r>
      <w:r>
        <w:rPr>
          <w:spacing w:val="-12"/>
        </w:rPr>
        <w:t> </w:t>
      </w:r>
      <w:r>
        <w:rPr/>
        <w:t>participants</w:t>
      </w:r>
      <w:r>
        <w:rPr>
          <w:spacing w:val="-13"/>
        </w:rPr>
        <w:t> </w:t>
      </w:r>
      <w:r>
        <w:rPr/>
        <w:t>were</w:t>
      </w:r>
      <w:r>
        <w:rPr>
          <w:spacing w:val="-12"/>
        </w:rPr>
        <w:t> </w:t>
      </w:r>
      <w:r>
        <w:rPr/>
        <w:t>asked</w:t>
      </w:r>
      <w:r>
        <w:rPr>
          <w:spacing w:val="-12"/>
        </w:rPr>
        <w:t> </w:t>
      </w:r>
      <w:r>
        <w:rPr/>
        <w:t>to</w:t>
      </w:r>
      <w:r>
        <w:rPr>
          <w:spacing w:val="-13"/>
        </w:rPr>
        <w:t> </w:t>
      </w:r>
      <w:r>
        <w:rPr/>
        <w:t>put</w:t>
      </w:r>
      <w:r>
        <w:rPr>
          <w:spacing w:val="-13"/>
        </w:rPr>
        <w:t> </w:t>
      </w:r>
      <w:r>
        <w:rPr/>
        <w:t>the</w:t>
      </w:r>
      <w:r>
        <w:rPr>
          <w:spacing w:val="-12"/>
        </w:rPr>
        <w:t> </w:t>
      </w:r>
      <w:r>
        <w:rPr/>
        <w:t>service</w:t>
      </w:r>
      <w:r>
        <w:rPr>
          <w:spacing w:val="-13"/>
        </w:rPr>
        <w:t> </w:t>
      </w:r>
      <w:r>
        <w:rPr/>
        <w:t>received</w:t>
      </w:r>
      <w:r>
        <w:rPr>
          <w:spacing w:val="-12"/>
        </w:rPr>
        <w:t> </w:t>
      </w:r>
      <w:r>
        <w:rPr/>
        <w:t>from Acas</w:t>
      </w:r>
      <w:r>
        <w:rPr>
          <w:spacing w:val="-13"/>
        </w:rPr>
        <w:t> </w:t>
      </w:r>
      <w:r>
        <w:rPr/>
        <w:t>to</w:t>
      </w:r>
      <w:r>
        <w:rPr>
          <w:spacing w:val="-13"/>
        </w:rPr>
        <w:t> </w:t>
      </w:r>
      <w:r>
        <w:rPr/>
        <w:t>one</w:t>
      </w:r>
      <w:r>
        <w:rPr>
          <w:spacing w:val="-15"/>
        </w:rPr>
        <w:t> </w:t>
      </w:r>
      <w:r>
        <w:rPr/>
        <w:t>side</w:t>
      </w:r>
      <w:r>
        <w:rPr>
          <w:spacing w:val="-13"/>
        </w:rPr>
        <w:t> </w:t>
      </w:r>
      <w:r>
        <w:rPr/>
        <w:t>and</w:t>
      </w:r>
      <w:r>
        <w:rPr>
          <w:spacing w:val="-13"/>
        </w:rPr>
        <w:t> </w:t>
      </w:r>
      <w:r>
        <w:rPr/>
        <w:t>rate</w:t>
      </w:r>
      <w:r>
        <w:rPr>
          <w:spacing w:val="-13"/>
        </w:rPr>
        <w:t> </w:t>
      </w:r>
      <w:r>
        <w:rPr/>
        <w:t>their</w:t>
      </w:r>
      <w:r>
        <w:rPr>
          <w:spacing w:val="-13"/>
        </w:rPr>
        <w:t> </w:t>
      </w:r>
      <w:r>
        <w:rPr/>
        <w:t>overall</w:t>
      </w:r>
      <w:r>
        <w:rPr>
          <w:spacing w:val="-14"/>
        </w:rPr>
        <w:t> </w:t>
      </w:r>
      <w:r>
        <w:rPr/>
        <w:t>level</w:t>
      </w:r>
      <w:r>
        <w:rPr>
          <w:spacing w:val="-14"/>
        </w:rPr>
        <w:t> </w:t>
      </w:r>
      <w:r>
        <w:rPr/>
        <w:t>of</w:t>
      </w:r>
      <w:r>
        <w:rPr>
          <w:spacing w:val="-13"/>
        </w:rPr>
        <w:t> </w:t>
      </w:r>
      <w:r>
        <w:rPr/>
        <w:t>satisfaction</w:t>
      </w:r>
      <w:r>
        <w:rPr>
          <w:spacing w:val="-12"/>
        </w:rPr>
        <w:t> </w:t>
      </w:r>
      <w:r>
        <w:rPr/>
        <w:t>with</w:t>
      </w:r>
      <w:r>
        <w:rPr>
          <w:spacing w:val="-12"/>
        </w:rPr>
        <w:t> </w:t>
      </w:r>
      <w:r>
        <w:rPr/>
        <w:t>the</w:t>
      </w:r>
      <w:r>
        <w:rPr>
          <w:spacing w:val="-13"/>
        </w:rPr>
        <w:t> </w:t>
      </w:r>
      <w:r>
        <w:rPr/>
        <w:t>outcome</w:t>
      </w:r>
      <w:r>
        <w:rPr>
          <w:spacing w:val="-13"/>
        </w:rPr>
        <w:t> </w:t>
      </w:r>
      <w:r>
        <w:rPr/>
        <w:t>of</w:t>
      </w:r>
      <w:r>
        <w:rPr>
          <w:spacing w:val="-13"/>
        </w:rPr>
        <w:t> </w:t>
      </w:r>
      <w:r>
        <w:rPr/>
        <w:t>their </w:t>
      </w:r>
      <w:r>
        <w:rPr>
          <w:spacing w:val="-2"/>
        </w:rPr>
        <w:t>case.</w:t>
      </w:r>
    </w:p>
    <w:p>
      <w:pPr>
        <w:pStyle w:val="BodyText"/>
        <w:spacing w:before="6"/>
        <w:rPr>
          <w:sz w:val="21"/>
        </w:rPr>
      </w:pPr>
    </w:p>
    <w:p>
      <w:pPr>
        <w:pStyle w:val="BodyText"/>
        <w:spacing w:line="259" w:lineRule="auto"/>
        <w:ind w:left="1337" w:right="1472"/>
        <w:jc w:val="both"/>
      </w:pPr>
      <w:r>
        <w:rPr/>
        <w:t>Employer-side participants tended to be more satisfied with their case outcome: almost three quarters (73 per cent) were satisfied, as were six in ten of those on the claimant side (62 per cent). Dissatisfaction was higher among claimants (30 per cent versus 15 per cent) too – although both audiences are satisfied overall. These levels of satisfaction remained consistent with 2016 (76 and 62 per cent </w:t>
      </w:r>
      <w:r>
        <w:rPr>
          <w:spacing w:val="-2"/>
        </w:rPr>
        <w:t>respectively).</w:t>
      </w:r>
    </w:p>
    <w:p>
      <w:pPr>
        <w:pStyle w:val="BodyText"/>
        <w:spacing w:before="5"/>
        <w:rPr>
          <w:sz w:val="21"/>
        </w:rPr>
      </w:pPr>
    </w:p>
    <w:p>
      <w:pPr>
        <w:pStyle w:val="BodyText"/>
        <w:spacing w:line="259" w:lineRule="auto"/>
        <w:ind w:left="1337" w:right="1474"/>
        <w:jc w:val="both"/>
      </w:pPr>
      <w:r>
        <w:rPr/>
        <w:t>As might be expected, and mirroring trends observed in 2016, satisfaction varied across subgroups:</w:t>
      </w:r>
    </w:p>
    <w:p>
      <w:pPr>
        <w:pStyle w:val="ListParagraph"/>
        <w:numPr>
          <w:ilvl w:val="0"/>
          <w:numId w:val="47"/>
        </w:numPr>
        <w:tabs>
          <w:tab w:pos="2192" w:val="left" w:leader="none"/>
        </w:tabs>
        <w:spacing w:line="259" w:lineRule="auto" w:before="0" w:after="0"/>
        <w:ind w:left="2191" w:right="1472" w:hanging="360"/>
        <w:jc w:val="both"/>
        <w:rPr>
          <w:sz w:val="20"/>
        </w:rPr>
      </w:pPr>
      <w:r>
        <w:rPr>
          <w:sz w:val="20"/>
        </w:rPr>
        <w:t>Claimant</w:t>
      </w:r>
      <w:r>
        <w:rPr>
          <w:spacing w:val="-9"/>
          <w:sz w:val="20"/>
        </w:rPr>
        <w:t> </w:t>
      </w:r>
      <w:r>
        <w:rPr>
          <w:sz w:val="20"/>
        </w:rPr>
        <w:t>and</w:t>
      </w:r>
      <w:r>
        <w:rPr>
          <w:spacing w:val="-9"/>
          <w:sz w:val="20"/>
        </w:rPr>
        <w:t> </w:t>
      </w:r>
      <w:r>
        <w:rPr>
          <w:sz w:val="20"/>
        </w:rPr>
        <w:t>employer</w:t>
      </w:r>
      <w:r>
        <w:rPr>
          <w:spacing w:val="-8"/>
          <w:sz w:val="20"/>
        </w:rPr>
        <w:t> </w:t>
      </w:r>
      <w:r>
        <w:rPr>
          <w:sz w:val="20"/>
        </w:rPr>
        <w:t>representatives</w:t>
      </w:r>
      <w:r>
        <w:rPr>
          <w:spacing w:val="-9"/>
          <w:sz w:val="20"/>
        </w:rPr>
        <w:t> </w:t>
      </w:r>
      <w:r>
        <w:rPr>
          <w:sz w:val="20"/>
        </w:rPr>
        <w:t>were</w:t>
      </w:r>
      <w:r>
        <w:rPr>
          <w:spacing w:val="-9"/>
          <w:sz w:val="20"/>
        </w:rPr>
        <w:t> </w:t>
      </w:r>
      <w:r>
        <w:rPr>
          <w:sz w:val="20"/>
        </w:rPr>
        <w:t>significantly</w:t>
      </w:r>
      <w:r>
        <w:rPr>
          <w:spacing w:val="-9"/>
          <w:sz w:val="20"/>
        </w:rPr>
        <w:t> </w:t>
      </w:r>
      <w:r>
        <w:rPr>
          <w:sz w:val="20"/>
        </w:rPr>
        <w:t>more</w:t>
      </w:r>
      <w:r>
        <w:rPr>
          <w:spacing w:val="-9"/>
          <w:sz w:val="20"/>
        </w:rPr>
        <w:t> </w:t>
      </w:r>
      <w:r>
        <w:rPr>
          <w:sz w:val="20"/>
        </w:rPr>
        <w:t>likely</w:t>
      </w:r>
      <w:r>
        <w:rPr>
          <w:spacing w:val="-9"/>
          <w:sz w:val="20"/>
        </w:rPr>
        <w:t> </w:t>
      </w:r>
      <w:r>
        <w:rPr>
          <w:sz w:val="20"/>
        </w:rPr>
        <w:t>than the parties they represented to report that they were satisfied with the outcome of the case (78 per cent and 84 per cent reported this to have been the case, versus 52 per cent and 56 per cent of claimants and employers respectively).</w:t>
      </w:r>
    </w:p>
    <w:p>
      <w:pPr>
        <w:pStyle w:val="ListParagraph"/>
        <w:numPr>
          <w:ilvl w:val="0"/>
          <w:numId w:val="47"/>
        </w:numPr>
        <w:tabs>
          <w:tab w:pos="2192" w:val="left" w:leader="none"/>
        </w:tabs>
        <w:spacing w:line="259" w:lineRule="auto" w:before="0" w:after="0"/>
        <w:ind w:left="2191" w:right="1472" w:hanging="360"/>
        <w:jc w:val="both"/>
        <w:rPr>
          <w:sz w:val="20"/>
        </w:rPr>
      </w:pPr>
      <w:r>
        <w:rPr>
          <w:sz w:val="20"/>
        </w:rPr>
        <w:t>Perhaps unsurprisingly, claimant-side participants involved in cases that had</w:t>
      </w:r>
      <w:r>
        <w:rPr>
          <w:spacing w:val="-10"/>
          <w:sz w:val="20"/>
        </w:rPr>
        <w:t> </w:t>
      </w:r>
      <w:r>
        <w:rPr>
          <w:sz w:val="20"/>
        </w:rPr>
        <w:t>been</w:t>
      </w:r>
      <w:r>
        <w:rPr>
          <w:spacing w:val="-10"/>
          <w:sz w:val="20"/>
        </w:rPr>
        <w:t> </w:t>
      </w:r>
      <w:r>
        <w:rPr>
          <w:sz w:val="20"/>
        </w:rPr>
        <w:t>settled</w:t>
      </w:r>
      <w:r>
        <w:rPr>
          <w:spacing w:val="-10"/>
          <w:sz w:val="20"/>
        </w:rPr>
        <w:t> </w:t>
      </w:r>
      <w:r>
        <w:rPr>
          <w:sz w:val="20"/>
        </w:rPr>
        <w:t>were</w:t>
      </w:r>
      <w:r>
        <w:rPr>
          <w:spacing w:val="-11"/>
          <w:sz w:val="20"/>
        </w:rPr>
        <w:t> </w:t>
      </w:r>
      <w:r>
        <w:rPr>
          <w:sz w:val="20"/>
        </w:rPr>
        <w:t>more</w:t>
      </w:r>
      <w:r>
        <w:rPr>
          <w:spacing w:val="-11"/>
          <w:sz w:val="20"/>
        </w:rPr>
        <w:t> </w:t>
      </w:r>
      <w:r>
        <w:rPr>
          <w:sz w:val="20"/>
        </w:rPr>
        <w:t>likely</w:t>
      </w:r>
      <w:r>
        <w:rPr>
          <w:spacing w:val="-10"/>
          <w:sz w:val="20"/>
        </w:rPr>
        <w:t> </w:t>
      </w:r>
      <w:r>
        <w:rPr>
          <w:sz w:val="20"/>
        </w:rPr>
        <w:t>to</w:t>
      </w:r>
      <w:r>
        <w:rPr>
          <w:spacing w:val="-11"/>
          <w:sz w:val="20"/>
        </w:rPr>
        <w:t> </w:t>
      </w:r>
      <w:r>
        <w:rPr>
          <w:sz w:val="20"/>
        </w:rPr>
        <w:t>report</w:t>
      </w:r>
      <w:r>
        <w:rPr>
          <w:spacing w:val="-10"/>
          <w:sz w:val="20"/>
        </w:rPr>
        <w:t> </w:t>
      </w:r>
      <w:r>
        <w:rPr>
          <w:sz w:val="20"/>
        </w:rPr>
        <w:t>satisfaction</w:t>
      </w:r>
      <w:r>
        <w:rPr>
          <w:spacing w:val="-10"/>
          <w:sz w:val="20"/>
        </w:rPr>
        <w:t> </w:t>
      </w:r>
      <w:r>
        <w:rPr>
          <w:sz w:val="20"/>
        </w:rPr>
        <w:t>with</w:t>
      </w:r>
      <w:r>
        <w:rPr>
          <w:spacing w:val="-10"/>
          <w:sz w:val="20"/>
        </w:rPr>
        <w:t> </w:t>
      </w:r>
      <w:r>
        <w:rPr>
          <w:sz w:val="20"/>
        </w:rPr>
        <w:t>case</w:t>
      </w:r>
      <w:r>
        <w:rPr>
          <w:spacing w:val="-11"/>
          <w:sz w:val="20"/>
        </w:rPr>
        <w:t> </w:t>
      </w:r>
      <w:r>
        <w:rPr>
          <w:sz w:val="20"/>
        </w:rPr>
        <w:t>outcome –</w:t>
      </w:r>
      <w:r>
        <w:rPr>
          <w:spacing w:val="-1"/>
          <w:sz w:val="20"/>
        </w:rPr>
        <w:t> </w:t>
      </w:r>
      <w:r>
        <w:rPr>
          <w:sz w:val="20"/>
        </w:rPr>
        <w:t>82</w:t>
      </w:r>
      <w:r>
        <w:rPr>
          <w:spacing w:val="-2"/>
          <w:sz w:val="20"/>
        </w:rPr>
        <w:t> </w:t>
      </w:r>
      <w:r>
        <w:rPr>
          <w:sz w:val="20"/>
        </w:rPr>
        <w:t>per</w:t>
      </w:r>
      <w:r>
        <w:rPr>
          <w:spacing w:val="-2"/>
          <w:sz w:val="20"/>
        </w:rPr>
        <w:t> </w:t>
      </w:r>
      <w:r>
        <w:rPr>
          <w:sz w:val="20"/>
        </w:rPr>
        <w:t>cent</w:t>
      </w:r>
      <w:r>
        <w:rPr>
          <w:spacing w:val="-2"/>
          <w:sz w:val="20"/>
        </w:rPr>
        <w:t> </w:t>
      </w:r>
      <w:r>
        <w:rPr>
          <w:sz w:val="20"/>
        </w:rPr>
        <w:t>compared</w:t>
      </w:r>
      <w:r>
        <w:rPr>
          <w:spacing w:val="-1"/>
          <w:sz w:val="20"/>
        </w:rPr>
        <w:t> </w:t>
      </w:r>
      <w:r>
        <w:rPr>
          <w:sz w:val="20"/>
        </w:rPr>
        <w:t>to</w:t>
      </w:r>
      <w:r>
        <w:rPr>
          <w:spacing w:val="-2"/>
          <w:sz w:val="20"/>
        </w:rPr>
        <w:t> </w:t>
      </w:r>
      <w:r>
        <w:rPr>
          <w:sz w:val="20"/>
        </w:rPr>
        <w:t>39</w:t>
      </w:r>
      <w:r>
        <w:rPr>
          <w:spacing w:val="-2"/>
          <w:sz w:val="20"/>
        </w:rPr>
        <w:t> </w:t>
      </w:r>
      <w:r>
        <w:rPr>
          <w:sz w:val="20"/>
        </w:rPr>
        <w:t>per</w:t>
      </w:r>
      <w:r>
        <w:rPr>
          <w:spacing w:val="-2"/>
          <w:sz w:val="20"/>
        </w:rPr>
        <w:t> </w:t>
      </w:r>
      <w:r>
        <w:rPr>
          <w:sz w:val="20"/>
        </w:rPr>
        <w:t>cent</w:t>
      </w:r>
      <w:r>
        <w:rPr>
          <w:spacing w:val="-2"/>
          <w:sz w:val="20"/>
        </w:rPr>
        <w:t> </w:t>
      </w:r>
      <w:r>
        <w:rPr>
          <w:sz w:val="20"/>
        </w:rPr>
        <w:t>of</w:t>
      </w:r>
      <w:r>
        <w:rPr>
          <w:spacing w:val="-2"/>
          <w:sz w:val="20"/>
        </w:rPr>
        <w:t> </w:t>
      </w:r>
      <w:r>
        <w:rPr>
          <w:sz w:val="20"/>
        </w:rPr>
        <w:t>those</w:t>
      </w:r>
      <w:r>
        <w:rPr>
          <w:spacing w:val="-2"/>
          <w:sz w:val="20"/>
        </w:rPr>
        <w:t> </w:t>
      </w:r>
      <w:r>
        <w:rPr>
          <w:sz w:val="20"/>
        </w:rPr>
        <w:t>involved</w:t>
      </w:r>
      <w:r>
        <w:rPr>
          <w:spacing w:val="-1"/>
          <w:sz w:val="20"/>
        </w:rPr>
        <w:t> </w:t>
      </w:r>
      <w:r>
        <w:rPr>
          <w:sz w:val="20"/>
        </w:rPr>
        <w:t>in</w:t>
      </w:r>
      <w:r>
        <w:rPr>
          <w:spacing w:val="-2"/>
          <w:sz w:val="20"/>
        </w:rPr>
        <w:t> </w:t>
      </w:r>
      <w:r>
        <w:rPr>
          <w:sz w:val="20"/>
        </w:rPr>
        <w:t>cases</w:t>
      </w:r>
      <w:r>
        <w:rPr>
          <w:spacing w:val="-2"/>
          <w:sz w:val="20"/>
        </w:rPr>
        <w:t> </w:t>
      </w:r>
      <w:r>
        <w:rPr>
          <w:sz w:val="20"/>
        </w:rPr>
        <w:t>where</w:t>
      </w:r>
      <w:r>
        <w:rPr>
          <w:spacing w:val="-1"/>
          <w:sz w:val="20"/>
        </w:rPr>
        <w:t> </w:t>
      </w:r>
      <w:r>
        <w:rPr>
          <w:sz w:val="20"/>
        </w:rPr>
        <w:t>a settlement had not been reached. Interestingly there was no difference among employer-side participants in terms of overall satisfaction (73 per cent for</w:t>
      </w:r>
      <w:r>
        <w:rPr>
          <w:spacing w:val="-1"/>
          <w:sz w:val="20"/>
        </w:rPr>
        <w:t> </w:t>
      </w:r>
      <w:r>
        <w:rPr>
          <w:sz w:val="20"/>
        </w:rPr>
        <w:t>both groups).</w:t>
      </w:r>
      <w:r>
        <w:rPr>
          <w:spacing w:val="-1"/>
          <w:sz w:val="20"/>
        </w:rPr>
        <w:t> </w:t>
      </w:r>
      <w:r>
        <w:rPr>
          <w:sz w:val="20"/>
        </w:rPr>
        <w:t>This</w:t>
      </w:r>
      <w:r>
        <w:rPr>
          <w:spacing w:val="-1"/>
          <w:sz w:val="20"/>
        </w:rPr>
        <w:t> </w:t>
      </w:r>
      <w:r>
        <w:rPr>
          <w:sz w:val="20"/>
        </w:rPr>
        <w:t>pattern</w:t>
      </w:r>
      <w:r>
        <w:rPr>
          <w:spacing w:val="-1"/>
          <w:sz w:val="20"/>
        </w:rPr>
        <w:t> </w:t>
      </w:r>
      <w:r>
        <w:rPr>
          <w:sz w:val="20"/>
        </w:rPr>
        <w:t>mirrors</w:t>
      </w:r>
      <w:r>
        <w:rPr>
          <w:spacing w:val="-1"/>
          <w:sz w:val="20"/>
        </w:rPr>
        <w:t> </w:t>
      </w:r>
      <w:r>
        <w:rPr>
          <w:sz w:val="20"/>
        </w:rPr>
        <w:t>the same</w:t>
      </w:r>
      <w:r>
        <w:rPr>
          <w:spacing w:val="-1"/>
          <w:sz w:val="20"/>
        </w:rPr>
        <w:t> </w:t>
      </w:r>
      <w:r>
        <w:rPr>
          <w:sz w:val="20"/>
        </w:rPr>
        <w:t>pattern witnessed</w:t>
      </w:r>
      <w:r>
        <w:rPr>
          <w:spacing w:val="-1"/>
          <w:sz w:val="20"/>
        </w:rPr>
        <w:t> </w:t>
      </w:r>
      <w:r>
        <w:rPr>
          <w:sz w:val="20"/>
        </w:rPr>
        <w:t>in 2016, suggesting employer satisfaction with the outcome of the case is less linked to settlement than it is for claimants.</w:t>
      </w:r>
    </w:p>
    <w:p>
      <w:pPr>
        <w:pStyle w:val="ListParagraph"/>
        <w:numPr>
          <w:ilvl w:val="0"/>
          <w:numId w:val="47"/>
        </w:numPr>
        <w:tabs>
          <w:tab w:pos="2192" w:val="left" w:leader="none"/>
        </w:tabs>
        <w:spacing w:line="256" w:lineRule="auto" w:before="0" w:after="0"/>
        <w:ind w:left="2191" w:right="1474" w:hanging="360"/>
        <w:jc w:val="both"/>
        <w:rPr>
          <w:sz w:val="20"/>
        </w:rPr>
      </w:pPr>
      <w:r>
        <w:rPr>
          <w:sz w:val="20"/>
        </w:rPr>
        <w:t>Employer-side participants involved in open or standard track disputes were</w:t>
      </w:r>
      <w:r>
        <w:rPr>
          <w:spacing w:val="-2"/>
          <w:sz w:val="20"/>
        </w:rPr>
        <w:t> </w:t>
      </w:r>
      <w:r>
        <w:rPr>
          <w:sz w:val="20"/>
        </w:rPr>
        <w:t>significantly</w:t>
      </w:r>
      <w:r>
        <w:rPr>
          <w:spacing w:val="-2"/>
          <w:sz w:val="20"/>
        </w:rPr>
        <w:t> </w:t>
      </w:r>
      <w:r>
        <w:rPr>
          <w:sz w:val="20"/>
        </w:rPr>
        <w:t>more</w:t>
      </w:r>
      <w:r>
        <w:rPr>
          <w:spacing w:val="-2"/>
          <w:sz w:val="20"/>
        </w:rPr>
        <w:t> </w:t>
      </w:r>
      <w:r>
        <w:rPr>
          <w:sz w:val="20"/>
        </w:rPr>
        <w:t>likely</w:t>
      </w:r>
      <w:r>
        <w:rPr>
          <w:spacing w:val="-2"/>
          <w:sz w:val="20"/>
        </w:rPr>
        <w:t> </w:t>
      </w:r>
      <w:r>
        <w:rPr>
          <w:sz w:val="20"/>
        </w:rPr>
        <w:t>than</w:t>
      </w:r>
      <w:r>
        <w:rPr>
          <w:spacing w:val="-2"/>
          <w:sz w:val="20"/>
        </w:rPr>
        <w:t> </w:t>
      </w:r>
      <w:r>
        <w:rPr>
          <w:sz w:val="20"/>
        </w:rPr>
        <w:t>those</w:t>
      </w:r>
      <w:r>
        <w:rPr>
          <w:spacing w:val="-2"/>
          <w:sz w:val="20"/>
        </w:rPr>
        <w:t> </w:t>
      </w:r>
      <w:r>
        <w:rPr>
          <w:sz w:val="20"/>
        </w:rPr>
        <w:t>involved</w:t>
      </w:r>
      <w:r>
        <w:rPr>
          <w:spacing w:val="-2"/>
          <w:sz w:val="20"/>
        </w:rPr>
        <w:t> </w:t>
      </w:r>
      <w:r>
        <w:rPr>
          <w:sz w:val="20"/>
        </w:rPr>
        <w:t>in</w:t>
      </w:r>
      <w:r>
        <w:rPr>
          <w:spacing w:val="-1"/>
          <w:sz w:val="20"/>
        </w:rPr>
        <w:t> </w:t>
      </w:r>
      <w:r>
        <w:rPr>
          <w:sz w:val="20"/>
        </w:rPr>
        <w:t>fast</w:t>
      </w:r>
      <w:r>
        <w:rPr>
          <w:spacing w:val="-2"/>
          <w:sz w:val="20"/>
        </w:rPr>
        <w:t> </w:t>
      </w:r>
      <w:r>
        <w:rPr>
          <w:sz w:val="20"/>
        </w:rPr>
        <w:t>track</w:t>
      </w:r>
      <w:r>
        <w:rPr>
          <w:spacing w:val="-1"/>
          <w:sz w:val="20"/>
        </w:rPr>
        <w:t> </w:t>
      </w:r>
      <w:r>
        <w:rPr>
          <w:sz w:val="20"/>
        </w:rPr>
        <w:t>disputes to report satisfaction with case outcome.</w:t>
      </w:r>
    </w:p>
    <w:p>
      <w:pPr>
        <w:spacing w:after="0" w:line="256" w:lineRule="auto"/>
        <w:jc w:val="both"/>
        <w:rPr>
          <w:sz w:val="20"/>
        </w:rPr>
        <w:sectPr>
          <w:pgSz w:w="11910" w:h="16840"/>
          <w:pgMar w:header="0" w:footer="996" w:top="1340" w:bottom="1180" w:left="460" w:right="320"/>
        </w:sectPr>
      </w:pPr>
    </w:p>
    <w:p>
      <w:pPr>
        <w:pStyle w:val="Heading2"/>
        <w:numPr>
          <w:ilvl w:val="0"/>
          <w:numId w:val="2"/>
        </w:numPr>
        <w:tabs>
          <w:tab w:pos="2058" w:val="left" w:leader="none"/>
        </w:tabs>
        <w:spacing w:line="240" w:lineRule="auto" w:before="82" w:after="0"/>
        <w:ind w:left="2057" w:right="0" w:hanging="721"/>
        <w:jc w:val="left"/>
      </w:pPr>
      <w:bookmarkStart w:name="17. IMPACT OF EC ON THE ET PROCESS" w:id="216"/>
      <w:bookmarkEnd w:id="216"/>
      <w:r>
        <w:rPr>
          <w:b w:val="0"/>
        </w:rPr>
      </w:r>
      <w:bookmarkStart w:name="_bookmark57" w:id="217"/>
      <w:bookmarkEnd w:id="217"/>
      <w:r>
        <w:rPr/>
        <w:t>I</w:t>
      </w:r>
      <w:r>
        <w:rPr/>
        <w:t>MPACT</w:t>
      </w:r>
      <w:r>
        <w:rPr>
          <w:spacing w:val="-7"/>
        </w:rPr>
        <w:t> </w:t>
      </w:r>
      <w:r>
        <w:rPr/>
        <w:t>OF</w:t>
      </w:r>
      <w:r>
        <w:rPr>
          <w:spacing w:val="-7"/>
        </w:rPr>
        <w:t> </w:t>
      </w:r>
      <w:r>
        <w:rPr/>
        <w:t>EC</w:t>
      </w:r>
      <w:r>
        <w:rPr>
          <w:spacing w:val="-6"/>
        </w:rPr>
        <w:t> </w:t>
      </w:r>
      <w:r>
        <w:rPr/>
        <w:t>ON</w:t>
      </w:r>
      <w:r>
        <w:rPr>
          <w:spacing w:val="-8"/>
        </w:rPr>
        <w:t> </w:t>
      </w:r>
      <w:r>
        <w:rPr/>
        <w:t>THE</w:t>
      </w:r>
      <w:r>
        <w:rPr>
          <w:spacing w:val="-6"/>
        </w:rPr>
        <w:t> </w:t>
      </w:r>
      <w:r>
        <w:rPr/>
        <w:t>ET</w:t>
      </w:r>
      <w:r>
        <w:rPr>
          <w:spacing w:val="-7"/>
        </w:rPr>
        <w:t> </w:t>
      </w:r>
      <w:r>
        <w:rPr>
          <w:spacing w:val="-2"/>
        </w:rPr>
        <w:t>PROCESS</w:t>
      </w:r>
    </w:p>
    <w:p>
      <w:pPr>
        <w:pStyle w:val="BodyText"/>
        <w:rPr>
          <w:b/>
          <w:sz w:val="34"/>
        </w:rPr>
      </w:pPr>
    </w:p>
    <w:p>
      <w:pPr>
        <w:pStyle w:val="BodyText"/>
        <w:spacing w:line="256" w:lineRule="auto" w:before="227"/>
        <w:ind w:left="1337" w:right="1473"/>
        <w:jc w:val="both"/>
      </w:pPr>
      <w:r>
        <w:rPr>
          <w:b/>
        </w:rPr>
        <w:t>Synopsis: </w:t>
      </w:r>
      <w:r>
        <w:rPr/>
        <w:t>This chapter examines the potential interactions and impacts of EC on the</w:t>
      </w:r>
      <w:r>
        <w:rPr>
          <w:spacing w:val="-7"/>
        </w:rPr>
        <w:t> </w:t>
      </w:r>
      <w:r>
        <w:rPr/>
        <w:t>ET</w:t>
      </w:r>
      <w:r>
        <w:rPr>
          <w:spacing w:val="-7"/>
        </w:rPr>
        <w:t> </w:t>
      </w:r>
      <w:r>
        <w:rPr/>
        <w:t>process,</w:t>
      </w:r>
      <w:r>
        <w:rPr>
          <w:spacing w:val="-7"/>
        </w:rPr>
        <w:t> </w:t>
      </w:r>
      <w:r>
        <w:rPr/>
        <w:t>and</w:t>
      </w:r>
      <w:r>
        <w:rPr>
          <w:spacing w:val="-8"/>
        </w:rPr>
        <w:t> </w:t>
      </w:r>
      <w:r>
        <w:rPr/>
        <w:t>looks</w:t>
      </w:r>
      <w:r>
        <w:rPr>
          <w:spacing w:val="-7"/>
        </w:rPr>
        <w:t> </w:t>
      </w:r>
      <w:r>
        <w:rPr/>
        <w:t>at</w:t>
      </w:r>
      <w:r>
        <w:rPr>
          <w:spacing w:val="-8"/>
        </w:rPr>
        <w:t> </w:t>
      </w:r>
      <w:r>
        <w:rPr/>
        <w:t>the</w:t>
      </w:r>
      <w:r>
        <w:rPr>
          <w:spacing w:val="-7"/>
        </w:rPr>
        <w:t> </w:t>
      </w:r>
      <w:r>
        <w:rPr/>
        <w:t>interplay</w:t>
      </w:r>
      <w:r>
        <w:rPr>
          <w:spacing w:val="-7"/>
        </w:rPr>
        <w:t> </w:t>
      </w:r>
      <w:r>
        <w:rPr/>
        <w:t>of</w:t>
      </w:r>
      <w:r>
        <w:rPr>
          <w:spacing w:val="-6"/>
        </w:rPr>
        <w:t> </w:t>
      </w:r>
      <w:r>
        <w:rPr/>
        <w:t>EC</w:t>
      </w:r>
      <w:r>
        <w:rPr>
          <w:spacing w:val="-8"/>
        </w:rPr>
        <w:t> </w:t>
      </w:r>
      <w:r>
        <w:rPr/>
        <w:t>with</w:t>
      </w:r>
      <w:r>
        <w:rPr>
          <w:spacing w:val="-8"/>
        </w:rPr>
        <w:t> </w:t>
      </w:r>
      <w:r>
        <w:rPr/>
        <w:t>the</w:t>
      </w:r>
      <w:r>
        <w:rPr>
          <w:spacing w:val="-7"/>
        </w:rPr>
        <w:t> </w:t>
      </w:r>
      <w:r>
        <w:rPr/>
        <w:t>subsequent</w:t>
      </w:r>
      <w:r>
        <w:rPr>
          <w:spacing w:val="-8"/>
        </w:rPr>
        <w:t> </w:t>
      </w:r>
      <w:r>
        <w:rPr/>
        <w:t>stage</w:t>
      </w:r>
      <w:r>
        <w:rPr>
          <w:spacing w:val="-7"/>
        </w:rPr>
        <w:t> </w:t>
      </w:r>
      <w:r>
        <w:rPr/>
        <w:t>of</w:t>
      </w:r>
      <w:r>
        <w:rPr>
          <w:spacing w:val="-6"/>
        </w:rPr>
        <w:t> </w:t>
      </w:r>
      <w:r>
        <w:rPr/>
        <w:t>post- ET1 conciliation.</w:t>
      </w:r>
    </w:p>
    <w:p>
      <w:pPr>
        <w:pStyle w:val="BodyText"/>
      </w:pPr>
    </w:p>
    <w:p>
      <w:pPr>
        <w:pStyle w:val="BodyText"/>
        <w:spacing w:before="5"/>
        <w:rPr>
          <w:sz w:val="22"/>
        </w:rPr>
      </w:pPr>
    </w:p>
    <w:p>
      <w:pPr>
        <w:pStyle w:val="Heading3"/>
        <w:ind w:left="1445"/>
        <w:jc w:val="left"/>
      </w:pPr>
      <w:r>
        <w:rPr/>
        <w:pict>
          <v:group style="position:absolute;margin-left:84.660004pt;margin-top:-13.64627pt;width:438.35pt;height:391.95pt;mso-position-horizontal-relative:page;mso-position-vertical-relative:paragraph;z-index:-18056704" id="docshapegroup407" coordorigin="1693,-273" coordsize="8767,7839">
            <v:rect style="position:absolute;left:1722;top:-243;width:8708;height:7779" id="docshape408" filled="true" fillcolor="#f1f1f1" stroked="false">
              <v:fill type="solid"/>
            </v:rect>
            <v:shape style="position:absolute;left:1693;top:-273;width:8738;height:30" id="docshape409" coordorigin="1693,-273" coordsize="8738,30" path="m10430,-254l1722,-254,1722,-254,1712,-254,1712,-254,1712,-244,1712,-243,1722,-243,1722,-244,10430,-244,10430,-254xm10430,-273l1722,-273,1693,-273,1693,-273,1693,-263,1693,-243,1703,-243,1703,-263,1722,-263,10430,-263,10430,-273xe" filled="true" fillcolor="#000000" stroked="false">
              <v:path arrowok="t"/>
              <v:fill type="solid"/>
            </v:shape>
            <v:rect style="position:absolute;left:1722;top:-245;width:8709;height:2" id="docshape410" filled="true" fillcolor="#f1f1f1" stroked="false">
              <v:fill type="solid"/>
            </v:rect>
            <v:shape style="position:absolute;left:10430;top:-273;width:29;height:30" id="docshape411" coordorigin="10430,-273" coordsize="29,30" path="m10440,-254l10430,-254,10430,-254,10430,-244,10430,-243,10440,-243,10440,-244,10440,-254,10440,-254xm10459,-273l10459,-273,10459,-273,10430,-273,10430,-263,10450,-263,10450,-243,10459,-243,10459,-273xe" filled="true" fillcolor="#000000" stroked="false">
              <v:path arrowok="t"/>
              <v:fill type="solid"/>
            </v:shape>
            <v:rect style="position:absolute;left:1707;top:7535;width:8738;height:2" id="docshape412" filled="true" fillcolor="#f1f1f1" stroked="false">
              <v:fill type="solid"/>
            </v:rect>
            <v:shape style="position:absolute;left:1693;top:-243;width:8767;height:7809" id="docshape413" coordorigin="1693,-243" coordsize="8767,7809" path="m10440,-243l10430,-243,10430,7537,1722,7537,1722,-243,1712,-243,1712,7537,1712,7537,1712,7546,1722,7546,1722,7546,10430,7546,10440,7546,10440,7537,10440,7537,10440,-243xm10459,-243l10450,-243,10450,7537,10450,7556,10430,7556,1722,7556,1703,7556,1703,7537,1703,-243,1693,-243,1693,7537,1693,7556,1693,7565,1703,7565,1722,7565,10430,7565,10450,7565,10459,7565,10459,7565,10459,7537,10459,-243xe" filled="true" fillcolor="#000000" stroked="false">
              <v:path arrowok="t"/>
              <v:fill type="solid"/>
            </v:shape>
            <w10:wrap type="none"/>
          </v:group>
        </w:pict>
      </w:r>
      <w:r>
        <w:rPr/>
        <w:t>Key</w:t>
      </w:r>
      <w:r>
        <w:rPr>
          <w:spacing w:val="-2"/>
        </w:rPr>
        <w:t> </w:t>
      </w:r>
      <w:r>
        <w:rPr/>
        <w:t>trends</w:t>
      </w:r>
      <w:r>
        <w:rPr>
          <w:spacing w:val="-3"/>
        </w:rPr>
        <w:t> </w:t>
      </w:r>
      <w:r>
        <w:rPr/>
        <w:t>at</w:t>
      </w:r>
      <w:r>
        <w:rPr>
          <w:spacing w:val="-2"/>
        </w:rPr>
        <w:t> </w:t>
      </w:r>
      <w:r>
        <w:rPr/>
        <w:t>a</w:t>
      </w:r>
      <w:r>
        <w:rPr>
          <w:spacing w:val="-2"/>
        </w:rPr>
        <w:t> glance</w:t>
      </w:r>
    </w:p>
    <w:p>
      <w:pPr>
        <w:pStyle w:val="BodyText"/>
        <w:rPr>
          <w:b/>
        </w:rPr>
      </w:pPr>
    </w:p>
    <w:p>
      <w:pPr>
        <w:pStyle w:val="ListParagraph"/>
        <w:numPr>
          <w:ilvl w:val="0"/>
          <w:numId w:val="48"/>
        </w:numPr>
        <w:tabs>
          <w:tab w:pos="2076" w:val="left" w:leader="none"/>
        </w:tabs>
        <w:spacing w:line="240" w:lineRule="auto" w:before="0" w:after="0"/>
        <w:ind w:left="2075" w:right="1246" w:hanging="360"/>
        <w:jc w:val="both"/>
        <w:rPr>
          <w:sz w:val="20"/>
        </w:rPr>
      </w:pPr>
      <w:r>
        <w:rPr>
          <w:sz w:val="20"/>
        </w:rPr>
        <w:t>As in 2016, previous participation in EC continues to have a positive association with uptake</w:t>
      </w:r>
      <w:r>
        <w:rPr>
          <w:spacing w:val="-1"/>
          <w:sz w:val="20"/>
        </w:rPr>
        <w:t> </w:t>
      </w:r>
      <w:r>
        <w:rPr>
          <w:sz w:val="20"/>
        </w:rPr>
        <w:t>of post-ET1 conciliation. Claimant and employer-side participants</w:t>
      </w:r>
      <w:r>
        <w:rPr>
          <w:spacing w:val="-18"/>
          <w:sz w:val="20"/>
        </w:rPr>
        <w:t> </w:t>
      </w:r>
      <w:r>
        <w:rPr>
          <w:sz w:val="20"/>
        </w:rPr>
        <w:t>who</w:t>
      </w:r>
      <w:r>
        <w:rPr>
          <w:spacing w:val="-18"/>
          <w:sz w:val="20"/>
        </w:rPr>
        <w:t> </w:t>
      </w:r>
      <w:r>
        <w:rPr>
          <w:sz w:val="20"/>
        </w:rPr>
        <w:t>had</w:t>
      </w:r>
      <w:r>
        <w:rPr>
          <w:spacing w:val="-17"/>
          <w:sz w:val="20"/>
        </w:rPr>
        <w:t> </w:t>
      </w:r>
      <w:r>
        <w:rPr>
          <w:sz w:val="20"/>
        </w:rPr>
        <w:t>already</w:t>
      </w:r>
      <w:r>
        <w:rPr>
          <w:spacing w:val="-18"/>
          <w:sz w:val="20"/>
        </w:rPr>
        <w:t> </w:t>
      </w:r>
      <w:r>
        <w:rPr>
          <w:sz w:val="20"/>
        </w:rPr>
        <w:t>taken</w:t>
      </w:r>
      <w:r>
        <w:rPr>
          <w:spacing w:val="-17"/>
          <w:sz w:val="20"/>
        </w:rPr>
        <w:t> </w:t>
      </w:r>
      <w:r>
        <w:rPr>
          <w:sz w:val="20"/>
        </w:rPr>
        <w:t>part</w:t>
      </w:r>
      <w:r>
        <w:rPr>
          <w:spacing w:val="-18"/>
          <w:sz w:val="20"/>
        </w:rPr>
        <w:t> </w:t>
      </w:r>
      <w:r>
        <w:rPr>
          <w:sz w:val="20"/>
        </w:rPr>
        <w:t>in</w:t>
      </w:r>
      <w:r>
        <w:rPr>
          <w:spacing w:val="-18"/>
          <w:sz w:val="20"/>
        </w:rPr>
        <w:t> </w:t>
      </w:r>
      <w:r>
        <w:rPr>
          <w:sz w:val="20"/>
        </w:rPr>
        <w:t>EC</w:t>
      </w:r>
      <w:r>
        <w:rPr>
          <w:spacing w:val="-17"/>
          <w:sz w:val="20"/>
        </w:rPr>
        <w:t> </w:t>
      </w:r>
      <w:r>
        <w:rPr>
          <w:sz w:val="20"/>
        </w:rPr>
        <w:t>were</w:t>
      </w:r>
      <w:r>
        <w:rPr>
          <w:spacing w:val="-18"/>
          <w:sz w:val="20"/>
        </w:rPr>
        <w:t> </w:t>
      </w:r>
      <w:r>
        <w:rPr>
          <w:sz w:val="20"/>
        </w:rPr>
        <w:t>more</w:t>
      </w:r>
      <w:r>
        <w:rPr>
          <w:spacing w:val="-17"/>
          <w:sz w:val="20"/>
        </w:rPr>
        <w:t> </w:t>
      </w:r>
      <w:r>
        <w:rPr>
          <w:sz w:val="20"/>
        </w:rPr>
        <w:t>likely</w:t>
      </w:r>
      <w:r>
        <w:rPr>
          <w:spacing w:val="-18"/>
          <w:sz w:val="20"/>
        </w:rPr>
        <w:t> </w:t>
      </w:r>
      <w:r>
        <w:rPr>
          <w:sz w:val="20"/>
        </w:rPr>
        <w:t>to</w:t>
      </w:r>
      <w:r>
        <w:rPr>
          <w:spacing w:val="-17"/>
          <w:sz w:val="20"/>
        </w:rPr>
        <w:t> </w:t>
      </w:r>
      <w:r>
        <w:rPr>
          <w:sz w:val="20"/>
        </w:rPr>
        <w:t>report</w:t>
      </w:r>
      <w:r>
        <w:rPr>
          <w:spacing w:val="-18"/>
          <w:sz w:val="20"/>
        </w:rPr>
        <w:t> </w:t>
      </w:r>
      <w:r>
        <w:rPr>
          <w:sz w:val="20"/>
        </w:rPr>
        <w:t>taking part in post-ET1 conciliation compared to those who had not.</w:t>
      </w:r>
    </w:p>
    <w:p>
      <w:pPr>
        <w:pStyle w:val="ListParagraph"/>
        <w:numPr>
          <w:ilvl w:val="0"/>
          <w:numId w:val="48"/>
        </w:numPr>
        <w:tabs>
          <w:tab w:pos="2076" w:val="left" w:leader="none"/>
        </w:tabs>
        <w:spacing w:line="240" w:lineRule="auto" w:before="0" w:after="0"/>
        <w:ind w:left="2075" w:right="1246" w:hanging="360"/>
        <w:jc w:val="both"/>
        <w:rPr>
          <w:sz w:val="20"/>
        </w:rPr>
      </w:pPr>
      <w:r>
        <w:rPr>
          <w:sz w:val="20"/>
        </w:rPr>
        <w:t>The</w:t>
      </w:r>
      <w:r>
        <w:rPr>
          <w:spacing w:val="-13"/>
          <w:sz w:val="20"/>
        </w:rPr>
        <w:t> </w:t>
      </w:r>
      <w:r>
        <w:rPr>
          <w:sz w:val="20"/>
        </w:rPr>
        <w:t>majority</w:t>
      </w:r>
      <w:r>
        <w:rPr>
          <w:spacing w:val="-12"/>
          <w:sz w:val="20"/>
        </w:rPr>
        <w:t> </w:t>
      </w:r>
      <w:r>
        <w:rPr>
          <w:sz w:val="20"/>
        </w:rPr>
        <w:t>of</w:t>
      </w:r>
      <w:r>
        <w:rPr>
          <w:spacing w:val="-12"/>
          <w:sz w:val="20"/>
        </w:rPr>
        <w:t> </w:t>
      </w:r>
      <w:r>
        <w:rPr>
          <w:sz w:val="20"/>
        </w:rPr>
        <w:t>claimant</w:t>
      </w:r>
      <w:r>
        <w:rPr>
          <w:spacing w:val="-12"/>
          <w:sz w:val="20"/>
        </w:rPr>
        <w:t> </w:t>
      </w:r>
      <w:r>
        <w:rPr>
          <w:sz w:val="20"/>
        </w:rPr>
        <w:t>and</w:t>
      </w:r>
      <w:r>
        <w:rPr>
          <w:spacing w:val="-13"/>
          <w:sz w:val="20"/>
        </w:rPr>
        <w:t> </w:t>
      </w:r>
      <w:r>
        <w:rPr>
          <w:sz w:val="20"/>
        </w:rPr>
        <w:t>employer-side</w:t>
      </w:r>
      <w:r>
        <w:rPr>
          <w:spacing w:val="-13"/>
          <w:sz w:val="20"/>
        </w:rPr>
        <w:t> </w:t>
      </w:r>
      <w:r>
        <w:rPr>
          <w:sz w:val="20"/>
        </w:rPr>
        <w:t>participants</w:t>
      </w:r>
      <w:r>
        <w:rPr>
          <w:spacing w:val="-13"/>
          <w:sz w:val="20"/>
        </w:rPr>
        <w:t> </w:t>
      </w:r>
      <w:r>
        <w:rPr>
          <w:sz w:val="20"/>
        </w:rPr>
        <w:t>who</w:t>
      </w:r>
      <w:r>
        <w:rPr>
          <w:spacing w:val="-13"/>
          <w:sz w:val="20"/>
        </w:rPr>
        <w:t> </w:t>
      </w:r>
      <w:r>
        <w:rPr>
          <w:sz w:val="20"/>
        </w:rPr>
        <w:t>took</w:t>
      </w:r>
      <w:r>
        <w:rPr>
          <w:spacing w:val="-12"/>
          <w:sz w:val="20"/>
        </w:rPr>
        <w:t> </w:t>
      </w:r>
      <w:r>
        <w:rPr>
          <w:sz w:val="20"/>
        </w:rPr>
        <w:t>part</w:t>
      </w:r>
      <w:r>
        <w:rPr>
          <w:spacing w:val="-12"/>
          <w:sz w:val="20"/>
        </w:rPr>
        <w:t> </w:t>
      </w:r>
      <w:r>
        <w:rPr>
          <w:sz w:val="20"/>
        </w:rPr>
        <w:t>in</w:t>
      </w:r>
      <w:r>
        <w:rPr>
          <w:spacing w:val="-13"/>
          <w:sz w:val="20"/>
        </w:rPr>
        <w:t> </w:t>
      </w:r>
      <w:r>
        <w:rPr>
          <w:i/>
          <w:sz w:val="20"/>
        </w:rPr>
        <w:t>both</w:t>
      </w:r>
      <w:r>
        <w:rPr>
          <w:i/>
          <w:sz w:val="20"/>
        </w:rPr>
        <w:t> </w:t>
      </w:r>
      <w:r>
        <w:rPr>
          <w:sz w:val="20"/>
        </w:rPr>
        <w:t>EC</w:t>
      </w:r>
      <w:r>
        <w:rPr>
          <w:spacing w:val="-2"/>
          <w:sz w:val="20"/>
        </w:rPr>
        <w:t> </w:t>
      </w:r>
      <w:r>
        <w:rPr>
          <w:sz w:val="20"/>
        </w:rPr>
        <w:t>and</w:t>
      </w:r>
      <w:r>
        <w:rPr>
          <w:spacing w:val="-3"/>
          <w:sz w:val="20"/>
        </w:rPr>
        <w:t> </w:t>
      </w:r>
      <w:r>
        <w:rPr>
          <w:sz w:val="20"/>
        </w:rPr>
        <w:t>had</w:t>
      </w:r>
      <w:r>
        <w:rPr>
          <w:spacing w:val="-3"/>
          <w:sz w:val="20"/>
        </w:rPr>
        <w:t> </w:t>
      </w:r>
      <w:r>
        <w:rPr>
          <w:sz w:val="20"/>
        </w:rPr>
        <w:t>contact</w:t>
      </w:r>
      <w:r>
        <w:rPr>
          <w:spacing w:val="-3"/>
          <w:sz w:val="20"/>
        </w:rPr>
        <w:t> </w:t>
      </w:r>
      <w:r>
        <w:rPr>
          <w:sz w:val="20"/>
        </w:rPr>
        <w:t>with</w:t>
      </w:r>
      <w:r>
        <w:rPr>
          <w:spacing w:val="-2"/>
          <w:sz w:val="20"/>
        </w:rPr>
        <w:t> </w:t>
      </w:r>
      <w:r>
        <w:rPr>
          <w:sz w:val="20"/>
        </w:rPr>
        <w:t>a</w:t>
      </w:r>
      <w:r>
        <w:rPr>
          <w:spacing w:val="-2"/>
          <w:sz w:val="20"/>
        </w:rPr>
        <w:t> </w:t>
      </w:r>
      <w:r>
        <w:rPr>
          <w:sz w:val="20"/>
        </w:rPr>
        <w:t>conciliator</w:t>
      </w:r>
      <w:r>
        <w:rPr>
          <w:spacing w:val="-2"/>
          <w:sz w:val="20"/>
        </w:rPr>
        <w:t> </w:t>
      </w:r>
      <w:r>
        <w:rPr>
          <w:sz w:val="20"/>
        </w:rPr>
        <w:t>at</w:t>
      </w:r>
      <w:r>
        <w:rPr>
          <w:spacing w:val="-2"/>
          <w:sz w:val="20"/>
        </w:rPr>
        <w:t> </w:t>
      </w:r>
      <w:r>
        <w:rPr>
          <w:sz w:val="20"/>
        </w:rPr>
        <w:t>the</w:t>
      </w:r>
      <w:r>
        <w:rPr>
          <w:spacing w:val="-3"/>
          <w:sz w:val="20"/>
        </w:rPr>
        <w:t> </w:t>
      </w:r>
      <w:r>
        <w:rPr>
          <w:sz w:val="20"/>
        </w:rPr>
        <w:t>post-ET1</w:t>
      </w:r>
      <w:r>
        <w:rPr>
          <w:spacing w:val="-2"/>
          <w:sz w:val="20"/>
        </w:rPr>
        <w:t> </w:t>
      </w:r>
      <w:r>
        <w:rPr>
          <w:sz w:val="20"/>
        </w:rPr>
        <w:t>stage,</w:t>
      </w:r>
      <w:r>
        <w:rPr>
          <w:spacing w:val="-1"/>
          <w:sz w:val="20"/>
        </w:rPr>
        <w:t> </w:t>
      </w:r>
      <w:r>
        <w:rPr>
          <w:sz w:val="20"/>
        </w:rPr>
        <w:t>had</w:t>
      </w:r>
      <w:r>
        <w:rPr>
          <w:spacing w:val="-2"/>
          <w:sz w:val="20"/>
        </w:rPr>
        <w:t> </w:t>
      </w:r>
      <w:r>
        <w:rPr>
          <w:sz w:val="20"/>
        </w:rPr>
        <w:t>contact</w:t>
      </w:r>
      <w:r>
        <w:rPr>
          <w:spacing w:val="-2"/>
          <w:sz w:val="20"/>
        </w:rPr>
        <w:t> </w:t>
      </w:r>
      <w:r>
        <w:rPr>
          <w:sz w:val="20"/>
        </w:rPr>
        <w:t>with the same conciliator on both occasions. There was little difference in ratings of the conciliator across most metrics between those who had versus those whom</w:t>
      </w:r>
      <w:r>
        <w:rPr>
          <w:spacing w:val="-18"/>
          <w:sz w:val="20"/>
        </w:rPr>
        <w:t> </w:t>
      </w:r>
      <w:r>
        <w:rPr>
          <w:sz w:val="20"/>
        </w:rPr>
        <w:t>had</w:t>
      </w:r>
      <w:r>
        <w:rPr>
          <w:spacing w:val="-18"/>
          <w:sz w:val="20"/>
        </w:rPr>
        <w:t> </w:t>
      </w:r>
      <w:r>
        <w:rPr>
          <w:sz w:val="20"/>
        </w:rPr>
        <w:t>not</w:t>
      </w:r>
      <w:r>
        <w:rPr>
          <w:spacing w:val="-17"/>
          <w:sz w:val="20"/>
        </w:rPr>
        <w:t> </w:t>
      </w:r>
      <w:r>
        <w:rPr>
          <w:sz w:val="20"/>
        </w:rPr>
        <w:t>previously</w:t>
      </w:r>
      <w:r>
        <w:rPr>
          <w:spacing w:val="-18"/>
          <w:sz w:val="20"/>
        </w:rPr>
        <w:t> </w:t>
      </w:r>
      <w:r>
        <w:rPr>
          <w:sz w:val="20"/>
        </w:rPr>
        <w:t>used</w:t>
      </w:r>
      <w:r>
        <w:rPr>
          <w:spacing w:val="-17"/>
          <w:sz w:val="20"/>
        </w:rPr>
        <w:t> </w:t>
      </w:r>
      <w:r>
        <w:rPr>
          <w:sz w:val="20"/>
        </w:rPr>
        <w:t>EC</w:t>
      </w:r>
      <w:r>
        <w:rPr>
          <w:spacing w:val="-18"/>
          <w:sz w:val="20"/>
        </w:rPr>
        <w:t> </w:t>
      </w:r>
      <w:r>
        <w:rPr>
          <w:sz w:val="20"/>
        </w:rPr>
        <w:t>–</w:t>
      </w:r>
      <w:r>
        <w:rPr>
          <w:spacing w:val="-18"/>
          <w:sz w:val="20"/>
        </w:rPr>
        <w:t> </w:t>
      </w:r>
      <w:r>
        <w:rPr>
          <w:sz w:val="20"/>
        </w:rPr>
        <w:t>although</w:t>
      </w:r>
      <w:r>
        <w:rPr>
          <w:spacing w:val="-17"/>
          <w:sz w:val="20"/>
        </w:rPr>
        <w:t> </w:t>
      </w:r>
      <w:r>
        <w:rPr>
          <w:sz w:val="20"/>
        </w:rPr>
        <w:t>among</w:t>
      </w:r>
      <w:r>
        <w:rPr>
          <w:spacing w:val="-18"/>
          <w:sz w:val="20"/>
        </w:rPr>
        <w:t> </w:t>
      </w:r>
      <w:r>
        <w:rPr>
          <w:sz w:val="20"/>
        </w:rPr>
        <w:t>prior</w:t>
      </w:r>
      <w:r>
        <w:rPr>
          <w:spacing w:val="-17"/>
          <w:sz w:val="20"/>
        </w:rPr>
        <w:t> </w:t>
      </w:r>
      <w:r>
        <w:rPr>
          <w:sz w:val="20"/>
        </w:rPr>
        <w:t>EC</w:t>
      </w:r>
      <w:r>
        <w:rPr>
          <w:spacing w:val="-18"/>
          <w:sz w:val="20"/>
        </w:rPr>
        <w:t> </w:t>
      </w:r>
      <w:r>
        <w:rPr>
          <w:sz w:val="20"/>
        </w:rPr>
        <w:t>users,</w:t>
      </w:r>
      <w:r>
        <w:rPr>
          <w:spacing w:val="-17"/>
          <w:sz w:val="20"/>
        </w:rPr>
        <w:t> </w:t>
      </w:r>
      <w:r>
        <w:rPr>
          <w:sz w:val="20"/>
        </w:rPr>
        <w:t>conciliator assessments were higher for those who maintained the same conciliator.</w:t>
      </w:r>
    </w:p>
    <w:p>
      <w:pPr>
        <w:pStyle w:val="ListParagraph"/>
        <w:numPr>
          <w:ilvl w:val="0"/>
          <w:numId w:val="48"/>
        </w:numPr>
        <w:tabs>
          <w:tab w:pos="2076" w:val="left" w:leader="none"/>
        </w:tabs>
        <w:spacing w:line="240" w:lineRule="auto" w:before="0" w:after="0"/>
        <w:ind w:left="2075" w:right="1246" w:hanging="360"/>
        <w:jc w:val="both"/>
        <w:rPr>
          <w:sz w:val="20"/>
        </w:rPr>
      </w:pPr>
      <w:r>
        <w:rPr>
          <w:sz w:val="20"/>
        </w:rPr>
        <w:t>Previous participation in EC made both claimant and employer-side participants more likely to agree that the service received from Acas before submission</w:t>
      </w:r>
      <w:r>
        <w:rPr>
          <w:spacing w:val="-11"/>
          <w:sz w:val="20"/>
        </w:rPr>
        <w:t> </w:t>
      </w:r>
      <w:r>
        <w:rPr>
          <w:sz w:val="20"/>
        </w:rPr>
        <w:t>of</w:t>
      </w:r>
      <w:r>
        <w:rPr>
          <w:spacing w:val="-10"/>
          <w:sz w:val="20"/>
        </w:rPr>
        <w:t> </w:t>
      </w:r>
      <w:r>
        <w:rPr>
          <w:sz w:val="20"/>
        </w:rPr>
        <w:t>the</w:t>
      </w:r>
      <w:r>
        <w:rPr>
          <w:spacing w:val="-12"/>
          <w:sz w:val="20"/>
        </w:rPr>
        <w:t> </w:t>
      </w:r>
      <w:r>
        <w:rPr>
          <w:sz w:val="20"/>
        </w:rPr>
        <w:t>ET</w:t>
      </w:r>
      <w:r>
        <w:rPr>
          <w:spacing w:val="-11"/>
          <w:sz w:val="20"/>
        </w:rPr>
        <w:t> </w:t>
      </w:r>
      <w:r>
        <w:rPr>
          <w:sz w:val="20"/>
        </w:rPr>
        <w:t>application</w:t>
      </w:r>
      <w:r>
        <w:rPr>
          <w:spacing w:val="-10"/>
          <w:sz w:val="20"/>
        </w:rPr>
        <w:t> </w:t>
      </w:r>
      <w:r>
        <w:rPr>
          <w:sz w:val="20"/>
        </w:rPr>
        <w:t>had</w:t>
      </w:r>
      <w:r>
        <w:rPr>
          <w:spacing w:val="-9"/>
          <w:sz w:val="20"/>
        </w:rPr>
        <w:t> </w:t>
      </w:r>
      <w:r>
        <w:rPr>
          <w:sz w:val="20"/>
        </w:rPr>
        <w:t>both</w:t>
      </w:r>
      <w:r>
        <w:rPr>
          <w:spacing w:val="-11"/>
          <w:sz w:val="20"/>
        </w:rPr>
        <w:t> </w:t>
      </w:r>
      <w:r>
        <w:rPr>
          <w:sz w:val="20"/>
        </w:rPr>
        <w:t>prepared</w:t>
      </w:r>
      <w:r>
        <w:rPr>
          <w:spacing w:val="-10"/>
          <w:sz w:val="20"/>
        </w:rPr>
        <w:t> </w:t>
      </w:r>
      <w:r>
        <w:rPr>
          <w:sz w:val="20"/>
        </w:rPr>
        <w:t>them</w:t>
      </w:r>
      <w:r>
        <w:rPr>
          <w:spacing w:val="-12"/>
          <w:sz w:val="20"/>
        </w:rPr>
        <w:t> </w:t>
      </w:r>
      <w:r>
        <w:rPr>
          <w:sz w:val="20"/>
        </w:rPr>
        <w:t>for</w:t>
      </w:r>
      <w:r>
        <w:rPr>
          <w:spacing w:val="-11"/>
          <w:sz w:val="20"/>
        </w:rPr>
        <w:t> </w:t>
      </w:r>
      <w:r>
        <w:rPr>
          <w:sz w:val="20"/>
        </w:rPr>
        <w:t>the</w:t>
      </w:r>
      <w:r>
        <w:rPr>
          <w:spacing w:val="-12"/>
          <w:sz w:val="20"/>
        </w:rPr>
        <w:t> </w:t>
      </w:r>
      <w:r>
        <w:rPr>
          <w:sz w:val="20"/>
        </w:rPr>
        <w:t>process</w:t>
      </w:r>
      <w:r>
        <w:rPr>
          <w:spacing w:val="-10"/>
          <w:sz w:val="20"/>
        </w:rPr>
        <w:t> </w:t>
      </w:r>
      <w:r>
        <w:rPr>
          <w:sz w:val="20"/>
        </w:rPr>
        <w:t>after submission and made it quicker to resolve the case once the claim was eventually submitted.</w:t>
      </w:r>
    </w:p>
    <w:p>
      <w:pPr>
        <w:pStyle w:val="ListParagraph"/>
        <w:numPr>
          <w:ilvl w:val="0"/>
          <w:numId w:val="48"/>
        </w:numPr>
        <w:tabs>
          <w:tab w:pos="2076" w:val="left" w:leader="none"/>
        </w:tabs>
        <w:spacing w:line="240" w:lineRule="auto" w:before="0" w:after="0"/>
        <w:ind w:left="2075" w:right="1244" w:hanging="360"/>
        <w:jc w:val="both"/>
        <w:rPr>
          <w:sz w:val="20"/>
        </w:rPr>
      </w:pPr>
      <w:r>
        <w:rPr>
          <w:sz w:val="20"/>
        </w:rPr>
        <w:t>Claimant-side participants who took part in EC were more likely than those who did not to report a settlement in post-ET1 conciliation (either a COT3 or private settlement). Employer-side participants taking part in EC were more likely to have settled too, albeit the difference here was not significant.</w:t>
      </w:r>
    </w:p>
    <w:p>
      <w:pPr>
        <w:pStyle w:val="ListParagraph"/>
        <w:numPr>
          <w:ilvl w:val="0"/>
          <w:numId w:val="48"/>
        </w:numPr>
        <w:tabs>
          <w:tab w:pos="2076" w:val="left" w:leader="none"/>
        </w:tabs>
        <w:spacing w:line="240" w:lineRule="auto" w:before="0" w:after="0"/>
        <w:ind w:left="2075" w:right="1245" w:hanging="360"/>
        <w:jc w:val="both"/>
        <w:rPr>
          <w:sz w:val="20"/>
        </w:rPr>
      </w:pPr>
      <w:r>
        <w:rPr>
          <w:sz w:val="20"/>
        </w:rPr>
        <w:t>Claimant</w:t>
      </w:r>
      <w:r>
        <w:rPr>
          <w:spacing w:val="-3"/>
          <w:sz w:val="20"/>
        </w:rPr>
        <w:t> </w:t>
      </w:r>
      <w:r>
        <w:rPr>
          <w:sz w:val="20"/>
        </w:rPr>
        <w:t>and</w:t>
      </w:r>
      <w:r>
        <w:rPr>
          <w:spacing w:val="-3"/>
          <w:sz w:val="20"/>
        </w:rPr>
        <w:t> </w:t>
      </w:r>
      <w:r>
        <w:rPr>
          <w:sz w:val="20"/>
        </w:rPr>
        <w:t>employer-side</w:t>
      </w:r>
      <w:r>
        <w:rPr>
          <w:spacing w:val="-4"/>
          <w:sz w:val="20"/>
        </w:rPr>
        <w:t> </w:t>
      </w:r>
      <w:r>
        <w:rPr>
          <w:sz w:val="20"/>
        </w:rPr>
        <w:t>participants</w:t>
      </w:r>
      <w:r>
        <w:rPr>
          <w:spacing w:val="-3"/>
          <w:sz w:val="20"/>
        </w:rPr>
        <w:t> </w:t>
      </w:r>
      <w:r>
        <w:rPr>
          <w:sz w:val="20"/>
        </w:rPr>
        <w:t>who</w:t>
      </w:r>
      <w:r>
        <w:rPr>
          <w:spacing w:val="-3"/>
          <w:sz w:val="20"/>
        </w:rPr>
        <w:t> </w:t>
      </w:r>
      <w:r>
        <w:rPr>
          <w:sz w:val="20"/>
        </w:rPr>
        <w:t>previously</w:t>
      </w:r>
      <w:r>
        <w:rPr>
          <w:spacing w:val="-3"/>
          <w:sz w:val="20"/>
        </w:rPr>
        <w:t> </w:t>
      </w:r>
      <w:r>
        <w:rPr>
          <w:sz w:val="20"/>
        </w:rPr>
        <w:t>took</w:t>
      </w:r>
      <w:r>
        <w:rPr>
          <w:spacing w:val="-3"/>
          <w:sz w:val="20"/>
        </w:rPr>
        <w:t> </w:t>
      </w:r>
      <w:r>
        <w:rPr>
          <w:sz w:val="20"/>
        </w:rPr>
        <w:t>part</w:t>
      </w:r>
      <w:r>
        <w:rPr>
          <w:spacing w:val="-3"/>
          <w:sz w:val="20"/>
        </w:rPr>
        <w:t> </w:t>
      </w:r>
      <w:r>
        <w:rPr>
          <w:sz w:val="20"/>
        </w:rPr>
        <w:t>in</w:t>
      </w:r>
      <w:r>
        <w:rPr>
          <w:spacing w:val="-3"/>
          <w:sz w:val="20"/>
        </w:rPr>
        <w:t> </w:t>
      </w:r>
      <w:r>
        <w:rPr>
          <w:sz w:val="20"/>
        </w:rPr>
        <w:t>EC</w:t>
      </w:r>
      <w:r>
        <w:rPr>
          <w:spacing w:val="-4"/>
          <w:sz w:val="20"/>
        </w:rPr>
        <w:t> </w:t>
      </w:r>
      <w:r>
        <w:rPr>
          <w:sz w:val="20"/>
        </w:rPr>
        <w:t>were also more likely to report that Acas’ involvement at the post-ET1 stage had been important in helping to move parties closer towards resolving the case, albeit these users were also more likely to report having since settled their case, so it may be that case outcome is an underlying explanatory factor in this difference.</w:t>
      </w:r>
    </w:p>
    <w:p>
      <w:pPr>
        <w:pStyle w:val="ListParagraph"/>
        <w:numPr>
          <w:ilvl w:val="0"/>
          <w:numId w:val="48"/>
        </w:numPr>
        <w:tabs>
          <w:tab w:pos="2076" w:val="left" w:leader="none"/>
        </w:tabs>
        <w:spacing w:line="240" w:lineRule="auto" w:before="0" w:after="0"/>
        <w:ind w:left="2075" w:right="1246" w:hanging="360"/>
        <w:jc w:val="both"/>
        <w:rPr>
          <w:sz w:val="20"/>
        </w:rPr>
      </w:pPr>
      <w:r>
        <w:rPr>
          <w:sz w:val="20"/>
        </w:rPr>
        <w:t>Unlike 2016, prior use of EC had no impact on reported satisfaction with the post-ET1 conciliation service across both claimant and employer-side participants. A clear majority of both audiences reported that they were satisfied with the service received – 8 in 10 for each.</w:t>
      </w:r>
    </w:p>
    <w:p>
      <w:pPr>
        <w:pStyle w:val="BodyText"/>
        <w:spacing w:before="2"/>
        <w:rPr>
          <w:sz w:val="17"/>
        </w:rPr>
      </w:pPr>
    </w:p>
    <w:p>
      <w:pPr>
        <w:pStyle w:val="BodyText"/>
        <w:spacing w:line="259" w:lineRule="auto" w:before="101"/>
        <w:ind w:left="1337" w:right="1472"/>
        <w:jc w:val="both"/>
      </w:pPr>
      <w:r>
        <w:rPr/>
        <w:t>Within previous chapters of this report there has already been some discussion of differences</w:t>
      </w:r>
      <w:r>
        <w:rPr>
          <w:spacing w:val="-10"/>
        </w:rPr>
        <w:t> </w:t>
      </w:r>
      <w:r>
        <w:rPr/>
        <w:t>in</w:t>
      </w:r>
      <w:r>
        <w:rPr>
          <w:spacing w:val="-10"/>
        </w:rPr>
        <w:t> </w:t>
      </w:r>
      <w:r>
        <w:rPr/>
        <w:t>service-users’</w:t>
      </w:r>
      <w:r>
        <w:rPr>
          <w:spacing w:val="-10"/>
        </w:rPr>
        <w:t> </w:t>
      </w:r>
      <w:r>
        <w:rPr/>
        <w:t>experiences</w:t>
      </w:r>
      <w:r>
        <w:rPr>
          <w:spacing w:val="-10"/>
        </w:rPr>
        <w:t> </w:t>
      </w:r>
      <w:r>
        <w:rPr/>
        <w:t>of</w:t>
      </w:r>
      <w:r>
        <w:rPr>
          <w:spacing w:val="-11"/>
        </w:rPr>
        <w:t> </w:t>
      </w:r>
      <w:r>
        <w:rPr/>
        <w:t>post-ET1</w:t>
      </w:r>
      <w:r>
        <w:rPr>
          <w:spacing w:val="-11"/>
        </w:rPr>
        <w:t> </w:t>
      </w:r>
      <w:r>
        <w:rPr/>
        <w:t>conciliation</w:t>
      </w:r>
      <w:r>
        <w:rPr>
          <w:spacing w:val="-10"/>
        </w:rPr>
        <w:t> </w:t>
      </w:r>
      <w:r>
        <w:rPr/>
        <w:t>based</w:t>
      </w:r>
      <w:r>
        <w:rPr>
          <w:spacing w:val="-11"/>
        </w:rPr>
        <w:t> </w:t>
      </w:r>
      <w:r>
        <w:rPr/>
        <w:t>on</w:t>
      </w:r>
      <w:r>
        <w:rPr>
          <w:spacing w:val="-11"/>
        </w:rPr>
        <w:t> </w:t>
      </w:r>
      <w:r>
        <w:rPr/>
        <w:t>whether they had already taken part in EC, earlier in the dispute resolution journey. This chapter aims to consolidate and expand this analysis. It should be noted that the majority of the analysis that follows is bivariate, with participants in cases where EC</w:t>
      </w:r>
      <w:r>
        <w:rPr>
          <w:spacing w:val="-9"/>
        </w:rPr>
        <w:t> </w:t>
      </w:r>
      <w:r>
        <w:rPr/>
        <w:t>took</w:t>
      </w:r>
      <w:r>
        <w:rPr>
          <w:spacing w:val="-9"/>
        </w:rPr>
        <w:t> </w:t>
      </w:r>
      <w:r>
        <w:rPr/>
        <w:t>place</w:t>
      </w:r>
      <w:r>
        <w:rPr>
          <w:spacing w:val="-9"/>
        </w:rPr>
        <w:t> </w:t>
      </w:r>
      <w:r>
        <w:rPr/>
        <w:t>compared</w:t>
      </w:r>
      <w:r>
        <w:rPr>
          <w:spacing w:val="-8"/>
        </w:rPr>
        <w:t> </w:t>
      </w:r>
      <w:r>
        <w:rPr/>
        <w:t>with</w:t>
      </w:r>
      <w:r>
        <w:rPr>
          <w:spacing w:val="-8"/>
        </w:rPr>
        <w:t> </w:t>
      </w:r>
      <w:r>
        <w:rPr/>
        <w:t>those</w:t>
      </w:r>
      <w:r>
        <w:rPr>
          <w:spacing w:val="-10"/>
        </w:rPr>
        <w:t> </w:t>
      </w:r>
      <w:r>
        <w:rPr/>
        <w:t>where</w:t>
      </w:r>
      <w:r>
        <w:rPr>
          <w:spacing w:val="-9"/>
        </w:rPr>
        <w:t> </w:t>
      </w:r>
      <w:r>
        <w:rPr/>
        <w:t>it</w:t>
      </w:r>
      <w:r>
        <w:rPr>
          <w:spacing w:val="-8"/>
        </w:rPr>
        <w:t> </w:t>
      </w:r>
      <w:r>
        <w:rPr/>
        <w:t>did</w:t>
      </w:r>
      <w:r>
        <w:rPr>
          <w:spacing w:val="-8"/>
        </w:rPr>
        <w:t> </w:t>
      </w:r>
      <w:r>
        <w:rPr/>
        <w:t>not.</w:t>
      </w:r>
      <w:r>
        <w:rPr>
          <w:spacing w:val="-8"/>
        </w:rPr>
        <w:t> </w:t>
      </w:r>
      <w:r>
        <w:rPr/>
        <w:t>It</w:t>
      </w:r>
      <w:r>
        <w:rPr>
          <w:spacing w:val="-8"/>
        </w:rPr>
        <w:t> </w:t>
      </w:r>
      <w:r>
        <w:rPr/>
        <w:t>is</w:t>
      </w:r>
      <w:r>
        <w:rPr>
          <w:spacing w:val="-8"/>
        </w:rPr>
        <w:t> </w:t>
      </w:r>
      <w:r>
        <w:rPr/>
        <w:t>important</w:t>
      </w:r>
      <w:r>
        <w:rPr>
          <w:spacing w:val="-9"/>
        </w:rPr>
        <w:t> </w:t>
      </w:r>
      <w:r>
        <w:rPr/>
        <w:t>to</w:t>
      </w:r>
      <w:r>
        <w:rPr>
          <w:spacing w:val="-10"/>
        </w:rPr>
        <w:t> </w:t>
      </w:r>
      <w:r>
        <w:rPr/>
        <w:t>bear</w:t>
      </w:r>
      <w:r>
        <w:rPr>
          <w:spacing w:val="-8"/>
        </w:rPr>
        <w:t> </w:t>
      </w:r>
      <w:r>
        <w:rPr/>
        <w:t>in</w:t>
      </w:r>
      <w:r>
        <w:rPr>
          <w:spacing w:val="-8"/>
        </w:rPr>
        <w:t> </w:t>
      </w:r>
      <w:r>
        <w:rPr/>
        <w:t>mind that an observed correlation between two variables does not imply a cause-and- effect relationship, and therefore assumptions about causality cannot be made.</w:t>
      </w:r>
    </w:p>
    <w:p>
      <w:pPr>
        <w:pStyle w:val="BodyText"/>
        <w:spacing w:before="4"/>
        <w:rPr>
          <w:sz w:val="21"/>
        </w:rPr>
      </w:pPr>
    </w:p>
    <w:p>
      <w:pPr>
        <w:pStyle w:val="BodyText"/>
        <w:spacing w:line="259" w:lineRule="auto"/>
        <w:ind w:left="1336" w:right="1474"/>
        <w:jc w:val="both"/>
      </w:pPr>
      <w:r>
        <w:rPr/>
        <w:t>It is also important to remember that, despite being prompted at the start of the survey to consider all aspects of conciliation delivered </w:t>
      </w:r>
      <w:r>
        <w:rPr>
          <w:i/>
        </w:rPr>
        <w:t>after </w:t>
      </w:r>
      <w:r>
        <w:rPr/>
        <w:t>the submission of an Employment Tribunal claim, participants may have found it difficult to distinguish between</w:t>
      </w:r>
      <w:r>
        <w:rPr>
          <w:spacing w:val="-3"/>
        </w:rPr>
        <w:t> </w:t>
      </w:r>
      <w:r>
        <w:rPr/>
        <w:t>the</w:t>
      </w:r>
      <w:r>
        <w:rPr>
          <w:spacing w:val="-2"/>
        </w:rPr>
        <w:t> </w:t>
      </w:r>
      <w:r>
        <w:rPr/>
        <w:t>two</w:t>
      </w:r>
      <w:r>
        <w:rPr>
          <w:spacing w:val="-2"/>
        </w:rPr>
        <w:t> </w:t>
      </w:r>
      <w:r>
        <w:rPr/>
        <w:t>stages</w:t>
      </w:r>
      <w:r>
        <w:rPr>
          <w:spacing w:val="-2"/>
        </w:rPr>
        <w:t> </w:t>
      </w:r>
      <w:r>
        <w:rPr/>
        <w:t>of</w:t>
      </w:r>
      <w:r>
        <w:rPr>
          <w:spacing w:val="-2"/>
        </w:rPr>
        <w:t> </w:t>
      </w:r>
      <w:r>
        <w:rPr/>
        <w:t>conciliation.</w:t>
      </w:r>
      <w:r>
        <w:rPr>
          <w:spacing w:val="-2"/>
        </w:rPr>
        <w:t> </w:t>
      </w:r>
      <w:r>
        <w:rPr/>
        <w:t>The</w:t>
      </w:r>
      <w:r>
        <w:rPr>
          <w:spacing w:val="-2"/>
        </w:rPr>
        <w:t> </w:t>
      </w:r>
      <w:r>
        <w:rPr/>
        <w:t>qualitative</w:t>
      </w:r>
      <w:r>
        <w:rPr>
          <w:spacing w:val="-2"/>
        </w:rPr>
        <w:t> </w:t>
      </w:r>
      <w:r>
        <w:rPr/>
        <w:t>research</w:t>
      </w:r>
      <w:r>
        <w:rPr>
          <w:spacing w:val="-1"/>
        </w:rPr>
        <w:t> </w:t>
      </w:r>
      <w:r>
        <w:rPr/>
        <w:t>conducted</w:t>
      </w:r>
      <w:r>
        <w:rPr>
          <w:spacing w:val="-2"/>
        </w:rPr>
        <w:t> </w:t>
      </w:r>
      <w:r>
        <w:rPr/>
        <w:t>as</w:t>
      </w:r>
      <w:r>
        <w:rPr>
          <w:spacing w:val="-3"/>
        </w:rPr>
        <w:t> </w:t>
      </w:r>
      <w:r>
        <w:rPr/>
        <w:t>part of</w:t>
      </w:r>
      <w:r>
        <w:rPr>
          <w:spacing w:val="23"/>
        </w:rPr>
        <w:t> </w:t>
      </w:r>
      <w:r>
        <w:rPr/>
        <w:t>the</w:t>
      </w:r>
      <w:r>
        <w:rPr>
          <w:spacing w:val="21"/>
        </w:rPr>
        <w:t> </w:t>
      </w:r>
      <w:r>
        <w:rPr/>
        <w:t>2016</w:t>
      </w:r>
      <w:r>
        <w:rPr>
          <w:spacing w:val="21"/>
        </w:rPr>
        <w:t> </w:t>
      </w:r>
      <w:r>
        <w:rPr/>
        <w:t>evaluation</w:t>
      </w:r>
      <w:r>
        <w:rPr>
          <w:spacing w:val="22"/>
        </w:rPr>
        <w:t> </w:t>
      </w:r>
      <w:r>
        <w:rPr/>
        <w:t>of</w:t>
      </w:r>
      <w:r>
        <w:rPr>
          <w:spacing w:val="21"/>
        </w:rPr>
        <w:t> </w:t>
      </w:r>
      <w:r>
        <w:rPr/>
        <w:t>post-ET1</w:t>
      </w:r>
      <w:r>
        <w:rPr>
          <w:spacing w:val="22"/>
        </w:rPr>
        <w:t> </w:t>
      </w:r>
      <w:r>
        <w:rPr/>
        <w:t>conciliation</w:t>
      </w:r>
      <w:r>
        <w:rPr>
          <w:spacing w:val="22"/>
        </w:rPr>
        <w:t> </w:t>
      </w:r>
      <w:r>
        <w:rPr/>
        <w:t>found</w:t>
      </w:r>
      <w:r>
        <w:rPr>
          <w:spacing w:val="21"/>
        </w:rPr>
        <w:t> </w:t>
      </w:r>
      <w:r>
        <w:rPr/>
        <w:t>that</w:t>
      </w:r>
      <w:r>
        <w:rPr>
          <w:spacing w:val="23"/>
        </w:rPr>
        <w:t> </w:t>
      </w:r>
      <w:r>
        <w:rPr/>
        <w:t>participants</w:t>
      </w:r>
      <w:r>
        <w:rPr>
          <w:spacing w:val="21"/>
        </w:rPr>
        <w:t> </w:t>
      </w:r>
      <w:r>
        <w:rPr/>
        <w:t>generally</w:t>
      </w:r>
    </w:p>
    <w:p>
      <w:pPr>
        <w:spacing w:after="0" w:line="259" w:lineRule="auto"/>
        <w:jc w:val="both"/>
        <w:sectPr>
          <w:pgSz w:w="11910" w:h="16840"/>
          <w:pgMar w:header="0" w:footer="996" w:top="1340" w:bottom="1180" w:left="460" w:right="320"/>
        </w:sectPr>
      </w:pPr>
    </w:p>
    <w:p>
      <w:pPr>
        <w:pStyle w:val="BodyText"/>
        <w:spacing w:line="259" w:lineRule="auto" w:before="82"/>
        <w:ind w:left="1337" w:right="1473"/>
        <w:jc w:val="both"/>
      </w:pPr>
      <w:bookmarkStart w:name="18." w:id="218"/>
      <w:bookmarkEnd w:id="218"/>
      <w:r>
        <w:rPr/>
      </w:r>
      <w:bookmarkStart w:name="17." w:id="219"/>
      <w:bookmarkEnd w:id="219"/>
      <w:r>
        <w:rPr/>
      </w:r>
      <w:r>
        <w:rPr/>
        <w:t>reported on what they took to be a single continuous service rather than two discrete phases. As such, participants’ experiences during EC may well have affected their ratings of post-ET1 conciliation.</w:t>
      </w:r>
    </w:p>
    <w:p>
      <w:pPr>
        <w:pStyle w:val="BodyText"/>
        <w:spacing w:before="5"/>
        <w:rPr>
          <w:sz w:val="21"/>
        </w:rPr>
      </w:pPr>
    </w:p>
    <w:p>
      <w:pPr>
        <w:pStyle w:val="BodyText"/>
        <w:spacing w:line="259" w:lineRule="auto" w:before="1"/>
        <w:ind w:left="1337" w:right="1474"/>
        <w:jc w:val="both"/>
      </w:pPr>
      <w:r>
        <w:rPr/>
        <w:t>Nevertheless, several positive associations between taking part in EC and ratings of</w:t>
      </w:r>
      <w:r>
        <w:rPr>
          <w:spacing w:val="-11"/>
        </w:rPr>
        <w:t> </w:t>
      </w:r>
      <w:r>
        <w:rPr/>
        <w:t>the</w:t>
      </w:r>
      <w:r>
        <w:rPr>
          <w:spacing w:val="-11"/>
        </w:rPr>
        <w:t> </w:t>
      </w:r>
      <w:r>
        <w:rPr/>
        <w:t>post-ET1</w:t>
      </w:r>
      <w:r>
        <w:rPr>
          <w:spacing w:val="-12"/>
        </w:rPr>
        <w:t> </w:t>
      </w:r>
      <w:r>
        <w:rPr/>
        <w:t>conciliation</w:t>
      </w:r>
      <w:r>
        <w:rPr>
          <w:spacing w:val="-11"/>
        </w:rPr>
        <w:t> </w:t>
      </w:r>
      <w:r>
        <w:rPr/>
        <w:t>process</w:t>
      </w:r>
      <w:r>
        <w:rPr>
          <w:spacing w:val="-11"/>
        </w:rPr>
        <w:t> </w:t>
      </w:r>
      <w:r>
        <w:rPr/>
        <w:t>are</w:t>
      </w:r>
      <w:r>
        <w:rPr>
          <w:spacing w:val="-11"/>
        </w:rPr>
        <w:t> </w:t>
      </w:r>
      <w:r>
        <w:rPr/>
        <w:t>in</w:t>
      </w:r>
      <w:r>
        <w:rPr>
          <w:spacing w:val="-10"/>
        </w:rPr>
        <w:t> </w:t>
      </w:r>
      <w:r>
        <w:rPr/>
        <w:t>evidence</w:t>
      </w:r>
      <w:r>
        <w:rPr>
          <w:spacing w:val="-12"/>
        </w:rPr>
        <w:t> </w:t>
      </w:r>
      <w:r>
        <w:rPr/>
        <w:t>and</w:t>
      </w:r>
      <w:r>
        <w:rPr>
          <w:spacing w:val="-11"/>
        </w:rPr>
        <w:t> </w:t>
      </w:r>
      <w:r>
        <w:rPr/>
        <w:t>these</w:t>
      </w:r>
      <w:r>
        <w:rPr>
          <w:spacing w:val="-11"/>
        </w:rPr>
        <w:t> </w:t>
      </w:r>
      <w:r>
        <w:rPr/>
        <w:t>are</w:t>
      </w:r>
      <w:r>
        <w:rPr>
          <w:spacing w:val="-11"/>
        </w:rPr>
        <w:t> </w:t>
      </w:r>
      <w:r>
        <w:rPr/>
        <w:t>discussed</w:t>
      </w:r>
      <w:r>
        <w:rPr>
          <w:spacing w:val="-11"/>
        </w:rPr>
        <w:t> </w:t>
      </w:r>
      <w:r>
        <w:rPr>
          <w:spacing w:val="-2"/>
        </w:rPr>
        <w:t>below.</w:t>
      </w:r>
    </w:p>
    <w:p>
      <w:pPr>
        <w:pStyle w:val="BodyText"/>
        <w:spacing w:before="7"/>
        <w:rPr>
          <w:sz w:val="21"/>
        </w:rPr>
      </w:pPr>
    </w:p>
    <w:p>
      <w:pPr>
        <w:pStyle w:val="Heading3"/>
        <w:numPr>
          <w:ilvl w:val="1"/>
          <w:numId w:val="2"/>
        </w:numPr>
        <w:tabs>
          <w:tab w:pos="1974" w:val="left" w:leader="none"/>
        </w:tabs>
        <w:spacing w:line="240" w:lineRule="auto" w:before="0" w:after="0"/>
        <w:ind w:left="1973" w:right="0" w:hanging="637"/>
        <w:jc w:val="both"/>
      </w:pPr>
      <w:bookmarkStart w:name="17.1  Role of EC in uptake of post-ET1 c" w:id="220"/>
      <w:bookmarkEnd w:id="220"/>
      <w:r>
        <w:rPr>
          <w:b w:val="0"/>
        </w:rPr>
      </w:r>
      <w:bookmarkStart w:name="_bookmark58" w:id="221"/>
      <w:bookmarkEnd w:id="221"/>
      <w:r>
        <w:rPr/>
        <w:t>Ro</w:t>
      </w:r>
      <w:r>
        <w:rPr/>
        <w:t>le</w:t>
      </w:r>
      <w:r>
        <w:rPr>
          <w:spacing w:val="-3"/>
        </w:rPr>
        <w:t> </w:t>
      </w:r>
      <w:r>
        <w:rPr/>
        <w:t>of</w:t>
      </w:r>
      <w:r>
        <w:rPr>
          <w:spacing w:val="-2"/>
        </w:rPr>
        <w:t> </w:t>
      </w:r>
      <w:r>
        <w:rPr/>
        <w:t>EC</w:t>
      </w:r>
      <w:r>
        <w:rPr>
          <w:spacing w:val="-3"/>
        </w:rPr>
        <w:t> </w:t>
      </w:r>
      <w:r>
        <w:rPr/>
        <w:t>in</w:t>
      </w:r>
      <w:r>
        <w:rPr>
          <w:spacing w:val="-2"/>
        </w:rPr>
        <w:t> </w:t>
      </w:r>
      <w:r>
        <w:rPr/>
        <w:t>uptake</w:t>
      </w:r>
      <w:r>
        <w:rPr>
          <w:spacing w:val="-3"/>
        </w:rPr>
        <w:t> </w:t>
      </w:r>
      <w:r>
        <w:rPr/>
        <w:t>of</w:t>
      </w:r>
      <w:r>
        <w:rPr>
          <w:spacing w:val="-3"/>
        </w:rPr>
        <w:t> </w:t>
      </w:r>
      <w:r>
        <w:rPr/>
        <w:t>post-ET1</w:t>
      </w:r>
      <w:r>
        <w:rPr>
          <w:spacing w:val="-2"/>
        </w:rPr>
        <w:t> conciliation</w:t>
      </w:r>
    </w:p>
    <w:p>
      <w:pPr>
        <w:pStyle w:val="BodyText"/>
        <w:spacing w:line="259" w:lineRule="auto" w:before="120"/>
        <w:ind w:left="1337" w:right="1473"/>
        <w:jc w:val="both"/>
      </w:pPr>
      <w:r>
        <w:rPr/>
        <w:t>It is possible to examine whether there is any association between taking part in EC and subsequently agreeing to take part in post-ET1 conciliation. The multivariate analysis included in Chapter 14 has already highlighted that the decision to take part (or not) in EC is a key determinant of whether parties take part in post-ET1 conciliation.</w:t>
      </w:r>
    </w:p>
    <w:p>
      <w:pPr>
        <w:pStyle w:val="BodyText"/>
        <w:spacing w:before="5"/>
        <w:rPr>
          <w:sz w:val="21"/>
        </w:rPr>
      </w:pPr>
    </w:p>
    <w:p>
      <w:pPr>
        <w:pStyle w:val="BodyText"/>
        <w:spacing w:line="259" w:lineRule="auto"/>
        <w:ind w:left="1336" w:right="1472"/>
        <w:jc w:val="both"/>
      </w:pPr>
      <w:r>
        <w:rPr/>
        <w:t>Similarly, bivariate analysis shows that claimant and employer-side participants who</w:t>
      </w:r>
      <w:r>
        <w:rPr>
          <w:spacing w:val="-1"/>
        </w:rPr>
        <w:t> </w:t>
      </w:r>
      <w:r>
        <w:rPr/>
        <w:t>took</w:t>
      </w:r>
      <w:r>
        <w:rPr>
          <w:spacing w:val="-1"/>
        </w:rPr>
        <w:t> </w:t>
      </w:r>
      <w:r>
        <w:rPr/>
        <w:t>part in EC were more likely to report that they</w:t>
      </w:r>
      <w:r>
        <w:rPr>
          <w:spacing w:val="-2"/>
        </w:rPr>
        <w:t> </w:t>
      </w:r>
      <w:r>
        <w:rPr/>
        <w:t>had agreed</w:t>
      </w:r>
      <w:r>
        <w:rPr>
          <w:spacing w:val="-2"/>
        </w:rPr>
        <w:t> </w:t>
      </w:r>
      <w:r>
        <w:rPr/>
        <w:t>to participate in post-ET1 conciliation compared to non-users of EC. Half (55 per cent) of all claimant-side</w:t>
      </w:r>
      <w:r>
        <w:rPr>
          <w:spacing w:val="-14"/>
        </w:rPr>
        <w:t> </w:t>
      </w:r>
      <w:r>
        <w:rPr/>
        <w:t>participants</w:t>
      </w:r>
      <w:r>
        <w:rPr>
          <w:spacing w:val="-15"/>
        </w:rPr>
        <w:t> </w:t>
      </w:r>
      <w:r>
        <w:rPr/>
        <w:t>reported</w:t>
      </w:r>
      <w:r>
        <w:rPr>
          <w:spacing w:val="-14"/>
        </w:rPr>
        <w:t> </w:t>
      </w:r>
      <w:r>
        <w:rPr/>
        <w:t>having</w:t>
      </w:r>
      <w:r>
        <w:rPr>
          <w:spacing w:val="-15"/>
        </w:rPr>
        <w:t> </w:t>
      </w:r>
      <w:r>
        <w:rPr/>
        <w:t>taken</w:t>
      </w:r>
      <w:r>
        <w:rPr>
          <w:spacing w:val="-13"/>
        </w:rPr>
        <w:t> </w:t>
      </w:r>
      <w:r>
        <w:rPr/>
        <w:t>part</w:t>
      </w:r>
      <w:r>
        <w:rPr>
          <w:spacing w:val="-15"/>
        </w:rPr>
        <w:t> </w:t>
      </w:r>
      <w:r>
        <w:rPr/>
        <w:t>in</w:t>
      </w:r>
      <w:r>
        <w:rPr>
          <w:spacing w:val="-13"/>
        </w:rPr>
        <w:t> </w:t>
      </w:r>
      <w:r>
        <w:rPr/>
        <w:t>post-ET1</w:t>
      </w:r>
      <w:r>
        <w:rPr>
          <w:spacing w:val="-15"/>
        </w:rPr>
        <w:t> </w:t>
      </w:r>
      <w:r>
        <w:rPr/>
        <w:t>conciliation</w:t>
      </w:r>
      <w:r>
        <w:rPr>
          <w:spacing w:val="-13"/>
        </w:rPr>
        <w:t> </w:t>
      </w:r>
      <w:r>
        <w:rPr/>
        <w:t>–</w:t>
      </w:r>
      <w:r>
        <w:rPr>
          <w:spacing w:val="-14"/>
        </w:rPr>
        <w:t> </w:t>
      </w:r>
      <w:r>
        <w:rPr/>
        <w:t>this rose</w:t>
      </w:r>
      <w:r>
        <w:rPr>
          <w:spacing w:val="-12"/>
        </w:rPr>
        <w:t> </w:t>
      </w:r>
      <w:r>
        <w:rPr/>
        <w:t>to</w:t>
      </w:r>
      <w:r>
        <w:rPr>
          <w:spacing w:val="-13"/>
        </w:rPr>
        <w:t> </w:t>
      </w:r>
      <w:r>
        <w:rPr/>
        <w:t>two-thirds</w:t>
      </w:r>
      <w:r>
        <w:rPr>
          <w:spacing w:val="-12"/>
        </w:rPr>
        <w:t> </w:t>
      </w:r>
      <w:r>
        <w:rPr/>
        <w:t>(68</w:t>
      </w:r>
      <w:r>
        <w:rPr>
          <w:spacing w:val="-13"/>
        </w:rPr>
        <w:t> </w:t>
      </w:r>
      <w:r>
        <w:rPr/>
        <w:t>per</w:t>
      </w:r>
      <w:r>
        <w:rPr>
          <w:spacing w:val="-12"/>
        </w:rPr>
        <w:t> </w:t>
      </w:r>
      <w:r>
        <w:rPr/>
        <w:t>cent)</w:t>
      </w:r>
      <w:r>
        <w:rPr>
          <w:spacing w:val="-13"/>
        </w:rPr>
        <w:t> </w:t>
      </w:r>
      <w:r>
        <w:rPr/>
        <w:t>among</w:t>
      </w:r>
      <w:r>
        <w:rPr>
          <w:spacing w:val="-13"/>
        </w:rPr>
        <w:t> </w:t>
      </w:r>
      <w:r>
        <w:rPr/>
        <w:t>those</w:t>
      </w:r>
      <w:r>
        <w:rPr>
          <w:spacing w:val="-13"/>
        </w:rPr>
        <w:t> </w:t>
      </w:r>
      <w:r>
        <w:rPr/>
        <w:t>who</w:t>
      </w:r>
      <w:r>
        <w:rPr>
          <w:spacing w:val="-13"/>
        </w:rPr>
        <w:t> </w:t>
      </w:r>
      <w:r>
        <w:rPr/>
        <w:t>had</w:t>
      </w:r>
      <w:r>
        <w:rPr>
          <w:spacing w:val="-12"/>
        </w:rPr>
        <w:t> </w:t>
      </w:r>
      <w:r>
        <w:rPr/>
        <w:t>already</w:t>
      </w:r>
      <w:r>
        <w:rPr>
          <w:spacing w:val="-11"/>
        </w:rPr>
        <w:t> </w:t>
      </w:r>
      <w:r>
        <w:rPr/>
        <w:t>taken</w:t>
      </w:r>
      <w:r>
        <w:rPr>
          <w:spacing w:val="-12"/>
        </w:rPr>
        <w:t> </w:t>
      </w:r>
      <w:r>
        <w:rPr/>
        <w:t>part</w:t>
      </w:r>
      <w:r>
        <w:rPr>
          <w:spacing w:val="-11"/>
        </w:rPr>
        <w:t> </w:t>
      </w:r>
      <w:r>
        <w:rPr/>
        <w:t>in</w:t>
      </w:r>
      <w:r>
        <w:rPr>
          <w:spacing w:val="-12"/>
        </w:rPr>
        <w:t> </w:t>
      </w:r>
      <w:r>
        <w:rPr/>
        <w:t>EC</w:t>
      </w:r>
      <w:r>
        <w:rPr>
          <w:spacing w:val="-11"/>
        </w:rPr>
        <w:t> </w:t>
      </w:r>
      <w:r>
        <w:rPr/>
        <w:t>and stood</w:t>
      </w:r>
      <w:r>
        <w:rPr>
          <w:spacing w:val="-4"/>
        </w:rPr>
        <w:t> </w:t>
      </w:r>
      <w:r>
        <w:rPr/>
        <w:t>at</w:t>
      </w:r>
      <w:r>
        <w:rPr>
          <w:spacing w:val="-5"/>
        </w:rPr>
        <w:t> </w:t>
      </w:r>
      <w:r>
        <w:rPr/>
        <w:t>42</w:t>
      </w:r>
      <w:r>
        <w:rPr>
          <w:spacing w:val="-7"/>
        </w:rPr>
        <w:t> </w:t>
      </w:r>
      <w:r>
        <w:rPr/>
        <w:t>per</w:t>
      </w:r>
      <w:r>
        <w:rPr>
          <w:spacing w:val="-5"/>
        </w:rPr>
        <w:t> </w:t>
      </w:r>
      <w:r>
        <w:rPr/>
        <w:t>cent</w:t>
      </w:r>
      <w:r>
        <w:rPr>
          <w:spacing w:val="-5"/>
        </w:rPr>
        <w:t> </w:t>
      </w:r>
      <w:r>
        <w:rPr/>
        <w:t>for</w:t>
      </w:r>
      <w:r>
        <w:rPr>
          <w:spacing w:val="-6"/>
        </w:rPr>
        <w:t> </w:t>
      </w:r>
      <w:r>
        <w:rPr/>
        <w:t>those</w:t>
      </w:r>
      <w:r>
        <w:rPr>
          <w:spacing w:val="-6"/>
        </w:rPr>
        <w:t> </w:t>
      </w:r>
      <w:r>
        <w:rPr/>
        <w:t>who</w:t>
      </w:r>
      <w:r>
        <w:rPr>
          <w:spacing w:val="-7"/>
        </w:rPr>
        <w:t> </w:t>
      </w:r>
      <w:r>
        <w:rPr/>
        <w:t>had</w:t>
      </w:r>
      <w:r>
        <w:rPr>
          <w:spacing w:val="-6"/>
        </w:rPr>
        <w:t> </w:t>
      </w:r>
      <w:r>
        <w:rPr/>
        <w:t>not.</w:t>
      </w:r>
      <w:r>
        <w:rPr>
          <w:spacing w:val="-5"/>
        </w:rPr>
        <w:t> </w:t>
      </w:r>
      <w:r>
        <w:rPr/>
        <w:t>Among</w:t>
      </w:r>
      <w:r>
        <w:rPr>
          <w:spacing w:val="-4"/>
        </w:rPr>
        <w:t> </w:t>
      </w:r>
      <w:r>
        <w:rPr/>
        <w:t>employer-side</w:t>
      </w:r>
      <w:r>
        <w:rPr>
          <w:spacing w:val="-5"/>
        </w:rPr>
        <w:t> </w:t>
      </w:r>
      <w:r>
        <w:rPr/>
        <w:t>participants,</w:t>
      </w:r>
      <w:r>
        <w:rPr>
          <w:spacing w:val="-5"/>
        </w:rPr>
        <w:t> </w:t>
      </w:r>
      <w:r>
        <w:rPr/>
        <w:t>six in</w:t>
      </w:r>
      <w:r>
        <w:rPr>
          <w:spacing w:val="-2"/>
        </w:rPr>
        <w:t> </w:t>
      </w:r>
      <w:r>
        <w:rPr/>
        <w:t>ten</w:t>
      </w:r>
      <w:r>
        <w:rPr>
          <w:spacing w:val="-2"/>
        </w:rPr>
        <w:t> </w:t>
      </w:r>
      <w:r>
        <w:rPr/>
        <w:t>(58</w:t>
      </w:r>
      <w:r>
        <w:rPr>
          <w:spacing w:val="-2"/>
        </w:rPr>
        <w:t> </w:t>
      </w:r>
      <w:r>
        <w:rPr/>
        <w:t>per</w:t>
      </w:r>
      <w:r>
        <w:rPr>
          <w:spacing w:val="-2"/>
        </w:rPr>
        <w:t> </w:t>
      </w:r>
      <w:r>
        <w:rPr/>
        <w:t>cent)</w:t>
      </w:r>
      <w:r>
        <w:rPr>
          <w:spacing w:val="-2"/>
        </w:rPr>
        <w:t> </w:t>
      </w:r>
      <w:r>
        <w:rPr/>
        <w:t>reported</w:t>
      </w:r>
      <w:r>
        <w:rPr>
          <w:spacing w:val="-2"/>
        </w:rPr>
        <w:t> </w:t>
      </w:r>
      <w:r>
        <w:rPr/>
        <w:t>having</w:t>
      </w:r>
      <w:r>
        <w:rPr>
          <w:spacing w:val="-2"/>
        </w:rPr>
        <w:t> </w:t>
      </w:r>
      <w:r>
        <w:rPr/>
        <w:t>taken</w:t>
      </w:r>
      <w:r>
        <w:rPr>
          <w:spacing w:val="-3"/>
        </w:rPr>
        <w:t> </w:t>
      </w:r>
      <w:r>
        <w:rPr/>
        <w:t>part</w:t>
      </w:r>
      <w:r>
        <w:rPr>
          <w:spacing w:val="-2"/>
        </w:rPr>
        <w:t> </w:t>
      </w:r>
      <w:r>
        <w:rPr/>
        <w:t>in</w:t>
      </w:r>
      <w:r>
        <w:rPr>
          <w:spacing w:val="-2"/>
        </w:rPr>
        <w:t> </w:t>
      </w:r>
      <w:r>
        <w:rPr/>
        <w:t>post-ET1</w:t>
      </w:r>
      <w:r>
        <w:rPr>
          <w:spacing w:val="-2"/>
        </w:rPr>
        <w:t> </w:t>
      </w:r>
      <w:r>
        <w:rPr/>
        <w:t>conciliation</w:t>
      </w:r>
      <w:r>
        <w:rPr>
          <w:spacing w:val="-1"/>
        </w:rPr>
        <w:t> </w:t>
      </w:r>
      <w:r>
        <w:rPr/>
        <w:t>–</w:t>
      </w:r>
      <w:r>
        <w:rPr>
          <w:spacing w:val="-2"/>
        </w:rPr>
        <w:t> </w:t>
      </w:r>
      <w:r>
        <w:rPr/>
        <w:t>this</w:t>
      </w:r>
      <w:r>
        <w:rPr>
          <w:spacing w:val="-2"/>
        </w:rPr>
        <w:t> </w:t>
      </w:r>
      <w:r>
        <w:rPr/>
        <w:t>rose to eight in ten (78 per cent) among those who had taken part in EC and was 47 per cent among those with no earlier use of EC. This pattern was also observed in 2016: on the claimant side, 80 per cent who had taken part in EC earlier in their dispute went on to use post-ET1 conciliation compared with 60 per cent of those without</w:t>
      </w:r>
      <w:r>
        <w:rPr>
          <w:spacing w:val="-7"/>
        </w:rPr>
        <w:t> </w:t>
      </w:r>
      <w:r>
        <w:rPr/>
        <w:t>earlier</w:t>
      </w:r>
      <w:r>
        <w:rPr>
          <w:spacing w:val="-7"/>
        </w:rPr>
        <w:t> </w:t>
      </w:r>
      <w:r>
        <w:rPr/>
        <w:t>use</w:t>
      </w:r>
      <w:r>
        <w:rPr>
          <w:spacing w:val="-7"/>
        </w:rPr>
        <w:t> </w:t>
      </w:r>
      <w:r>
        <w:rPr/>
        <w:t>of</w:t>
      </w:r>
      <w:r>
        <w:rPr>
          <w:spacing w:val="-6"/>
        </w:rPr>
        <w:t> </w:t>
      </w:r>
      <w:r>
        <w:rPr/>
        <w:t>EC.</w:t>
      </w:r>
      <w:r>
        <w:rPr>
          <w:spacing w:val="-7"/>
        </w:rPr>
        <w:t> </w:t>
      </w:r>
      <w:r>
        <w:rPr/>
        <w:t>On</w:t>
      </w:r>
      <w:r>
        <w:rPr>
          <w:spacing w:val="-8"/>
        </w:rPr>
        <w:t> </w:t>
      </w:r>
      <w:r>
        <w:rPr/>
        <w:t>the</w:t>
      </w:r>
      <w:r>
        <w:rPr>
          <w:spacing w:val="-7"/>
        </w:rPr>
        <w:t> </w:t>
      </w:r>
      <w:r>
        <w:rPr/>
        <w:t>employer</w:t>
      </w:r>
      <w:r>
        <w:rPr>
          <w:spacing w:val="-7"/>
        </w:rPr>
        <w:t> </w:t>
      </w:r>
      <w:r>
        <w:rPr/>
        <w:t>side</w:t>
      </w:r>
      <w:r>
        <w:rPr>
          <w:spacing w:val="-7"/>
        </w:rPr>
        <w:t> </w:t>
      </w:r>
      <w:r>
        <w:rPr/>
        <w:t>these</w:t>
      </w:r>
      <w:r>
        <w:rPr>
          <w:spacing w:val="-7"/>
        </w:rPr>
        <w:t> </w:t>
      </w:r>
      <w:r>
        <w:rPr/>
        <w:t>figures</w:t>
      </w:r>
      <w:r>
        <w:rPr>
          <w:spacing w:val="-7"/>
        </w:rPr>
        <w:t> </w:t>
      </w:r>
      <w:r>
        <w:rPr/>
        <w:t>were</w:t>
      </w:r>
      <w:r>
        <w:rPr>
          <w:spacing w:val="-7"/>
        </w:rPr>
        <w:t> </w:t>
      </w:r>
      <w:r>
        <w:rPr/>
        <w:t>75</w:t>
      </w:r>
      <w:r>
        <w:rPr>
          <w:spacing w:val="-7"/>
        </w:rPr>
        <w:t> </w:t>
      </w:r>
      <w:r>
        <w:rPr/>
        <w:t>per</w:t>
      </w:r>
      <w:r>
        <w:rPr>
          <w:spacing w:val="-7"/>
        </w:rPr>
        <w:t> </w:t>
      </w:r>
      <w:r>
        <w:rPr/>
        <w:t>cent</w:t>
      </w:r>
      <w:r>
        <w:rPr>
          <w:spacing w:val="-7"/>
        </w:rPr>
        <w:t> </w:t>
      </w:r>
      <w:r>
        <w:rPr/>
        <w:t>and 41 per cent respectively.</w:t>
      </w:r>
    </w:p>
    <w:p>
      <w:pPr>
        <w:pStyle w:val="BodyText"/>
        <w:spacing w:before="4"/>
        <w:rPr>
          <w:sz w:val="21"/>
        </w:rPr>
      </w:pPr>
    </w:p>
    <w:p>
      <w:pPr>
        <w:pStyle w:val="BodyText"/>
        <w:spacing w:line="259" w:lineRule="auto"/>
        <w:ind w:left="1336" w:right="1473"/>
        <w:jc w:val="both"/>
      </w:pPr>
      <w:r>
        <w:rPr/>
        <w:t>Whilst this may imply that involvement in EC encourages participants to consider conciliation</w:t>
      </w:r>
      <w:r>
        <w:rPr>
          <w:spacing w:val="-14"/>
        </w:rPr>
        <w:t> </w:t>
      </w:r>
      <w:r>
        <w:rPr/>
        <w:t>at</w:t>
      </w:r>
      <w:r>
        <w:rPr>
          <w:spacing w:val="-14"/>
        </w:rPr>
        <w:t> </w:t>
      </w:r>
      <w:r>
        <w:rPr/>
        <w:t>a</w:t>
      </w:r>
      <w:r>
        <w:rPr>
          <w:spacing w:val="-16"/>
        </w:rPr>
        <w:t> </w:t>
      </w:r>
      <w:r>
        <w:rPr/>
        <w:t>later</w:t>
      </w:r>
      <w:r>
        <w:rPr>
          <w:spacing w:val="-14"/>
        </w:rPr>
        <w:t> </w:t>
      </w:r>
      <w:r>
        <w:rPr/>
        <w:t>stage,</w:t>
      </w:r>
      <w:r>
        <w:rPr>
          <w:spacing w:val="-14"/>
        </w:rPr>
        <w:t> </w:t>
      </w:r>
      <w:r>
        <w:rPr/>
        <w:t>it</w:t>
      </w:r>
      <w:r>
        <w:rPr>
          <w:spacing w:val="-14"/>
        </w:rPr>
        <w:t> </w:t>
      </w:r>
      <w:r>
        <w:rPr/>
        <w:t>may</w:t>
      </w:r>
      <w:r>
        <w:rPr>
          <w:spacing w:val="-15"/>
        </w:rPr>
        <w:t> </w:t>
      </w:r>
      <w:r>
        <w:rPr/>
        <w:t>also</w:t>
      </w:r>
      <w:r>
        <w:rPr>
          <w:spacing w:val="-14"/>
        </w:rPr>
        <w:t> </w:t>
      </w:r>
      <w:r>
        <w:rPr/>
        <w:t>reflect</w:t>
      </w:r>
      <w:r>
        <w:rPr>
          <w:spacing w:val="-14"/>
        </w:rPr>
        <w:t> </w:t>
      </w:r>
      <w:r>
        <w:rPr/>
        <w:t>a</w:t>
      </w:r>
      <w:r>
        <w:rPr>
          <w:spacing w:val="-14"/>
        </w:rPr>
        <w:t> </w:t>
      </w:r>
      <w:r>
        <w:rPr/>
        <w:t>difference</w:t>
      </w:r>
      <w:r>
        <w:rPr>
          <w:spacing w:val="-16"/>
        </w:rPr>
        <w:t> </w:t>
      </w:r>
      <w:r>
        <w:rPr/>
        <w:t>in</w:t>
      </w:r>
      <w:r>
        <w:rPr>
          <w:spacing w:val="-15"/>
        </w:rPr>
        <w:t> </w:t>
      </w:r>
      <w:r>
        <w:rPr/>
        <w:t>the</w:t>
      </w:r>
      <w:r>
        <w:rPr>
          <w:spacing w:val="-16"/>
        </w:rPr>
        <w:t> </w:t>
      </w:r>
      <w:r>
        <w:rPr/>
        <w:t>type</w:t>
      </w:r>
      <w:r>
        <w:rPr>
          <w:spacing w:val="-16"/>
        </w:rPr>
        <w:t> </w:t>
      </w:r>
      <w:r>
        <w:rPr/>
        <w:t>of</w:t>
      </w:r>
      <w:r>
        <w:rPr>
          <w:spacing w:val="-14"/>
        </w:rPr>
        <w:t> </w:t>
      </w:r>
      <w:r>
        <w:rPr/>
        <w:t>participant that chooses to take part in conciliation at any point in the process – that is, a person’s</w:t>
      </w:r>
      <w:r>
        <w:rPr>
          <w:spacing w:val="-14"/>
        </w:rPr>
        <w:t> </w:t>
      </w:r>
      <w:r>
        <w:rPr/>
        <w:t>choice</w:t>
      </w:r>
      <w:r>
        <w:rPr>
          <w:spacing w:val="-13"/>
        </w:rPr>
        <w:t> </w:t>
      </w:r>
      <w:r>
        <w:rPr/>
        <w:t>to</w:t>
      </w:r>
      <w:r>
        <w:rPr>
          <w:spacing w:val="-13"/>
        </w:rPr>
        <w:t> </w:t>
      </w:r>
      <w:r>
        <w:rPr/>
        <w:t>take</w:t>
      </w:r>
      <w:r>
        <w:rPr>
          <w:spacing w:val="-14"/>
        </w:rPr>
        <w:t> </w:t>
      </w:r>
      <w:r>
        <w:rPr/>
        <w:t>part</w:t>
      </w:r>
      <w:r>
        <w:rPr>
          <w:spacing w:val="-12"/>
        </w:rPr>
        <w:t> </w:t>
      </w:r>
      <w:r>
        <w:rPr/>
        <w:t>in</w:t>
      </w:r>
      <w:r>
        <w:rPr>
          <w:spacing w:val="-13"/>
        </w:rPr>
        <w:t> </w:t>
      </w:r>
      <w:r>
        <w:rPr/>
        <w:t>EC</w:t>
      </w:r>
      <w:r>
        <w:rPr>
          <w:spacing w:val="-13"/>
        </w:rPr>
        <w:t> </w:t>
      </w:r>
      <w:r>
        <w:rPr/>
        <w:t>may</w:t>
      </w:r>
      <w:r>
        <w:rPr>
          <w:spacing w:val="-12"/>
        </w:rPr>
        <w:t> </w:t>
      </w:r>
      <w:r>
        <w:rPr/>
        <w:t>signal</w:t>
      </w:r>
      <w:r>
        <w:rPr>
          <w:spacing w:val="-13"/>
        </w:rPr>
        <w:t> </w:t>
      </w:r>
      <w:r>
        <w:rPr/>
        <w:t>their</w:t>
      </w:r>
      <w:r>
        <w:rPr>
          <w:spacing w:val="-13"/>
        </w:rPr>
        <w:t> </w:t>
      </w:r>
      <w:r>
        <w:rPr/>
        <w:t>openness</w:t>
      </w:r>
      <w:r>
        <w:rPr>
          <w:spacing w:val="-13"/>
        </w:rPr>
        <w:t> </w:t>
      </w:r>
      <w:r>
        <w:rPr/>
        <w:t>to</w:t>
      </w:r>
      <w:r>
        <w:rPr>
          <w:spacing w:val="-14"/>
        </w:rPr>
        <w:t> </w:t>
      </w:r>
      <w:r>
        <w:rPr/>
        <w:t>conciliate</w:t>
      </w:r>
      <w:r>
        <w:rPr>
          <w:spacing w:val="-13"/>
        </w:rPr>
        <w:t> </w:t>
      </w:r>
      <w:r>
        <w:rPr/>
        <w:t>generally, rather than at that particular stage.</w:t>
      </w:r>
    </w:p>
    <w:p>
      <w:pPr>
        <w:pStyle w:val="BodyText"/>
        <w:spacing w:before="5"/>
        <w:rPr>
          <w:sz w:val="21"/>
        </w:rPr>
      </w:pPr>
    </w:p>
    <w:p>
      <w:pPr>
        <w:pStyle w:val="BodyText"/>
        <w:spacing w:line="259" w:lineRule="auto"/>
        <w:ind w:left="1336" w:right="1475"/>
        <w:jc w:val="both"/>
      </w:pPr>
      <w:r>
        <w:rPr/>
        <w:t>Of</w:t>
      </w:r>
      <w:r>
        <w:rPr>
          <w:spacing w:val="-15"/>
        </w:rPr>
        <w:t> </w:t>
      </w:r>
      <w:r>
        <w:rPr/>
        <w:t>those</w:t>
      </w:r>
      <w:r>
        <w:rPr>
          <w:spacing w:val="-17"/>
        </w:rPr>
        <w:t> </w:t>
      </w:r>
      <w:r>
        <w:rPr/>
        <w:t>who</w:t>
      </w:r>
      <w:r>
        <w:rPr>
          <w:spacing w:val="-16"/>
        </w:rPr>
        <w:t> </w:t>
      </w:r>
      <w:r>
        <w:rPr/>
        <w:t>opted</w:t>
      </w:r>
      <w:r>
        <w:rPr>
          <w:spacing w:val="-15"/>
        </w:rPr>
        <w:t> </w:t>
      </w:r>
      <w:r>
        <w:rPr>
          <w:i/>
        </w:rPr>
        <w:t>not</w:t>
      </w:r>
      <w:r>
        <w:rPr>
          <w:i/>
          <w:spacing w:val="-17"/>
        </w:rPr>
        <w:t> </w:t>
      </w:r>
      <w:r>
        <w:rPr/>
        <w:t>to</w:t>
      </w:r>
      <w:r>
        <w:rPr>
          <w:spacing w:val="-16"/>
        </w:rPr>
        <w:t> </w:t>
      </w:r>
      <w:r>
        <w:rPr/>
        <w:t>take</w:t>
      </w:r>
      <w:r>
        <w:rPr>
          <w:spacing w:val="-16"/>
        </w:rPr>
        <w:t> </w:t>
      </w:r>
      <w:r>
        <w:rPr/>
        <w:t>part</w:t>
      </w:r>
      <w:r>
        <w:rPr>
          <w:spacing w:val="-17"/>
        </w:rPr>
        <w:t> </w:t>
      </w:r>
      <w:r>
        <w:rPr/>
        <w:t>in</w:t>
      </w:r>
      <w:r>
        <w:rPr>
          <w:spacing w:val="-15"/>
        </w:rPr>
        <w:t> </w:t>
      </w:r>
      <w:r>
        <w:rPr/>
        <w:t>post-ET1</w:t>
      </w:r>
      <w:r>
        <w:rPr>
          <w:spacing w:val="-17"/>
        </w:rPr>
        <w:t> </w:t>
      </w:r>
      <w:r>
        <w:rPr/>
        <w:t>conciliation,</w:t>
      </w:r>
      <w:r>
        <w:rPr>
          <w:spacing w:val="-15"/>
        </w:rPr>
        <w:t> </w:t>
      </w:r>
      <w:r>
        <w:rPr/>
        <w:t>just</w:t>
      </w:r>
      <w:r>
        <w:rPr>
          <w:spacing w:val="-15"/>
        </w:rPr>
        <w:t> </w:t>
      </w:r>
      <w:r>
        <w:rPr/>
        <w:t>a</w:t>
      </w:r>
      <w:r>
        <w:rPr>
          <w:spacing w:val="-17"/>
        </w:rPr>
        <w:t> </w:t>
      </w:r>
      <w:r>
        <w:rPr/>
        <w:t>handful</w:t>
      </w:r>
      <w:r>
        <w:rPr>
          <w:spacing w:val="-16"/>
        </w:rPr>
        <w:t> </w:t>
      </w:r>
      <w:r>
        <w:rPr/>
        <w:t>reported that their decision had been influenced by their experience of EC (five per cent of claimant-side and seven per</w:t>
      </w:r>
      <w:r>
        <w:rPr>
          <w:spacing w:val="-1"/>
        </w:rPr>
        <w:t> </w:t>
      </w:r>
      <w:r>
        <w:rPr/>
        <w:t>cent</w:t>
      </w:r>
      <w:r>
        <w:rPr>
          <w:spacing w:val="-1"/>
        </w:rPr>
        <w:t> </w:t>
      </w:r>
      <w:r>
        <w:rPr/>
        <w:t>of employer-side participants respectively). This suggests that using EC has little to no impact on a participant’s decision to reject post-ET1 conciliation.</w:t>
      </w:r>
    </w:p>
    <w:p>
      <w:pPr>
        <w:pStyle w:val="BodyText"/>
        <w:spacing w:before="6"/>
        <w:rPr>
          <w:sz w:val="21"/>
        </w:rPr>
      </w:pPr>
    </w:p>
    <w:p>
      <w:pPr>
        <w:pStyle w:val="Heading3"/>
        <w:numPr>
          <w:ilvl w:val="1"/>
          <w:numId w:val="2"/>
        </w:numPr>
        <w:tabs>
          <w:tab w:pos="1973" w:val="left" w:leader="none"/>
        </w:tabs>
        <w:spacing w:line="240" w:lineRule="auto" w:before="1" w:after="0"/>
        <w:ind w:left="1972" w:right="0" w:hanging="637"/>
        <w:jc w:val="both"/>
      </w:pPr>
      <w:bookmarkStart w:name="17.2  Perceptions of the conciliator" w:id="222"/>
      <w:bookmarkEnd w:id="222"/>
      <w:r>
        <w:rPr>
          <w:b w:val="0"/>
        </w:rPr>
      </w:r>
      <w:bookmarkStart w:name="_bookmark59" w:id="223"/>
      <w:bookmarkEnd w:id="223"/>
      <w:r>
        <w:rPr/>
        <w:t>P</w:t>
      </w:r>
      <w:r>
        <w:rPr/>
        <w:t>erceptions</w:t>
      </w:r>
      <w:r>
        <w:rPr>
          <w:spacing w:val="-5"/>
        </w:rPr>
        <w:t> </w:t>
      </w:r>
      <w:r>
        <w:rPr/>
        <w:t>of</w:t>
      </w:r>
      <w:r>
        <w:rPr>
          <w:spacing w:val="-4"/>
        </w:rPr>
        <w:t> </w:t>
      </w:r>
      <w:r>
        <w:rPr/>
        <w:t>the</w:t>
      </w:r>
      <w:r>
        <w:rPr>
          <w:spacing w:val="-3"/>
        </w:rPr>
        <w:t> </w:t>
      </w:r>
      <w:r>
        <w:rPr>
          <w:spacing w:val="-2"/>
        </w:rPr>
        <w:t>conciliator</w:t>
      </w:r>
    </w:p>
    <w:p>
      <w:pPr>
        <w:pStyle w:val="Heading4"/>
        <w:numPr>
          <w:ilvl w:val="2"/>
          <w:numId w:val="49"/>
        </w:numPr>
        <w:tabs>
          <w:tab w:pos="2188" w:val="left" w:leader="none"/>
        </w:tabs>
        <w:spacing w:line="240" w:lineRule="auto" w:before="119" w:after="0"/>
        <w:ind w:left="2187" w:right="1477" w:hanging="851"/>
        <w:jc w:val="both"/>
      </w:pPr>
      <w:bookmarkStart w:name="17.2.1 Use of the same conciliator at EC" w:id="224"/>
      <w:bookmarkEnd w:id="224"/>
      <w:r>
        <w:rPr>
          <w:i/>
        </w:rPr>
        <w:t>U</w:t>
      </w:r>
      <w:r>
        <w:rPr>
          <w:i/>
        </w:rPr>
        <w:t>se of the same conciliator at EC and post-ET1 conciliation and</w:t>
      </w:r>
      <w:r>
        <w:rPr/>
        <w:t> ratings of the conciliator</w:t>
      </w:r>
    </w:p>
    <w:p>
      <w:pPr>
        <w:pStyle w:val="BodyText"/>
        <w:spacing w:line="259" w:lineRule="auto" w:before="60"/>
        <w:ind w:left="1336" w:right="1474"/>
        <w:jc w:val="both"/>
      </w:pPr>
      <w:r>
        <w:rPr/>
        <w:t>Three</w:t>
      </w:r>
      <w:r>
        <w:rPr>
          <w:spacing w:val="-18"/>
        </w:rPr>
        <w:t> </w:t>
      </w:r>
      <w:r>
        <w:rPr/>
        <w:t>quarters</w:t>
      </w:r>
      <w:r>
        <w:rPr>
          <w:spacing w:val="-18"/>
        </w:rPr>
        <w:t> </w:t>
      </w:r>
      <w:r>
        <w:rPr/>
        <w:t>(73</w:t>
      </w:r>
      <w:r>
        <w:rPr>
          <w:spacing w:val="-17"/>
        </w:rPr>
        <w:t> </w:t>
      </w:r>
      <w:r>
        <w:rPr/>
        <w:t>per</w:t>
      </w:r>
      <w:r>
        <w:rPr>
          <w:spacing w:val="-18"/>
        </w:rPr>
        <w:t> </w:t>
      </w:r>
      <w:r>
        <w:rPr/>
        <w:t>cent)</w:t>
      </w:r>
      <w:r>
        <w:rPr>
          <w:spacing w:val="-17"/>
        </w:rPr>
        <w:t> </w:t>
      </w:r>
      <w:r>
        <w:rPr/>
        <w:t>of</w:t>
      </w:r>
      <w:r>
        <w:rPr>
          <w:spacing w:val="-18"/>
        </w:rPr>
        <w:t> </w:t>
      </w:r>
      <w:r>
        <w:rPr/>
        <w:t>claimant-side</w:t>
      </w:r>
      <w:r>
        <w:rPr>
          <w:spacing w:val="-18"/>
        </w:rPr>
        <w:t> </w:t>
      </w:r>
      <w:r>
        <w:rPr/>
        <w:t>participants</w:t>
      </w:r>
      <w:r>
        <w:rPr>
          <w:spacing w:val="-17"/>
        </w:rPr>
        <w:t> </w:t>
      </w:r>
      <w:r>
        <w:rPr/>
        <w:t>who</w:t>
      </w:r>
      <w:r>
        <w:rPr>
          <w:spacing w:val="-18"/>
        </w:rPr>
        <w:t> </w:t>
      </w:r>
      <w:r>
        <w:rPr/>
        <w:t>had</w:t>
      </w:r>
      <w:r>
        <w:rPr>
          <w:spacing w:val="-17"/>
        </w:rPr>
        <w:t> </w:t>
      </w:r>
      <w:r>
        <w:rPr/>
        <w:t>previously</w:t>
      </w:r>
      <w:r>
        <w:rPr>
          <w:spacing w:val="-18"/>
        </w:rPr>
        <w:t> </w:t>
      </w:r>
      <w:r>
        <w:rPr/>
        <w:t>taken part in EC confirmed that they had been in touch with the same conciliator at the post-ET1 stage, while two thirds (65 per cent) of employer-side participants said the same. For one in ten (11 per cent and nine per cent respectively), a different conciliator was used at each stage. The claimant-side figures are the same as the 2016 level (also 73 per cent), while there was a slight rise on the employer-side from 56 per cent.</w:t>
      </w:r>
    </w:p>
    <w:p>
      <w:pPr>
        <w:spacing w:after="0" w:line="259" w:lineRule="auto"/>
        <w:jc w:val="both"/>
        <w:sectPr>
          <w:pgSz w:w="11910" w:h="16840"/>
          <w:pgMar w:header="0" w:footer="996" w:top="1340" w:bottom="1180" w:left="460" w:right="320"/>
        </w:sectPr>
      </w:pPr>
    </w:p>
    <w:p>
      <w:pPr>
        <w:pStyle w:val="BodyText"/>
        <w:spacing w:before="82"/>
        <w:ind w:left="1337" w:right="1473"/>
        <w:jc w:val="both"/>
      </w:pPr>
      <w:r>
        <w:rPr/>
        <w:t>Participants in post-ET1 conciliation were asked to rate the Acas conciliator regarding seven factors relating to their personal attributes. These ratings did not differ</w:t>
      </w:r>
      <w:r>
        <w:rPr>
          <w:spacing w:val="-4"/>
        </w:rPr>
        <w:t> </w:t>
      </w:r>
      <w:r>
        <w:rPr/>
        <w:t>significantly</w:t>
      </w:r>
      <w:r>
        <w:rPr>
          <w:spacing w:val="-3"/>
        </w:rPr>
        <w:t> </w:t>
      </w:r>
      <w:r>
        <w:rPr/>
        <w:t>between</w:t>
      </w:r>
      <w:r>
        <w:rPr>
          <w:spacing w:val="-3"/>
        </w:rPr>
        <w:t> </w:t>
      </w:r>
      <w:r>
        <w:rPr/>
        <w:t>those</w:t>
      </w:r>
      <w:r>
        <w:rPr>
          <w:spacing w:val="-5"/>
        </w:rPr>
        <w:t> </w:t>
      </w:r>
      <w:r>
        <w:rPr/>
        <w:t>who</w:t>
      </w:r>
      <w:r>
        <w:rPr>
          <w:spacing w:val="-4"/>
        </w:rPr>
        <w:t> </w:t>
      </w:r>
      <w:r>
        <w:rPr/>
        <w:t>had</w:t>
      </w:r>
      <w:r>
        <w:rPr>
          <w:spacing w:val="-4"/>
        </w:rPr>
        <w:t> </w:t>
      </w:r>
      <w:r>
        <w:rPr/>
        <w:t>and</w:t>
      </w:r>
      <w:r>
        <w:rPr>
          <w:spacing w:val="-6"/>
        </w:rPr>
        <w:t> </w:t>
      </w:r>
      <w:r>
        <w:rPr/>
        <w:t>had</w:t>
      </w:r>
      <w:r>
        <w:rPr>
          <w:spacing w:val="-4"/>
        </w:rPr>
        <w:t> </w:t>
      </w:r>
      <w:r>
        <w:rPr/>
        <w:t>not</w:t>
      </w:r>
      <w:r>
        <w:rPr>
          <w:spacing w:val="-3"/>
        </w:rPr>
        <w:t> </w:t>
      </w:r>
      <w:r>
        <w:rPr/>
        <w:t>taken</w:t>
      </w:r>
      <w:r>
        <w:rPr>
          <w:spacing w:val="-3"/>
        </w:rPr>
        <w:t> </w:t>
      </w:r>
      <w:r>
        <w:rPr/>
        <w:t>part</w:t>
      </w:r>
      <w:r>
        <w:rPr>
          <w:spacing w:val="-3"/>
        </w:rPr>
        <w:t> </w:t>
      </w:r>
      <w:r>
        <w:rPr/>
        <w:t>in</w:t>
      </w:r>
      <w:r>
        <w:rPr>
          <w:spacing w:val="-4"/>
        </w:rPr>
        <w:t> </w:t>
      </w:r>
      <w:r>
        <w:rPr/>
        <w:t>EC.</w:t>
      </w:r>
      <w:r>
        <w:rPr>
          <w:spacing w:val="-4"/>
        </w:rPr>
        <w:t> </w:t>
      </w:r>
      <w:r>
        <w:rPr/>
        <w:t>However, among</w:t>
      </w:r>
      <w:r>
        <w:rPr>
          <w:spacing w:val="-4"/>
        </w:rPr>
        <w:t> </w:t>
      </w:r>
      <w:r>
        <w:rPr/>
        <w:t>the</w:t>
      </w:r>
      <w:r>
        <w:rPr>
          <w:spacing w:val="-5"/>
        </w:rPr>
        <w:t> </w:t>
      </w:r>
      <w:r>
        <w:rPr/>
        <w:t>former</w:t>
      </w:r>
      <w:r>
        <w:rPr>
          <w:spacing w:val="-5"/>
        </w:rPr>
        <w:t> </w:t>
      </w:r>
      <w:r>
        <w:rPr/>
        <w:t>group,</w:t>
      </w:r>
      <w:r>
        <w:rPr>
          <w:spacing w:val="-4"/>
        </w:rPr>
        <w:t> </w:t>
      </w:r>
      <w:r>
        <w:rPr/>
        <w:t>those</w:t>
      </w:r>
      <w:r>
        <w:rPr>
          <w:spacing w:val="-5"/>
        </w:rPr>
        <w:t> </w:t>
      </w:r>
      <w:r>
        <w:rPr/>
        <w:t>in</w:t>
      </w:r>
      <w:r>
        <w:rPr>
          <w:spacing w:val="-5"/>
        </w:rPr>
        <w:t> </w:t>
      </w:r>
      <w:r>
        <w:rPr/>
        <w:t>contact</w:t>
      </w:r>
      <w:r>
        <w:rPr>
          <w:spacing w:val="-5"/>
        </w:rPr>
        <w:t> </w:t>
      </w:r>
      <w:r>
        <w:rPr/>
        <w:t>with</w:t>
      </w:r>
      <w:r>
        <w:rPr>
          <w:spacing w:val="-5"/>
        </w:rPr>
        <w:t> </w:t>
      </w:r>
      <w:r>
        <w:rPr/>
        <w:t>the</w:t>
      </w:r>
      <w:r>
        <w:rPr>
          <w:spacing w:val="-5"/>
        </w:rPr>
        <w:t> </w:t>
      </w:r>
      <w:r>
        <w:rPr/>
        <w:t>same</w:t>
      </w:r>
      <w:r>
        <w:rPr>
          <w:spacing w:val="-5"/>
        </w:rPr>
        <w:t> </w:t>
      </w:r>
      <w:r>
        <w:rPr/>
        <w:t>conciliator</w:t>
      </w:r>
      <w:r>
        <w:rPr>
          <w:spacing w:val="-5"/>
        </w:rPr>
        <w:t> </w:t>
      </w:r>
      <w:r>
        <w:rPr/>
        <w:t>at</w:t>
      </w:r>
      <w:r>
        <w:rPr>
          <w:spacing w:val="-4"/>
        </w:rPr>
        <w:t> </w:t>
      </w:r>
      <w:r>
        <w:rPr/>
        <w:t>both</w:t>
      </w:r>
      <w:r>
        <w:rPr>
          <w:spacing w:val="-4"/>
        </w:rPr>
        <w:t> </w:t>
      </w:r>
      <w:r>
        <w:rPr/>
        <w:t>stages (across both claimant-side and employer-side participants) rated the conciliator’s post-ET1 performance more positively in the following areas than those who dealt with different conciliators:</w:t>
      </w:r>
    </w:p>
    <w:p>
      <w:pPr>
        <w:pStyle w:val="ListParagraph"/>
        <w:numPr>
          <w:ilvl w:val="3"/>
          <w:numId w:val="49"/>
        </w:numPr>
        <w:tabs>
          <w:tab w:pos="2058" w:val="left" w:leader="none"/>
        </w:tabs>
        <w:spacing w:line="240" w:lineRule="auto" w:before="160" w:after="0"/>
        <w:ind w:left="2057" w:right="1471" w:hanging="360"/>
        <w:jc w:val="both"/>
        <w:rPr>
          <w:sz w:val="20"/>
        </w:rPr>
      </w:pPr>
      <w:r>
        <w:rPr>
          <w:sz w:val="20"/>
        </w:rPr>
        <w:t>Eighty-eight per cent of those in touch with the same conciliator at EC and post-ET1</w:t>
      </w:r>
      <w:r>
        <w:rPr>
          <w:spacing w:val="-7"/>
          <w:sz w:val="20"/>
        </w:rPr>
        <w:t> </w:t>
      </w:r>
      <w:r>
        <w:rPr>
          <w:sz w:val="20"/>
        </w:rPr>
        <w:t>agreed</w:t>
      </w:r>
      <w:r>
        <w:rPr>
          <w:spacing w:val="-7"/>
          <w:sz w:val="20"/>
        </w:rPr>
        <w:t> </w:t>
      </w:r>
      <w:r>
        <w:rPr>
          <w:sz w:val="20"/>
        </w:rPr>
        <w:t>their</w:t>
      </w:r>
      <w:r>
        <w:rPr>
          <w:spacing w:val="-7"/>
          <w:sz w:val="20"/>
        </w:rPr>
        <w:t> </w:t>
      </w:r>
      <w:r>
        <w:rPr>
          <w:sz w:val="20"/>
        </w:rPr>
        <w:t>conciliator</w:t>
      </w:r>
      <w:r>
        <w:rPr>
          <w:spacing w:val="-7"/>
          <w:sz w:val="20"/>
        </w:rPr>
        <w:t> </w:t>
      </w:r>
      <w:r>
        <w:rPr>
          <w:sz w:val="20"/>
        </w:rPr>
        <w:t>‘listened</w:t>
      </w:r>
      <w:r>
        <w:rPr>
          <w:spacing w:val="-7"/>
          <w:sz w:val="20"/>
        </w:rPr>
        <w:t> </w:t>
      </w:r>
      <w:r>
        <w:rPr>
          <w:sz w:val="20"/>
        </w:rPr>
        <w:t>carefully</w:t>
      </w:r>
      <w:r>
        <w:rPr>
          <w:spacing w:val="-7"/>
          <w:sz w:val="20"/>
        </w:rPr>
        <w:t> </w:t>
      </w:r>
      <w:r>
        <w:rPr>
          <w:sz w:val="20"/>
        </w:rPr>
        <w:t>to</w:t>
      </w:r>
      <w:r>
        <w:rPr>
          <w:spacing w:val="-7"/>
          <w:sz w:val="20"/>
        </w:rPr>
        <w:t> </w:t>
      </w:r>
      <w:r>
        <w:rPr>
          <w:sz w:val="20"/>
        </w:rPr>
        <w:t>what</w:t>
      </w:r>
      <w:r>
        <w:rPr>
          <w:spacing w:val="-7"/>
          <w:sz w:val="20"/>
        </w:rPr>
        <w:t> </w:t>
      </w:r>
      <w:r>
        <w:rPr>
          <w:sz w:val="20"/>
        </w:rPr>
        <w:t>you</w:t>
      </w:r>
      <w:r>
        <w:rPr>
          <w:spacing w:val="-8"/>
          <w:sz w:val="20"/>
        </w:rPr>
        <w:t> </w:t>
      </w:r>
      <w:r>
        <w:rPr>
          <w:sz w:val="20"/>
        </w:rPr>
        <w:t>had</w:t>
      </w:r>
      <w:r>
        <w:rPr>
          <w:spacing w:val="-7"/>
          <w:sz w:val="20"/>
        </w:rPr>
        <w:t> </w:t>
      </w:r>
      <w:r>
        <w:rPr>
          <w:sz w:val="20"/>
        </w:rPr>
        <w:t>to</w:t>
      </w:r>
      <w:r>
        <w:rPr>
          <w:spacing w:val="-8"/>
          <w:sz w:val="20"/>
        </w:rPr>
        <w:t> </w:t>
      </w:r>
      <w:r>
        <w:rPr>
          <w:sz w:val="20"/>
        </w:rPr>
        <w:t>say’, compared with 77 per cent of those with different conciliators;</w:t>
      </w:r>
    </w:p>
    <w:p>
      <w:pPr>
        <w:pStyle w:val="ListParagraph"/>
        <w:numPr>
          <w:ilvl w:val="3"/>
          <w:numId w:val="49"/>
        </w:numPr>
        <w:tabs>
          <w:tab w:pos="2058" w:val="left" w:leader="none"/>
        </w:tabs>
        <w:spacing w:line="240" w:lineRule="auto" w:before="158" w:after="0"/>
        <w:ind w:left="2057" w:right="1475" w:hanging="360"/>
        <w:jc w:val="both"/>
        <w:rPr>
          <w:sz w:val="20"/>
        </w:rPr>
      </w:pPr>
      <w:r>
        <w:rPr>
          <w:sz w:val="20"/>
        </w:rPr>
        <w:t>Similarly, 83 per cent of this group agreed the conciliator ‘Was actively involved</w:t>
      </w:r>
      <w:r>
        <w:rPr>
          <w:spacing w:val="-14"/>
          <w:sz w:val="20"/>
        </w:rPr>
        <w:t> </w:t>
      </w:r>
      <w:r>
        <w:rPr>
          <w:sz w:val="20"/>
        </w:rPr>
        <w:t>in</w:t>
      </w:r>
      <w:r>
        <w:rPr>
          <w:spacing w:val="-15"/>
          <w:sz w:val="20"/>
        </w:rPr>
        <w:t> </w:t>
      </w:r>
      <w:r>
        <w:rPr>
          <w:sz w:val="20"/>
        </w:rPr>
        <w:t>seeking</w:t>
      </w:r>
      <w:r>
        <w:rPr>
          <w:spacing w:val="-14"/>
          <w:sz w:val="20"/>
        </w:rPr>
        <w:t> </w:t>
      </w:r>
      <w:r>
        <w:rPr>
          <w:sz w:val="20"/>
        </w:rPr>
        <w:t>an</w:t>
      </w:r>
      <w:r>
        <w:rPr>
          <w:spacing w:val="-16"/>
          <w:sz w:val="20"/>
        </w:rPr>
        <w:t> </w:t>
      </w:r>
      <w:r>
        <w:rPr>
          <w:sz w:val="20"/>
        </w:rPr>
        <w:t>agreement</w:t>
      </w:r>
      <w:r>
        <w:rPr>
          <w:spacing w:val="-14"/>
          <w:sz w:val="20"/>
        </w:rPr>
        <w:t> </w:t>
      </w:r>
      <w:r>
        <w:rPr>
          <w:sz w:val="20"/>
        </w:rPr>
        <w:t>to</w:t>
      </w:r>
      <w:r>
        <w:rPr>
          <w:spacing w:val="-14"/>
          <w:sz w:val="20"/>
        </w:rPr>
        <w:t> </w:t>
      </w:r>
      <w:r>
        <w:rPr>
          <w:sz w:val="20"/>
        </w:rPr>
        <w:t>settle’,</w:t>
      </w:r>
      <w:r>
        <w:rPr>
          <w:spacing w:val="-15"/>
          <w:sz w:val="20"/>
        </w:rPr>
        <w:t> </w:t>
      </w:r>
      <w:r>
        <w:rPr>
          <w:sz w:val="20"/>
        </w:rPr>
        <w:t>versus</w:t>
      </w:r>
      <w:r>
        <w:rPr>
          <w:spacing w:val="-15"/>
          <w:sz w:val="20"/>
        </w:rPr>
        <w:t> </w:t>
      </w:r>
      <w:r>
        <w:rPr>
          <w:sz w:val="20"/>
        </w:rPr>
        <w:t>69</w:t>
      </w:r>
      <w:r>
        <w:rPr>
          <w:spacing w:val="-16"/>
          <w:sz w:val="20"/>
        </w:rPr>
        <w:t> </w:t>
      </w:r>
      <w:r>
        <w:rPr>
          <w:sz w:val="20"/>
        </w:rPr>
        <w:t>per</w:t>
      </w:r>
      <w:r>
        <w:rPr>
          <w:spacing w:val="-15"/>
          <w:sz w:val="20"/>
        </w:rPr>
        <w:t> </w:t>
      </w:r>
      <w:r>
        <w:rPr>
          <w:sz w:val="20"/>
        </w:rPr>
        <w:t>cent</w:t>
      </w:r>
      <w:r>
        <w:rPr>
          <w:spacing w:val="-15"/>
          <w:sz w:val="20"/>
        </w:rPr>
        <w:t> </w:t>
      </w:r>
      <w:r>
        <w:rPr>
          <w:sz w:val="20"/>
        </w:rPr>
        <w:t>of</w:t>
      </w:r>
      <w:r>
        <w:rPr>
          <w:spacing w:val="-15"/>
          <w:sz w:val="20"/>
        </w:rPr>
        <w:t> </w:t>
      </w:r>
      <w:r>
        <w:rPr>
          <w:sz w:val="20"/>
        </w:rPr>
        <w:t>those</w:t>
      </w:r>
      <w:r>
        <w:rPr>
          <w:spacing w:val="-14"/>
          <w:sz w:val="20"/>
        </w:rPr>
        <w:t> </w:t>
      </w:r>
      <w:r>
        <w:rPr>
          <w:sz w:val="20"/>
        </w:rPr>
        <w:t>who did not have the same conciliator at the post-ET1 stage;</w:t>
      </w:r>
    </w:p>
    <w:p>
      <w:pPr>
        <w:pStyle w:val="ListParagraph"/>
        <w:numPr>
          <w:ilvl w:val="3"/>
          <w:numId w:val="49"/>
        </w:numPr>
        <w:tabs>
          <w:tab w:pos="2058" w:val="left" w:leader="none"/>
        </w:tabs>
        <w:spacing w:line="240" w:lineRule="auto" w:before="159" w:after="0"/>
        <w:ind w:left="2057" w:right="1473" w:hanging="360"/>
        <w:jc w:val="both"/>
        <w:rPr>
          <w:sz w:val="20"/>
        </w:rPr>
      </w:pPr>
      <w:r>
        <w:rPr>
          <w:sz w:val="20"/>
        </w:rPr>
        <w:t>Sixty-one per cent of this group agreed their conciliator ‘Helped you to decide</w:t>
      </w:r>
      <w:r>
        <w:rPr>
          <w:spacing w:val="-2"/>
          <w:sz w:val="20"/>
        </w:rPr>
        <w:t> </w:t>
      </w:r>
      <w:r>
        <w:rPr>
          <w:sz w:val="20"/>
        </w:rPr>
        <w:t>whether</w:t>
      </w:r>
      <w:r>
        <w:rPr>
          <w:spacing w:val="-2"/>
          <w:sz w:val="20"/>
        </w:rPr>
        <w:t> </w:t>
      </w:r>
      <w:r>
        <w:rPr>
          <w:sz w:val="20"/>
        </w:rPr>
        <w:t>or</w:t>
      </w:r>
      <w:r>
        <w:rPr>
          <w:spacing w:val="-2"/>
          <w:sz w:val="20"/>
        </w:rPr>
        <w:t> </w:t>
      </w:r>
      <w:r>
        <w:rPr>
          <w:sz w:val="20"/>
        </w:rPr>
        <w:t>not</w:t>
      </w:r>
      <w:r>
        <w:rPr>
          <w:spacing w:val="-3"/>
          <w:sz w:val="20"/>
        </w:rPr>
        <w:t> </w:t>
      </w:r>
      <w:r>
        <w:rPr>
          <w:sz w:val="20"/>
        </w:rPr>
        <w:t>to</w:t>
      </w:r>
      <w:r>
        <w:rPr>
          <w:spacing w:val="-2"/>
          <w:sz w:val="20"/>
        </w:rPr>
        <w:t> </w:t>
      </w:r>
      <w:r>
        <w:rPr>
          <w:sz w:val="20"/>
        </w:rPr>
        <w:t>settle</w:t>
      </w:r>
      <w:r>
        <w:rPr>
          <w:spacing w:val="-2"/>
          <w:sz w:val="20"/>
        </w:rPr>
        <w:t> </w:t>
      </w:r>
      <w:r>
        <w:rPr>
          <w:sz w:val="20"/>
        </w:rPr>
        <w:t>your</w:t>
      </w:r>
      <w:r>
        <w:rPr>
          <w:spacing w:val="-2"/>
          <w:sz w:val="20"/>
        </w:rPr>
        <w:t> </w:t>
      </w:r>
      <w:r>
        <w:rPr>
          <w:sz w:val="20"/>
        </w:rPr>
        <w:t>case,</w:t>
      </w:r>
      <w:r>
        <w:rPr>
          <w:spacing w:val="-1"/>
          <w:sz w:val="20"/>
        </w:rPr>
        <w:t> </w:t>
      </w:r>
      <w:r>
        <w:rPr>
          <w:sz w:val="20"/>
        </w:rPr>
        <w:t>without</w:t>
      </w:r>
      <w:r>
        <w:rPr>
          <w:spacing w:val="-3"/>
          <w:sz w:val="20"/>
        </w:rPr>
        <w:t> </w:t>
      </w:r>
      <w:r>
        <w:rPr>
          <w:sz w:val="20"/>
        </w:rPr>
        <w:t>undue</w:t>
      </w:r>
      <w:r>
        <w:rPr>
          <w:spacing w:val="-2"/>
          <w:sz w:val="20"/>
        </w:rPr>
        <w:t> </w:t>
      </w:r>
      <w:r>
        <w:rPr>
          <w:sz w:val="20"/>
        </w:rPr>
        <w:t>influence’,</w:t>
      </w:r>
      <w:r>
        <w:rPr>
          <w:spacing w:val="-1"/>
          <w:sz w:val="20"/>
        </w:rPr>
        <w:t> </w:t>
      </w:r>
      <w:r>
        <w:rPr>
          <w:sz w:val="20"/>
        </w:rPr>
        <w:t>almost double the level among those who were not in touch with the same conciliator post-ET1 (37 per cent). Disagreement with this statement was markedly lower for those who kept the same conciliator, too; 15 per cent disagreed, compared with 33 per cent who did not.</w:t>
      </w:r>
    </w:p>
    <w:p>
      <w:pPr>
        <w:pStyle w:val="BodyText"/>
        <w:spacing w:line="259" w:lineRule="auto" w:before="158"/>
        <w:ind w:left="1336" w:right="1475"/>
        <w:jc w:val="both"/>
      </w:pPr>
      <w:r>
        <w:rPr/>
        <w:t>Participants were also asked how much they agreed that the conciliator had exhibited</w:t>
      </w:r>
      <w:r>
        <w:rPr>
          <w:spacing w:val="-1"/>
        </w:rPr>
        <w:t> </w:t>
      </w:r>
      <w:r>
        <w:rPr/>
        <w:t>several</w:t>
      </w:r>
      <w:r>
        <w:rPr>
          <w:spacing w:val="-2"/>
        </w:rPr>
        <w:t> </w:t>
      </w:r>
      <w:r>
        <w:rPr/>
        <w:t>different</w:t>
      </w:r>
      <w:r>
        <w:rPr>
          <w:spacing w:val="-2"/>
        </w:rPr>
        <w:t> </w:t>
      </w:r>
      <w:r>
        <w:rPr/>
        <w:t>traits</w:t>
      </w:r>
      <w:r>
        <w:rPr>
          <w:spacing w:val="-2"/>
        </w:rPr>
        <w:t> </w:t>
      </w:r>
      <w:r>
        <w:rPr/>
        <w:t>during</w:t>
      </w:r>
      <w:r>
        <w:rPr>
          <w:spacing w:val="-1"/>
        </w:rPr>
        <w:t> </w:t>
      </w:r>
      <w:r>
        <w:rPr/>
        <w:t>post-ET1</w:t>
      </w:r>
      <w:r>
        <w:rPr>
          <w:spacing w:val="-1"/>
        </w:rPr>
        <w:t> </w:t>
      </w:r>
      <w:r>
        <w:rPr/>
        <w:t>conciliation.</w:t>
      </w:r>
      <w:r>
        <w:rPr>
          <w:spacing w:val="-3"/>
        </w:rPr>
        <w:t> </w:t>
      </w:r>
      <w:r>
        <w:rPr/>
        <w:t>Here,</w:t>
      </w:r>
      <w:r>
        <w:rPr>
          <w:spacing w:val="-1"/>
        </w:rPr>
        <w:t> </w:t>
      </w:r>
      <w:r>
        <w:rPr/>
        <w:t>there</w:t>
      </w:r>
      <w:r>
        <w:rPr>
          <w:spacing w:val="-1"/>
        </w:rPr>
        <w:t> </w:t>
      </w:r>
      <w:r>
        <w:rPr/>
        <w:t>was</w:t>
      </w:r>
      <w:r>
        <w:rPr>
          <w:spacing w:val="-2"/>
        </w:rPr>
        <w:t> </w:t>
      </w:r>
      <w:r>
        <w:rPr/>
        <w:t>just one significant difference between those who had and had not taken part in EC – claimant-side participants who had </w:t>
      </w:r>
      <w:r>
        <w:rPr>
          <w:i/>
        </w:rPr>
        <w:t>not </w:t>
      </w:r>
      <w:r>
        <w:rPr/>
        <w:t>taken part in EC were more likely to agree that the conciliator had been knowledgeable than those who had taken part in EC (74 per cent and 88 per cent respectively).</w:t>
      </w:r>
    </w:p>
    <w:p>
      <w:pPr>
        <w:pStyle w:val="BodyText"/>
        <w:spacing w:before="5"/>
        <w:rPr>
          <w:sz w:val="21"/>
        </w:rPr>
      </w:pPr>
    </w:p>
    <w:p>
      <w:pPr>
        <w:pStyle w:val="Heading4"/>
        <w:numPr>
          <w:ilvl w:val="2"/>
          <w:numId w:val="49"/>
        </w:numPr>
        <w:tabs>
          <w:tab w:pos="2188" w:val="left" w:leader="none"/>
        </w:tabs>
        <w:spacing w:line="240" w:lineRule="auto" w:before="1" w:after="0"/>
        <w:ind w:left="2187" w:right="0" w:hanging="852"/>
        <w:jc w:val="both"/>
        <w:rPr>
          <w:i/>
        </w:rPr>
      </w:pPr>
      <w:bookmarkStart w:name="17.2.2 Perceptions of conciliator even-h" w:id="225"/>
      <w:bookmarkEnd w:id="225"/>
      <w:r>
        <w:rPr>
          <w:i/>
        </w:rPr>
        <w:t>P</w:t>
      </w:r>
      <w:r>
        <w:rPr>
          <w:i/>
        </w:rPr>
        <w:t>erceptions</w:t>
      </w:r>
      <w:r>
        <w:rPr>
          <w:i/>
          <w:spacing w:val="-9"/>
        </w:rPr>
        <w:t> </w:t>
      </w:r>
      <w:r>
        <w:rPr>
          <w:i/>
        </w:rPr>
        <w:t>of</w:t>
      </w:r>
      <w:r>
        <w:rPr>
          <w:i/>
          <w:spacing w:val="-6"/>
        </w:rPr>
        <w:t> </w:t>
      </w:r>
      <w:r>
        <w:rPr>
          <w:i/>
        </w:rPr>
        <w:t>conciliator</w:t>
      </w:r>
      <w:r>
        <w:rPr>
          <w:i/>
          <w:spacing w:val="-6"/>
        </w:rPr>
        <w:t> </w:t>
      </w:r>
      <w:r>
        <w:rPr>
          <w:i/>
        </w:rPr>
        <w:t>even-handedness</w:t>
      </w:r>
      <w:r>
        <w:rPr>
          <w:i/>
          <w:spacing w:val="-7"/>
        </w:rPr>
        <w:t> </w:t>
      </w:r>
      <w:r>
        <w:rPr>
          <w:i/>
        </w:rPr>
        <w:t>and</w:t>
      </w:r>
      <w:r>
        <w:rPr>
          <w:i/>
          <w:spacing w:val="-5"/>
        </w:rPr>
        <w:t> </w:t>
      </w:r>
      <w:r>
        <w:rPr>
          <w:i/>
          <w:spacing w:val="-2"/>
        </w:rPr>
        <w:t>availability</w:t>
      </w:r>
    </w:p>
    <w:p>
      <w:pPr>
        <w:pStyle w:val="BodyText"/>
        <w:spacing w:line="259" w:lineRule="auto" w:before="60"/>
        <w:ind w:left="1336" w:right="1473"/>
        <w:jc w:val="both"/>
      </w:pPr>
      <w:r>
        <w:rPr/>
        <w:t>All</w:t>
      </w:r>
      <w:r>
        <w:rPr>
          <w:spacing w:val="-3"/>
        </w:rPr>
        <w:t> </w:t>
      </w:r>
      <w:r>
        <w:rPr/>
        <w:t>participants</w:t>
      </w:r>
      <w:r>
        <w:rPr>
          <w:spacing w:val="-2"/>
        </w:rPr>
        <w:t> </w:t>
      </w:r>
      <w:r>
        <w:rPr/>
        <w:t>in</w:t>
      </w:r>
      <w:r>
        <w:rPr>
          <w:spacing w:val="-3"/>
        </w:rPr>
        <w:t> </w:t>
      </w:r>
      <w:r>
        <w:rPr/>
        <w:t>post-ET1</w:t>
      </w:r>
      <w:r>
        <w:rPr>
          <w:spacing w:val="-2"/>
        </w:rPr>
        <w:t> </w:t>
      </w:r>
      <w:r>
        <w:rPr/>
        <w:t>conciliation</w:t>
      </w:r>
      <w:r>
        <w:rPr>
          <w:spacing w:val="-1"/>
        </w:rPr>
        <w:t> </w:t>
      </w:r>
      <w:r>
        <w:rPr/>
        <w:t>were</w:t>
      </w:r>
      <w:r>
        <w:rPr>
          <w:spacing w:val="-2"/>
        </w:rPr>
        <w:t> </w:t>
      </w:r>
      <w:r>
        <w:rPr/>
        <w:t>asked</w:t>
      </w:r>
      <w:r>
        <w:rPr>
          <w:spacing w:val="-2"/>
        </w:rPr>
        <w:t> </w:t>
      </w:r>
      <w:r>
        <w:rPr/>
        <w:t>whether</w:t>
      </w:r>
      <w:r>
        <w:rPr>
          <w:spacing w:val="-2"/>
        </w:rPr>
        <w:t> </w:t>
      </w:r>
      <w:r>
        <w:rPr/>
        <w:t>they</w:t>
      </w:r>
      <w:r>
        <w:rPr>
          <w:spacing w:val="-2"/>
        </w:rPr>
        <w:t> </w:t>
      </w:r>
      <w:r>
        <w:rPr/>
        <w:t>believed</w:t>
      </w:r>
      <w:r>
        <w:rPr>
          <w:spacing w:val="-2"/>
        </w:rPr>
        <w:t> </w:t>
      </w:r>
      <w:r>
        <w:rPr/>
        <w:t>that</w:t>
      </w:r>
      <w:r>
        <w:rPr>
          <w:spacing w:val="-3"/>
        </w:rPr>
        <w:t> </w:t>
      </w:r>
      <w:r>
        <w:rPr/>
        <w:t>the conciliator had been more on their side, the side of the other party, or whether they</w:t>
      </w:r>
      <w:r>
        <w:rPr>
          <w:spacing w:val="-16"/>
        </w:rPr>
        <w:t> </w:t>
      </w:r>
      <w:r>
        <w:rPr/>
        <w:t>had</w:t>
      </w:r>
      <w:r>
        <w:rPr>
          <w:spacing w:val="-15"/>
        </w:rPr>
        <w:t> </w:t>
      </w:r>
      <w:r>
        <w:rPr/>
        <w:t>been</w:t>
      </w:r>
      <w:r>
        <w:rPr>
          <w:spacing w:val="-15"/>
        </w:rPr>
        <w:t> </w:t>
      </w:r>
      <w:r>
        <w:rPr/>
        <w:t>even</w:t>
      </w:r>
      <w:r>
        <w:rPr>
          <w:spacing w:val="-15"/>
        </w:rPr>
        <w:t> </w:t>
      </w:r>
      <w:r>
        <w:rPr/>
        <w:t>handed</w:t>
      </w:r>
      <w:r>
        <w:rPr>
          <w:spacing w:val="-15"/>
        </w:rPr>
        <w:t> </w:t>
      </w:r>
      <w:r>
        <w:rPr/>
        <w:t>between</w:t>
      </w:r>
      <w:r>
        <w:rPr>
          <w:spacing w:val="-15"/>
        </w:rPr>
        <w:t> </w:t>
      </w:r>
      <w:r>
        <w:rPr/>
        <w:t>the</w:t>
      </w:r>
      <w:r>
        <w:rPr>
          <w:spacing w:val="-16"/>
        </w:rPr>
        <w:t> </w:t>
      </w:r>
      <w:r>
        <w:rPr/>
        <w:t>two.</w:t>
      </w:r>
      <w:r>
        <w:rPr>
          <w:spacing w:val="-15"/>
        </w:rPr>
        <w:t> </w:t>
      </w:r>
      <w:r>
        <w:rPr/>
        <w:t>A</w:t>
      </w:r>
      <w:r>
        <w:rPr>
          <w:spacing w:val="-17"/>
        </w:rPr>
        <w:t> </w:t>
      </w:r>
      <w:r>
        <w:rPr/>
        <w:t>majority</w:t>
      </w:r>
      <w:r>
        <w:rPr>
          <w:spacing w:val="-15"/>
        </w:rPr>
        <w:t> </w:t>
      </w:r>
      <w:r>
        <w:rPr/>
        <w:t>of</w:t>
      </w:r>
      <w:r>
        <w:rPr>
          <w:spacing w:val="-15"/>
        </w:rPr>
        <w:t> </w:t>
      </w:r>
      <w:r>
        <w:rPr/>
        <w:t>claimant</w:t>
      </w:r>
      <w:r>
        <w:rPr>
          <w:spacing w:val="-15"/>
        </w:rPr>
        <w:t> </w:t>
      </w:r>
      <w:r>
        <w:rPr/>
        <w:t>and</w:t>
      </w:r>
      <w:r>
        <w:rPr>
          <w:spacing w:val="-15"/>
        </w:rPr>
        <w:t> </w:t>
      </w:r>
      <w:r>
        <w:rPr/>
        <w:t>employer- side</w:t>
      </w:r>
      <w:r>
        <w:rPr>
          <w:spacing w:val="-10"/>
        </w:rPr>
        <w:t> </w:t>
      </w:r>
      <w:r>
        <w:rPr/>
        <w:t>participants</w:t>
      </w:r>
      <w:r>
        <w:rPr>
          <w:spacing w:val="-9"/>
        </w:rPr>
        <w:t> </w:t>
      </w:r>
      <w:r>
        <w:rPr/>
        <w:t>(75</w:t>
      </w:r>
      <w:r>
        <w:rPr>
          <w:spacing w:val="-9"/>
        </w:rPr>
        <w:t> </w:t>
      </w:r>
      <w:r>
        <w:rPr/>
        <w:t>per</w:t>
      </w:r>
      <w:r>
        <w:rPr>
          <w:spacing w:val="-10"/>
        </w:rPr>
        <w:t> </w:t>
      </w:r>
      <w:r>
        <w:rPr/>
        <w:t>cent</w:t>
      </w:r>
      <w:r>
        <w:rPr>
          <w:spacing w:val="-9"/>
        </w:rPr>
        <w:t> </w:t>
      </w:r>
      <w:r>
        <w:rPr/>
        <w:t>and</w:t>
      </w:r>
      <w:r>
        <w:rPr>
          <w:spacing w:val="-9"/>
        </w:rPr>
        <w:t> </w:t>
      </w:r>
      <w:r>
        <w:rPr/>
        <w:t>85</w:t>
      </w:r>
      <w:r>
        <w:rPr>
          <w:spacing w:val="-9"/>
        </w:rPr>
        <w:t> </w:t>
      </w:r>
      <w:r>
        <w:rPr/>
        <w:t>per</w:t>
      </w:r>
      <w:r>
        <w:rPr>
          <w:spacing w:val="-10"/>
        </w:rPr>
        <w:t> </w:t>
      </w:r>
      <w:r>
        <w:rPr/>
        <w:t>cent</w:t>
      </w:r>
      <w:r>
        <w:rPr>
          <w:spacing w:val="-9"/>
        </w:rPr>
        <w:t> </w:t>
      </w:r>
      <w:r>
        <w:rPr/>
        <w:t>respectively)</w:t>
      </w:r>
      <w:r>
        <w:rPr>
          <w:spacing w:val="-9"/>
        </w:rPr>
        <w:t> </w:t>
      </w:r>
      <w:r>
        <w:rPr/>
        <w:t>said</w:t>
      </w:r>
      <w:r>
        <w:rPr>
          <w:spacing w:val="-9"/>
        </w:rPr>
        <w:t> </w:t>
      </w:r>
      <w:r>
        <w:rPr/>
        <w:t>the</w:t>
      </w:r>
      <w:r>
        <w:rPr>
          <w:spacing w:val="-10"/>
        </w:rPr>
        <w:t> </w:t>
      </w:r>
      <w:r>
        <w:rPr/>
        <w:t>conciliator</w:t>
      </w:r>
      <w:r>
        <w:rPr>
          <w:spacing w:val="-10"/>
        </w:rPr>
        <w:t> </w:t>
      </w:r>
      <w:r>
        <w:rPr/>
        <w:t>had been even-handed.</w:t>
      </w:r>
    </w:p>
    <w:p>
      <w:pPr>
        <w:pStyle w:val="BodyText"/>
        <w:spacing w:before="5"/>
        <w:rPr>
          <w:sz w:val="21"/>
        </w:rPr>
      </w:pPr>
    </w:p>
    <w:p>
      <w:pPr>
        <w:pStyle w:val="BodyText"/>
        <w:spacing w:line="259" w:lineRule="auto"/>
        <w:ind w:left="1336" w:right="1474"/>
        <w:jc w:val="both"/>
      </w:pPr>
      <w:r>
        <w:rPr/>
        <w:t>These</w:t>
      </w:r>
      <w:r>
        <w:rPr>
          <w:spacing w:val="-18"/>
        </w:rPr>
        <w:t> </w:t>
      </w:r>
      <w:r>
        <w:rPr/>
        <w:t>ratings</w:t>
      </w:r>
      <w:r>
        <w:rPr>
          <w:spacing w:val="-18"/>
        </w:rPr>
        <w:t> </w:t>
      </w:r>
      <w:r>
        <w:rPr/>
        <w:t>do</w:t>
      </w:r>
      <w:r>
        <w:rPr>
          <w:spacing w:val="-17"/>
        </w:rPr>
        <w:t> </w:t>
      </w:r>
      <w:r>
        <w:rPr/>
        <w:t>not</w:t>
      </w:r>
      <w:r>
        <w:rPr>
          <w:spacing w:val="-18"/>
        </w:rPr>
        <w:t> </w:t>
      </w:r>
      <w:r>
        <w:rPr/>
        <w:t>differ</w:t>
      </w:r>
      <w:r>
        <w:rPr>
          <w:spacing w:val="-17"/>
        </w:rPr>
        <w:t> </w:t>
      </w:r>
      <w:r>
        <w:rPr/>
        <w:t>significantly</w:t>
      </w:r>
      <w:r>
        <w:rPr>
          <w:spacing w:val="-18"/>
        </w:rPr>
        <w:t> </w:t>
      </w:r>
      <w:r>
        <w:rPr/>
        <w:t>between</w:t>
      </w:r>
      <w:r>
        <w:rPr>
          <w:spacing w:val="-18"/>
        </w:rPr>
        <w:t> </w:t>
      </w:r>
      <w:r>
        <w:rPr/>
        <w:t>those</w:t>
      </w:r>
      <w:r>
        <w:rPr>
          <w:spacing w:val="-17"/>
        </w:rPr>
        <w:t> </w:t>
      </w:r>
      <w:r>
        <w:rPr/>
        <w:t>who</w:t>
      </w:r>
      <w:r>
        <w:rPr>
          <w:spacing w:val="-18"/>
        </w:rPr>
        <w:t> </w:t>
      </w:r>
      <w:r>
        <w:rPr/>
        <w:t>participated</w:t>
      </w:r>
      <w:r>
        <w:rPr>
          <w:spacing w:val="-17"/>
        </w:rPr>
        <w:t> </w:t>
      </w:r>
      <w:r>
        <w:rPr/>
        <w:t>in</w:t>
      </w:r>
      <w:r>
        <w:rPr>
          <w:spacing w:val="-18"/>
        </w:rPr>
        <w:t> </w:t>
      </w:r>
      <w:r>
        <w:rPr/>
        <w:t>EC</w:t>
      </w:r>
      <w:r>
        <w:rPr>
          <w:spacing w:val="-17"/>
        </w:rPr>
        <w:t> </w:t>
      </w:r>
      <w:r>
        <w:rPr/>
        <w:t>earlier in</w:t>
      </w:r>
      <w:r>
        <w:rPr>
          <w:spacing w:val="-10"/>
        </w:rPr>
        <w:t> </w:t>
      </w:r>
      <w:r>
        <w:rPr/>
        <w:t>the</w:t>
      </w:r>
      <w:r>
        <w:rPr>
          <w:spacing w:val="-11"/>
        </w:rPr>
        <w:t> </w:t>
      </w:r>
      <w:r>
        <w:rPr/>
        <w:t>dispute</w:t>
      </w:r>
      <w:r>
        <w:rPr>
          <w:spacing w:val="-11"/>
        </w:rPr>
        <w:t> </w:t>
      </w:r>
      <w:r>
        <w:rPr/>
        <w:t>and</w:t>
      </w:r>
      <w:r>
        <w:rPr>
          <w:spacing w:val="-11"/>
        </w:rPr>
        <w:t> </w:t>
      </w:r>
      <w:r>
        <w:rPr/>
        <w:t>those</w:t>
      </w:r>
      <w:r>
        <w:rPr>
          <w:spacing w:val="-11"/>
        </w:rPr>
        <w:t> </w:t>
      </w:r>
      <w:r>
        <w:rPr/>
        <w:t>who</w:t>
      </w:r>
      <w:r>
        <w:rPr>
          <w:spacing w:val="-11"/>
        </w:rPr>
        <w:t> </w:t>
      </w:r>
      <w:r>
        <w:rPr/>
        <w:t>did</w:t>
      </w:r>
      <w:r>
        <w:rPr>
          <w:spacing w:val="-11"/>
        </w:rPr>
        <w:t> </w:t>
      </w:r>
      <w:r>
        <w:rPr/>
        <w:t>not:</w:t>
      </w:r>
      <w:r>
        <w:rPr>
          <w:spacing w:val="-10"/>
        </w:rPr>
        <w:t> </w:t>
      </w:r>
      <w:r>
        <w:rPr/>
        <w:t>75</w:t>
      </w:r>
      <w:r>
        <w:rPr>
          <w:spacing w:val="-11"/>
        </w:rPr>
        <w:t> </w:t>
      </w:r>
      <w:r>
        <w:rPr/>
        <w:t>per</w:t>
      </w:r>
      <w:r>
        <w:rPr>
          <w:spacing w:val="-11"/>
        </w:rPr>
        <w:t> </w:t>
      </w:r>
      <w:r>
        <w:rPr/>
        <w:t>cent</w:t>
      </w:r>
      <w:r>
        <w:rPr>
          <w:spacing w:val="-10"/>
        </w:rPr>
        <w:t> </w:t>
      </w:r>
      <w:r>
        <w:rPr/>
        <w:t>of</w:t>
      </w:r>
      <w:r>
        <w:rPr>
          <w:spacing w:val="-10"/>
        </w:rPr>
        <w:t> </w:t>
      </w:r>
      <w:r>
        <w:rPr/>
        <w:t>claimant-side</w:t>
      </w:r>
      <w:r>
        <w:rPr>
          <w:spacing w:val="-11"/>
        </w:rPr>
        <w:t> </w:t>
      </w:r>
      <w:r>
        <w:rPr/>
        <w:t>participants</w:t>
      </w:r>
      <w:r>
        <w:rPr>
          <w:spacing w:val="-10"/>
        </w:rPr>
        <w:t> </w:t>
      </w:r>
      <w:r>
        <w:rPr/>
        <w:t>who took part in EC agreed that the conciliator had been even handed, while 74 per cent of those who did not take part in EC said the same. Among employers, the comparable figures were 84 per cent and 85 per cent respectively.</w:t>
      </w:r>
    </w:p>
    <w:p>
      <w:pPr>
        <w:pStyle w:val="BodyText"/>
        <w:spacing w:before="6"/>
        <w:rPr>
          <w:sz w:val="21"/>
        </w:rPr>
      </w:pPr>
    </w:p>
    <w:p>
      <w:pPr>
        <w:pStyle w:val="BodyText"/>
        <w:spacing w:line="259" w:lineRule="auto"/>
        <w:ind w:left="1336" w:right="1473"/>
        <w:jc w:val="both"/>
      </w:pPr>
      <w:r>
        <w:rPr/>
        <w:t>There was also no significant difference in perceptions of even-handedness based on the number of conciliators involved or whether participants in ET conciliation were in touch with the same conciliator as they had been during the EC process. However,</w:t>
      </w:r>
      <w:r>
        <w:rPr>
          <w:spacing w:val="-15"/>
        </w:rPr>
        <w:t> </w:t>
      </w:r>
      <w:r>
        <w:rPr/>
        <w:t>for</w:t>
      </w:r>
      <w:r>
        <w:rPr>
          <w:spacing w:val="-14"/>
        </w:rPr>
        <w:t> </w:t>
      </w:r>
      <w:r>
        <w:rPr/>
        <w:t>this</w:t>
      </w:r>
      <w:r>
        <w:rPr>
          <w:spacing w:val="-14"/>
        </w:rPr>
        <w:t> </w:t>
      </w:r>
      <w:r>
        <w:rPr/>
        <w:t>latter</w:t>
      </w:r>
      <w:r>
        <w:rPr>
          <w:spacing w:val="-16"/>
        </w:rPr>
        <w:t> </w:t>
      </w:r>
      <w:r>
        <w:rPr/>
        <w:t>group</w:t>
      </w:r>
      <w:r>
        <w:rPr>
          <w:spacing w:val="-14"/>
        </w:rPr>
        <w:t> </w:t>
      </w:r>
      <w:r>
        <w:rPr/>
        <w:t>there</w:t>
      </w:r>
      <w:r>
        <w:rPr>
          <w:spacing w:val="-16"/>
        </w:rPr>
        <w:t> </w:t>
      </w:r>
      <w:r>
        <w:rPr/>
        <w:t>was</w:t>
      </w:r>
      <w:r>
        <w:rPr>
          <w:spacing w:val="-14"/>
        </w:rPr>
        <w:t> </w:t>
      </w:r>
      <w:r>
        <w:rPr/>
        <w:t>a</w:t>
      </w:r>
      <w:r>
        <w:rPr>
          <w:spacing w:val="-16"/>
        </w:rPr>
        <w:t> </w:t>
      </w:r>
      <w:r>
        <w:rPr/>
        <w:t>slight</w:t>
      </w:r>
      <w:r>
        <w:rPr>
          <w:spacing w:val="-15"/>
        </w:rPr>
        <w:t> </w:t>
      </w:r>
      <w:r>
        <w:rPr/>
        <w:t>difference,</w:t>
      </w:r>
      <w:r>
        <w:rPr>
          <w:spacing w:val="-15"/>
        </w:rPr>
        <w:t> </w:t>
      </w:r>
      <w:r>
        <w:rPr/>
        <w:t>with</w:t>
      </w:r>
      <w:r>
        <w:rPr>
          <w:spacing w:val="-14"/>
        </w:rPr>
        <w:t> </w:t>
      </w:r>
      <w:r>
        <w:rPr/>
        <w:t>those</w:t>
      </w:r>
      <w:r>
        <w:rPr>
          <w:spacing w:val="-15"/>
        </w:rPr>
        <w:t> </w:t>
      </w:r>
      <w:r>
        <w:rPr/>
        <w:t>in</w:t>
      </w:r>
      <w:r>
        <w:rPr>
          <w:spacing w:val="-14"/>
        </w:rPr>
        <w:t> </w:t>
      </w:r>
      <w:r>
        <w:rPr/>
        <w:t>touch</w:t>
      </w:r>
      <w:r>
        <w:rPr>
          <w:spacing w:val="-15"/>
        </w:rPr>
        <w:t> </w:t>
      </w:r>
      <w:r>
        <w:rPr/>
        <w:t>with the</w:t>
      </w:r>
      <w:r>
        <w:rPr>
          <w:spacing w:val="-7"/>
        </w:rPr>
        <w:t> </w:t>
      </w:r>
      <w:r>
        <w:rPr/>
        <w:t>same</w:t>
      </w:r>
      <w:r>
        <w:rPr>
          <w:spacing w:val="-7"/>
        </w:rPr>
        <w:t> </w:t>
      </w:r>
      <w:r>
        <w:rPr/>
        <w:t>person</w:t>
      </w:r>
      <w:r>
        <w:rPr>
          <w:spacing w:val="-6"/>
        </w:rPr>
        <w:t> </w:t>
      </w:r>
      <w:r>
        <w:rPr/>
        <w:t>across</w:t>
      </w:r>
      <w:r>
        <w:rPr>
          <w:spacing w:val="-7"/>
        </w:rPr>
        <w:t> </w:t>
      </w:r>
      <w:r>
        <w:rPr/>
        <w:t>EC</w:t>
      </w:r>
      <w:r>
        <w:rPr>
          <w:spacing w:val="-6"/>
        </w:rPr>
        <w:t> </w:t>
      </w:r>
      <w:r>
        <w:rPr/>
        <w:t>and</w:t>
      </w:r>
      <w:r>
        <w:rPr>
          <w:spacing w:val="-8"/>
        </w:rPr>
        <w:t> </w:t>
      </w:r>
      <w:r>
        <w:rPr/>
        <w:t>post-ET1</w:t>
      </w:r>
      <w:r>
        <w:rPr>
          <w:spacing w:val="-7"/>
        </w:rPr>
        <w:t> </w:t>
      </w:r>
      <w:r>
        <w:rPr/>
        <w:t>(claimant</w:t>
      </w:r>
      <w:r>
        <w:rPr>
          <w:spacing w:val="-6"/>
        </w:rPr>
        <w:t> </w:t>
      </w:r>
      <w:r>
        <w:rPr/>
        <w:t>and</w:t>
      </w:r>
      <w:r>
        <w:rPr>
          <w:spacing w:val="-8"/>
        </w:rPr>
        <w:t> </w:t>
      </w:r>
      <w:r>
        <w:rPr/>
        <w:t>employer-side</w:t>
      </w:r>
      <w:r>
        <w:rPr>
          <w:spacing w:val="-7"/>
        </w:rPr>
        <w:t> </w:t>
      </w:r>
      <w:r>
        <w:rPr/>
        <w:t>participants combined) more likely to rate the conciliator as even-handed (79 per cent) than those not (68 per cent).</w:t>
      </w:r>
    </w:p>
    <w:p>
      <w:pPr>
        <w:pStyle w:val="BodyText"/>
        <w:spacing w:before="4"/>
        <w:rPr>
          <w:sz w:val="21"/>
        </w:rPr>
      </w:pPr>
    </w:p>
    <w:p>
      <w:pPr>
        <w:pStyle w:val="BodyText"/>
        <w:spacing w:line="259" w:lineRule="auto"/>
        <w:ind w:left="1336" w:right="1474"/>
        <w:jc w:val="both"/>
      </w:pPr>
      <w:r>
        <w:rPr/>
        <w:t>Among</w:t>
      </w:r>
      <w:r>
        <w:rPr>
          <w:spacing w:val="-18"/>
        </w:rPr>
        <w:t> </w:t>
      </w:r>
      <w:r>
        <w:rPr/>
        <w:t>claimant-side</w:t>
      </w:r>
      <w:r>
        <w:rPr>
          <w:spacing w:val="-18"/>
        </w:rPr>
        <w:t> </w:t>
      </w:r>
      <w:r>
        <w:rPr/>
        <w:t>participants</w:t>
      </w:r>
      <w:r>
        <w:rPr>
          <w:spacing w:val="-17"/>
        </w:rPr>
        <w:t> </w:t>
      </w:r>
      <w:r>
        <w:rPr/>
        <w:t>there</w:t>
      </w:r>
      <w:r>
        <w:rPr>
          <w:spacing w:val="-18"/>
        </w:rPr>
        <w:t> </w:t>
      </w:r>
      <w:r>
        <w:rPr/>
        <w:t>was</w:t>
      </w:r>
      <w:r>
        <w:rPr>
          <w:spacing w:val="-17"/>
        </w:rPr>
        <w:t> </w:t>
      </w:r>
      <w:r>
        <w:rPr/>
        <w:t>little</w:t>
      </w:r>
      <w:r>
        <w:rPr>
          <w:spacing w:val="-18"/>
        </w:rPr>
        <w:t> </w:t>
      </w:r>
      <w:r>
        <w:rPr/>
        <w:t>difference</w:t>
      </w:r>
      <w:r>
        <w:rPr>
          <w:spacing w:val="-18"/>
        </w:rPr>
        <w:t> </w:t>
      </w:r>
      <w:r>
        <w:rPr/>
        <w:t>in</w:t>
      </w:r>
      <w:r>
        <w:rPr>
          <w:spacing w:val="-17"/>
        </w:rPr>
        <w:t> </w:t>
      </w:r>
      <w:r>
        <w:rPr/>
        <w:t>perceived</w:t>
      </w:r>
      <w:r>
        <w:rPr>
          <w:spacing w:val="-18"/>
        </w:rPr>
        <w:t> </w:t>
      </w:r>
      <w:r>
        <w:rPr/>
        <w:t>availability of the conciliator by participation in EC: 71 per cent of claimant-side participants who took part in EC reported that the conciliator had been ‘always’ or ‘usually’ available – 67 per cent of those who did not take part in EC said the same.</w:t>
      </w:r>
    </w:p>
    <w:p>
      <w:pPr>
        <w:spacing w:after="0" w:line="259" w:lineRule="auto"/>
        <w:jc w:val="both"/>
        <w:sectPr>
          <w:pgSz w:w="11910" w:h="16840"/>
          <w:pgMar w:header="0" w:footer="996" w:top="1340" w:bottom="1180" w:left="460" w:right="320"/>
        </w:sectPr>
      </w:pPr>
    </w:p>
    <w:p>
      <w:pPr>
        <w:pStyle w:val="BodyText"/>
        <w:spacing w:line="259" w:lineRule="auto" w:before="82"/>
        <w:ind w:left="1337" w:right="1472"/>
        <w:jc w:val="both"/>
      </w:pPr>
      <w:r>
        <w:rPr/>
        <w:t>Among employer-side participants, there was a significant difference in ratings of conciliator availability depending on whether or not EC had been used previously. Three-quarters (74 per cent) of those who took part in EC said the conciliator had been</w:t>
      </w:r>
      <w:r>
        <w:rPr>
          <w:spacing w:val="-3"/>
        </w:rPr>
        <w:t> </w:t>
      </w:r>
      <w:r>
        <w:rPr/>
        <w:t>always</w:t>
      </w:r>
      <w:r>
        <w:rPr>
          <w:spacing w:val="-3"/>
        </w:rPr>
        <w:t> </w:t>
      </w:r>
      <w:r>
        <w:rPr/>
        <w:t>or</w:t>
      </w:r>
      <w:r>
        <w:rPr>
          <w:spacing w:val="-5"/>
        </w:rPr>
        <w:t> </w:t>
      </w:r>
      <w:r>
        <w:rPr/>
        <w:t>usually</w:t>
      </w:r>
      <w:r>
        <w:rPr>
          <w:spacing w:val="-4"/>
        </w:rPr>
        <w:t> </w:t>
      </w:r>
      <w:r>
        <w:rPr/>
        <w:t>available</w:t>
      </w:r>
      <w:r>
        <w:rPr>
          <w:spacing w:val="-4"/>
        </w:rPr>
        <w:t> </w:t>
      </w:r>
      <w:r>
        <w:rPr/>
        <w:t>during</w:t>
      </w:r>
      <w:r>
        <w:rPr>
          <w:spacing w:val="-3"/>
        </w:rPr>
        <w:t> </w:t>
      </w:r>
      <w:r>
        <w:rPr/>
        <w:t>post-ET1</w:t>
      </w:r>
      <w:r>
        <w:rPr>
          <w:spacing w:val="-3"/>
        </w:rPr>
        <w:t> </w:t>
      </w:r>
      <w:r>
        <w:rPr/>
        <w:t>contact</w:t>
      </w:r>
      <w:r>
        <w:rPr>
          <w:spacing w:val="-5"/>
        </w:rPr>
        <w:t> </w:t>
      </w:r>
      <w:r>
        <w:rPr/>
        <w:t>–</w:t>
      </w:r>
      <w:r>
        <w:rPr>
          <w:spacing w:val="-3"/>
        </w:rPr>
        <w:t> </w:t>
      </w:r>
      <w:r>
        <w:rPr/>
        <w:t>six</w:t>
      </w:r>
      <w:r>
        <w:rPr>
          <w:spacing w:val="-3"/>
        </w:rPr>
        <w:t> </w:t>
      </w:r>
      <w:r>
        <w:rPr/>
        <w:t>in</w:t>
      </w:r>
      <w:r>
        <w:rPr>
          <w:spacing w:val="-4"/>
        </w:rPr>
        <w:t> </w:t>
      </w:r>
      <w:r>
        <w:rPr/>
        <w:t>ten</w:t>
      </w:r>
      <w:r>
        <w:rPr>
          <w:spacing w:val="-5"/>
        </w:rPr>
        <w:t> </w:t>
      </w:r>
      <w:r>
        <w:rPr/>
        <w:t>(60</w:t>
      </w:r>
      <w:r>
        <w:rPr>
          <w:spacing w:val="-3"/>
        </w:rPr>
        <w:t> </w:t>
      </w:r>
      <w:r>
        <w:rPr/>
        <w:t>per</w:t>
      </w:r>
      <w:r>
        <w:rPr>
          <w:spacing w:val="-5"/>
        </w:rPr>
        <w:t> </w:t>
      </w:r>
      <w:r>
        <w:rPr/>
        <w:t>cent) of those who had not taken part in EC said the same.</w:t>
      </w:r>
    </w:p>
    <w:p>
      <w:pPr>
        <w:pStyle w:val="BodyText"/>
        <w:spacing w:before="5"/>
        <w:rPr>
          <w:sz w:val="21"/>
        </w:rPr>
      </w:pPr>
    </w:p>
    <w:p>
      <w:pPr>
        <w:pStyle w:val="Heading4"/>
        <w:numPr>
          <w:ilvl w:val="2"/>
          <w:numId w:val="49"/>
        </w:numPr>
        <w:tabs>
          <w:tab w:pos="2189" w:val="left" w:leader="none"/>
        </w:tabs>
        <w:spacing w:line="240" w:lineRule="auto" w:before="0" w:after="0"/>
        <w:ind w:left="2188" w:right="1474" w:hanging="851"/>
        <w:jc w:val="both"/>
      </w:pPr>
      <w:bookmarkStart w:name="17.2.3 Importance of the conciliator in " w:id="226"/>
      <w:bookmarkEnd w:id="226"/>
      <w:r>
        <w:rPr>
          <w:i/>
        </w:rPr>
        <w:t>I</w:t>
      </w:r>
      <w:r>
        <w:rPr>
          <w:i/>
        </w:rPr>
        <w:t>mportance of the conciliator in moving parties together and</w:t>
      </w:r>
      <w:r>
        <w:rPr/>
        <w:t> helping to resolve the case</w:t>
      </w:r>
    </w:p>
    <w:p>
      <w:pPr>
        <w:pStyle w:val="BodyText"/>
        <w:spacing w:line="259" w:lineRule="auto" w:before="61"/>
        <w:ind w:left="1337" w:right="1473"/>
        <w:jc w:val="both"/>
      </w:pPr>
      <w:r>
        <w:rPr/>
        <w:t>Claimant and employer-side participants who took part in EC were more likely to report</w:t>
      </w:r>
      <w:r>
        <w:rPr>
          <w:spacing w:val="-18"/>
        </w:rPr>
        <w:t> </w:t>
      </w:r>
      <w:r>
        <w:rPr/>
        <w:t>that</w:t>
      </w:r>
      <w:r>
        <w:rPr>
          <w:spacing w:val="-18"/>
        </w:rPr>
        <w:t> </w:t>
      </w:r>
      <w:r>
        <w:rPr/>
        <w:t>Acas’</w:t>
      </w:r>
      <w:r>
        <w:rPr>
          <w:spacing w:val="-17"/>
        </w:rPr>
        <w:t> </w:t>
      </w:r>
      <w:r>
        <w:rPr/>
        <w:t>involvement</w:t>
      </w:r>
      <w:r>
        <w:rPr>
          <w:spacing w:val="-18"/>
        </w:rPr>
        <w:t> </w:t>
      </w:r>
      <w:r>
        <w:rPr/>
        <w:t>in</w:t>
      </w:r>
      <w:r>
        <w:rPr>
          <w:spacing w:val="-17"/>
        </w:rPr>
        <w:t> </w:t>
      </w:r>
      <w:r>
        <w:rPr/>
        <w:t>post-ET1</w:t>
      </w:r>
      <w:r>
        <w:rPr>
          <w:spacing w:val="-18"/>
        </w:rPr>
        <w:t> </w:t>
      </w:r>
      <w:r>
        <w:rPr/>
        <w:t>conciliation</w:t>
      </w:r>
      <w:r>
        <w:rPr>
          <w:spacing w:val="-18"/>
        </w:rPr>
        <w:t> </w:t>
      </w:r>
      <w:r>
        <w:rPr/>
        <w:t>had</w:t>
      </w:r>
      <w:r>
        <w:rPr>
          <w:spacing w:val="-17"/>
        </w:rPr>
        <w:t> </w:t>
      </w:r>
      <w:r>
        <w:rPr/>
        <w:t>been</w:t>
      </w:r>
      <w:r>
        <w:rPr>
          <w:spacing w:val="-18"/>
        </w:rPr>
        <w:t> </w:t>
      </w:r>
      <w:r>
        <w:rPr/>
        <w:t>important</w:t>
      </w:r>
      <w:r>
        <w:rPr>
          <w:spacing w:val="-17"/>
        </w:rPr>
        <w:t> </w:t>
      </w:r>
      <w:r>
        <w:rPr/>
        <w:t>in</w:t>
      </w:r>
      <w:r>
        <w:rPr>
          <w:spacing w:val="-18"/>
        </w:rPr>
        <w:t> </w:t>
      </w:r>
      <w:r>
        <w:rPr/>
        <w:t>helping to</w:t>
      </w:r>
      <w:r>
        <w:rPr>
          <w:spacing w:val="-8"/>
        </w:rPr>
        <w:t> </w:t>
      </w:r>
      <w:r>
        <w:rPr/>
        <w:t>move</w:t>
      </w:r>
      <w:r>
        <w:rPr>
          <w:spacing w:val="-9"/>
        </w:rPr>
        <w:t> </w:t>
      </w:r>
      <w:r>
        <w:rPr/>
        <w:t>parties</w:t>
      </w:r>
      <w:r>
        <w:rPr>
          <w:spacing w:val="-8"/>
        </w:rPr>
        <w:t> </w:t>
      </w:r>
      <w:r>
        <w:rPr/>
        <w:t>closer</w:t>
      </w:r>
      <w:r>
        <w:rPr>
          <w:spacing w:val="-8"/>
        </w:rPr>
        <w:t> </w:t>
      </w:r>
      <w:r>
        <w:rPr/>
        <w:t>towards</w:t>
      </w:r>
      <w:r>
        <w:rPr>
          <w:spacing w:val="-8"/>
        </w:rPr>
        <w:t> </w:t>
      </w:r>
      <w:r>
        <w:rPr/>
        <w:t>resolving</w:t>
      </w:r>
      <w:r>
        <w:rPr>
          <w:spacing w:val="-8"/>
        </w:rPr>
        <w:t> </w:t>
      </w:r>
      <w:r>
        <w:rPr/>
        <w:t>the</w:t>
      </w:r>
      <w:r>
        <w:rPr>
          <w:spacing w:val="-9"/>
        </w:rPr>
        <w:t> </w:t>
      </w:r>
      <w:r>
        <w:rPr/>
        <w:t>case.</w:t>
      </w:r>
      <w:r>
        <w:rPr>
          <w:spacing w:val="-8"/>
        </w:rPr>
        <w:t> </w:t>
      </w:r>
      <w:r>
        <w:rPr/>
        <w:t>Two</w:t>
      </w:r>
      <w:r>
        <w:rPr>
          <w:spacing w:val="-10"/>
        </w:rPr>
        <w:t> </w:t>
      </w:r>
      <w:r>
        <w:rPr/>
        <w:t>thirds</w:t>
      </w:r>
      <w:r>
        <w:rPr>
          <w:spacing w:val="-8"/>
        </w:rPr>
        <w:t> </w:t>
      </w:r>
      <w:r>
        <w:rPr/>
        <w:t>(66</w:t>
      </w:r>
      <w:r>
        <w:rPr>
          <w:spacing w:val="-8"/>
        </w:rPr>
        <w:t> </w:t>
      </w:r>
      <w:r>
        <w:rPr/>
        <w:t>per</w:t>
      </w:r>
      <w:r>
        <w:rPr>
          <w:spacing w:val="-8"/>
        </w:rPr>
        <w:t> </w:t>
      </w:r>
      <w:r>
        <w:rPr/>
        <w:t>cent)</w:t>
      </w:r>
      <w:r>
        <w:rPr>
          <w:spacing w:val="-8"/>
        </w:rPr>
        <w:t> </w:t>
      </w:r>
      <w:r>
        <w:rPr/>
        <w:t>and</w:t>
      </w:r>
      <w:r>
        <w:rPr>
          <w:spacing w:val="-8"/>
        </w:rPr>
        <w:t> </w:t>
      </w:r>
      <w:r>
        <w:rPr/>
        <w:t>six in ten (59 per cent) of claimant-side and employer-side participants respectively said</w:t>
      </w:r>
      <w:r>
        <w:rPr>
          <w:spacing w:val="-2"/>
        </w:rPr>
        <w:t> </w:t>
      </w:r>
      <w:r>
        <w:rPr/>
        <w:t>Acas’</w:t>
      </w:r>
      <w:r>
        <w:rPr>
          <w:spacing w:val="-3"/>
        </w:rPr>
        <w:t> </w:t>
      </w:r>
      <w:r>
        <w:rPr/>
        <w:t>involvement</w:t>
      </w:r>
      <w:r>
        <w:rPr>
          <w:spacing w:val="-3"/>
        </w:rPr>
        <w:t> </w:t>
      </w:r>
      <w:r>
        <w:rPr/>
        <w:t>had</w:t>
      </w:r>
      <w:r>
        <w:rPr>
          <w:spacing w:val="-4"/>
        </w:rPr>
        <w:t> </w:t>
      </w:r>
      <w:r>
        <w:rPr/>
        <w:t>been</w:t>
      </w:r>
      <w:r>
        <w:rPr>
          <w:spacing w:val="-2"/>
        </w:rPr>
        <w:t> </w:t>
      </w:r>
      <w:r>
        <w:rPr/>
        <w:t>important</w:t>
      </w:r>
      <w:r>
        <w:rPr>
          <w:spacing w:val="-3"/>
        </w:rPr>
        <w:t> </w:t>
      </w:r>
      <w:r>
        <w:rPr/>
        <w:t>–</w:t>
      </w:r>
      <w:r>
        <w:rPr>
          <w:spacing w:val="-5"/>
        </w:rPr>
        <w:t> </w:t>
      </w:r>
      <w:r>
        <w:rPr/>
        <w:t>55</w:t>
      </w:r>
      <w:r>
        <w:rPr>
          <w:spacing w:val="-2"/>
        </w:rPr>
        <w:t> </w:t>
      </w:r>
      <w:r>
        <w:rPr/>
        <w:t>per</w:t>
      </w:r>
      <w:r>
        <w:rPr>
          <w:spacing w:val="-4"/>
        </w:rPr>
        <w:t> </w:t>
      </w:r>
      <w:r>
        <w:rPr/>
        <w:t>cent</w:t>
      </w:r>
      <w:r>
        <w:rPr>
          <w:spacing w:val="-4"/>
        </w:rPr>
        <w:t> </w:t>
      </w:r>
      <w:r>
        <w:rPr/>
        <w:t>and</w:t>
      </w:r>
      <w:r>
        <w:rPr>
          <w:spacing w:val="-3"/>
        </w:rPr>
        <w:t> </w:t>
      </w:r>
      <w:r>
        <w:rPr/>
        <w:t>48</w:t>
      </w:r>
      <w:r>
        <w:rPr>
          <w:spacing w:val="-3"/>
        </w:rPr>
        <w:t> </w:t>
      </w:r>
      <w:r>
        <w:rPr/>
        <w:t>per</w:t>
      </w:r>
      <w:r>
        <w:rPr>
          <w:spacing w:val="-4"/>
        </w:rPr>
        <w:t> </w:t>
      </w:r>
      <w:r>
        <w:rPr/>
        <w:t>cent</w:t>
      </w:r>
      <w:r>
        <w:rPr>
          <w:spacing w:val="-3"/>
        </w:rPr>
        <w:t> </w:t>
      </w:r>
      <w:r>
        <w:rPr/>
        <w:t>of</w:t>
      </w:r>
      <w:r>
        <w:rPr>
          <w:spacing w:val="-3"/>
        </w:rPr>
        <w:t> </w:t>
      </w:r>
      <w:r>
        <w:rPr/>
        <w:t>those who had not taken part in EC said the same. However, given that those who took part</w:t>
      </w:r>
      <w:r>
        <w:rPr>
          <w:spacing w:val="-3"/>
        </w:rPr>
        <w:t> </w:t>
      </w:r>
      <w:r>
        <w:rPr/>
        <w:t>in</w:t>
      </w:r>
      <w:r>
        <w:rPr>
          <w:spacing w:val="-3"/>
        </w:rPr>
        <w:t> </w:t>
      </w:r>
      <w:r>
        <w:rPr/>
        <w:t>EC</w:t>
      </w:r>
      <w:r>
        <w:rPr>
          <w:spacing w:val="-4"/>
        </w:rPr>
        <w:t> </w:t>
      </w:r>
      <w:r>
        <w:rPr/>
        <w:t>were</w:t>
      </w:r>
      <w:r>
        <w:rPr>
          <w:spacing w:val="-4"/>
        </w:rPr>
        <w:t> </w:t>
      </w:r>
      <w:r>
        <w:rPr/>
        <w:t>generally</w:t>
      </w:r>
      <w:r>
        <w:rPr>
          <w:spacing w:val="-3"/>
        </w:rPr>
        <w:t> </w:t>
      </w:r>
      <w:r>
        <w:rPr/>
        <w:t>more</w:t>
      </w:r>
      <w:r>
        <w:rPr>
          <w:spacing w:val="-4"/>
        </w:rPr>
        <w:t> </w:t>
      </w:r>
      <w:r>
        <w:rPr/>
        <w:t>likely</w:t>
      </w:r>
      <w:r>
        <w:rPr>
          <w:spacing w:val="-3"/>
        </w:rPr>
        <w:t> </w:t>
      </w:r>
      <w:r>
        <w:rPr/>
        <w:t>to</w:t>
      </w:r>
      <w:r>
        <w:rPr>
          <w:spacing w:val="-4"/>
        </w:rPr>
        <w:t> </w:t>
      </w:r>
      <w:r>
        <w:rPr/>
        <w:t>report</w:t>
      </w:r>
      <w:r>
        <w:rPr>
          <w:spacing w:val="-3"/>
        </w:rPr>
        <w:t> </w:t>
      </w:r>
      <w:r>
        <w:rPr/>
        <w:t>having</w:t>
      </w:r>
      <w:r>
        <w:rPr>
          <w:spacing w:val="-3"/>
        </w:rPr>
        <w:t> </w:t>
      </w:r>
      <w:r>
        <w:rPr/>
        <w:t>settled</w:t>
      </w:r>
      <w:r>
        <w:rPr>
          <w:spacing w:val="-3"/>
        </w:rPr>
        <w:t> </w:t>
      </w:r>
      <w:r>
        <w:rPr/>
        <w:t>their</w:t>
      </w:r>
      <w:r>
        <w:rPr>
          <w:spacing w:val="-4"/>
        </w:rPr>
        <w:t> </w:t>
      </w:r>
      <w:r>
        <w:rPr/>
        <w:t>case,</w:t>
      </w:r>
      <w:r>
        <w:rPr>
          <w:spacing w:val="-3"/>
        </w:rPr>
        <w:t> </w:t>
      </w:r>
      <w:r>
        <w:rPr/>
        <w:t>it</w:t>
      </w:r>
      <w:r>
        <w:rPr>
          <w:spacing w:val="-3"/>
        </w:rPr>
        <w:t> </w:t>
      </w:r>
      <w:r>
        <w:rPr/>
        <w:t>may</w:t>
      </w:r>
      <w:r>
        <w:rPr>
          <w:spacing w:val="-3"/>
        </w:rPr>
        <w:t> </w:t>
      </w:r>
      <w:r>
        <w:rPr/>
        <w:t>be that</w:t>
      </w:r>
      <w:r>
        <w:rPr>
          <w:spacing w:val="-6"/>
        </w:rPr>
        <w:t> </w:t>
      </w:r>
      <w:r>
        <w:rPr/>
        <w:t>case</w:t>
      </w:r>
      <w:r>
        <w:rPr>
          <w:spacing w:val="-4"/>
        </w:rPr>
        <w:t> </w:t>
      </w:r>
      <w:r>
        <w:rPr/>
        <w:t>outcome</w:t>
      </w:r>
      <w:r>
        <w:rPr>
          <w:spacing w:val="-4"/>
        </w:rPr>
        <w:t> </w:t>
      </w:r>
      <w:r>
        <w:rPr/>
        <w:t>is</w:t>
      </w:r>
      <w:r>
        <w:rPr>
          <w:spacing w:val="-2"/>
        </w:rPr>
        <w:t> </w:t>
      </w:r>
      <w:r>
        <w:rPr/>
        <w:t>at</w:t>
      </w:r>
      <w:r>
        <w:rPr>
          <w:spacing w:val="-3"/>
        </w:rPr>
        <w:t> </w:t>
      </w:r>
      <w:r>
        <w:rPr/>
        <w:t>least</w:t>
      </w:r>
      <w:r>
        <w:rPr>
          <w:spacing w:val="-3"/>
        </w:rPr>
        <w:t> </w:t>
      </w:r>
      <w:r>
        <w:rPr/>
        <w:t>somewhat</w:t>
      </w:r>
      <w:r>
        <w:rPr>
          <w:spacing w:val="-3"/>
        </w:rPr>
        <w:t> </w:t>
      </w:r>
      <w:r>
        <w:rPr/>
        <w:t>of</w:t>
      </w:r>
      <w:r>
        <w:rPr>
          <w:spacing w:val="-3"/>
        </w:rPr>
        <w:t> </w:t>
      </w:r>
      <w:r>
        <w:rPr/>
        <w:t>an</w:t>
      </w:r>
      <w:r>
        <w:rPr>
          <w:spacing w:val="-4"/>
        </w:rPr>
        <w:t> </w:t>
      </w:r>
      <w:r>
        <w:rPr/>
        <w:t>explanatory</w:t>
      </w:r>
      <w:r>
        <w:rPr>
          <w:spacing w:val="-2"/>
        </w:rPr>
        <w:t> </w:t>
      </w:r>
      <w:r>
        <w:rPr/>
        <w:t>factor</w:t>
      </w:r>
      <w:r>
        <w:rPr>
          <w:spacing w:val="-3"/>
        </w:rPr>
        <w:t> </w:t>
      </w:r>
      <w:r>
        <w:rPr/>
        <w:t>in</w:t>
      </w:r>
      <w:r>
        <w:rPr>
          <w:spacing w:val="-4"/>
        </w:rPr>
        <w:t> </w:t>
      </w:r>
      <w:r>
        <w:rPr/>
        <w:t>this</w:t>
      </w:r>
      <w:r>
        <w:rPr>
          <w:spacing w:val="-2"/>
        </w:rPr>
        <w:t> difference.</w:t>
      </w:r>
    </w:p>
    <w:p>
      <w:pPr>
        <w:pStyle w:val="BodyText"/>
        <w:spacing w:before="4"/>
        <w:rPr>
          <w:sz w:val="21"/>
        </w:rPr>
      </w:pPr>
    </w:p>
    <w:p>
      <w:pPr>
        <w:pStyle w:val="BodyText"/>
        <w:spacing w:line="259" w:lineRule="auto"/>
        <w:ind w:left="1337" w:right="1472"/>
        <w:jc w:val="both"/>
      </w:pPr>
      <w:r>
        <w:rPr/>
        <w:t>Among</w:t>
      </w:r>
      <w:r>
        <w:rPr>
          <w:spacing w:val="-13"/>
        </w:rPr>
        <w:t> </w:t>
      </w:r>
      <w:r>
        <w:rPr/>
        <w:t>those</w:t>
      </w:r>
      <w:r>
        <w:rPr>
          <w:spacing w:val="-13"/>
        </w:rPr>
        <w:t> </w:t>
      </w:r>
      <w:r>
        <w:rPr/>
        <w:t>who</w:t>
      </w:r>
      <w:r>
        <w:rPr>
          <w:spacing w:val="-14"/>
        </w:rPr>
        <w:t> </w:t>
      </w:r>
      <w:r>
        <w:rPr/>
        <w:t>dealt</w:t>
      </w:r>
      <w:r>
        <w:rPr>
          <w:spacing w:val="-14"/>
        </w:rPr>
        <w:t> </w:t>
      </w:r>
      <w:r>
        <w:rPr/>
        <w:t>with</w:t>
      </w:r>
      <w:r>
        <w:rPr>
          <w:spacing w:val="-13"/>
        </w:rPr>
        <w:t> </w:t>
      </w:r>
      <w:r>
        <w:rPr/>
        <w:t>the</w:t>
      </w:r>
      <w:r>
        <w:rPr>
          <w:spacing w:val="-14"/>
        </w:rPr>
        <w:t> </w:t>
      </w:r>
      <w:r>
        <w:rPr/>
        <w:t>same</w:t>
      </w:r>
      <w:r>
        <w:rPr>
          <w:spacing w:val="-13"/>
        </w:rPr>
        <w:t> </w:t>
      </w:r>
      <w:r>
        <w:rPr/>
        <w:t>conciliator</w:t>
      </w:r>
      <w:r>
        <w:rPr>
          <w:spacing w:val="-13"/>
        </w:rPr>
        <w:t> </w:t>
      </w:r>
      <w:r>
        <w:rPr/>
        <w:t>during</w:t>
      </w:r>
      <w:r>
        <w:rPr>
          <w:spacing w:val="-13"/>
        </w:rPr>
        <w:t> </w:t>
      </w:r>
      <w:r>
        <w:rPr/>
        <w:t>both</w:t>
      </w:r>
      <w:r>
        <w:rPr>
          <w:spacing w:val="-13"/>
        </w:rPr>
        <w:t> </w:t>
      </w:r>
      <w:r>
        <w:rPr/>
        <w:t>phases</w:t>
      </w:r>
      <w:r>
        <w:rPr>
          <w:spacing w:val="-14"/>
        </w:rPr>
        <w:t> </w:t>
      </w:r>
      <w:r>
        <w:rPr/>
        <w:t>(claimant</w:t>
      </w:r>
      <w:r>
        <w:rPr>
          <w:spacing w:val="-12"/>
        </w:rPr>
        <w:t> </w:t>
      </w:r>
      <w:r>
        <w:rPr/>
        <w:t>and employer-side participants combined), 65 per cent said Acas had been important in bringing the sides together regardless of whether the dispute was resolved, compared with 56 per cent of those who dealt with different conciliators at each phase. This difference is not statistically significant.</w:t>
      </w:r>
    </w:p>
    <w:p>
      <w:pPr>
        <w:pStyle w:val="BodyText"/>
        <w:spacing w:before="6"/>
        <w:rPr>
          <w:sz w:val="21"/>
        </w:rPr>
      </w:pPr>
    </w:p>
    <w:p>
      <w:pPr>
        <w:pStyle w:val="Heading3"/>
        <w:numPr>
          <w:ilvl w:val="1"/>
          <w:numId w:val="2"/>
        </w:numPr>
        <w:tabs>
          <w:tab w:pos="1974" w:val="left" w:leader="none"/>
        </w:tabs>
        <w:spacing w:line="240" w:lineRule="auto" w:before="1" w:after="0"/>
        <w:ind w:left="1973" w:right="0" w:hanging="637"/>
        <w:jc w:val="both"/>
      </w:pPr>
      <w:bookmarkStart w:name="17.3  Parties’ own perceptions of the ro" w:id="227"/>
      <w:bookmarkEnd w:id="227"/>
      <w:r>
        <w:rPr>
          <w:b w:val="0"/>
        </w:rPr>
      </w:r>
      <w:bookmarkStart w:name="_bookmark60" w:id="228"/>
      <w:bookmarkEnd w:id="228"/>
      <w:r>
        <w:rPr/>
        <w:t>P</w:t>
      </w:r>
      <w:r>
        <w:rPr/>
        <w:t>arties’</w:t>
      </w:r>
      <w:r>
        <w:rPr>
          <w:spacing w:val="-7"/>
        </w:rPr>
        <w:t> </w:t>
      </w:r>
      <w:r>
        <w:rPr/>
        <w:t>own</w:t>
      </w:r>
      <w:r>
        <w:rPr>
          <w:spacing w:val="-5"/>
        </w:rPr>
        <w:t> </w:t>
      </w:r>
      <w:r>
        <w:rPr/>
        <w:t>perceptions</w:t>
      </w:r>
      <w:r>
        <w:rPr>
          <w:spacing w:val="-5"/>
        </w:rPr>
        <w:t> </w:t>
      </w:r>
      <w:r>
        <w:rPr/>
        <w:t>of</w:t>
      </w:r>
      <w:r>
        <w:rPr>
          <w:spacing w:val="-2"/>
        </w:rPr>
        <w:t> </w:t>
      </w:r>
      <w:r>
        <w:rPr/>
        <w:t>the</w:t>
      </w:r>
      <w:r>
        <w:rPr>
          <w:spacing w:val="-3"/>
        </w:rPr>
        <w:t> </w:t>
      </w:r>
      <w:r>
        <w:rPr/>
        <w:t>role</w:t>
      </w:r>
      <w:r>
        <w:rPr>
          <w:spacing w:val="-5"/>
        </w:rPr>
        <w:t> </w:t>
      </w:r>
      <w:r>
        <w:rPr/>
        <w:t>of</w:t>
      </w:r>
      <w:r>
        <w:rPr>
          <w:spacing w:val="-3"/>
        </w:rPr>
        <w:t> </w:t>
      </w:r>
      <w:r>
        <w:rPr/>
        <w:t>EC</w:t>
      </w:r>
      <w:r>
        <w:rPr>
          <w:spacing w:val="-2"/>
        </w:rPr>
        <w:t> </w:t>
      </w:r>
      <w:r>
        <w:rPr/>
        <w:t>on</w:t>
      </w:r>
      <w:r>
        <w:rPr>
          <w:spacing w:val="-3"/>
        </w:rPr>
        <w:t> </w:t>
      </w:r>
      <w:r>
        <w:rPr/>
        <w:t>the</w:t>
      </w:r>
      <w:r>
        <w:rPr>
          <w:spacing w:val="-5"/>
        </w:rPr>
        <w:t> </w:t>
      </w:r>
      <w:r>
        <w:rPr/>
        <w:t>post-ET1</w:t>
      </w:r>
      <w:r>
        <w:rPr>
          <w:spacing w:val="-2"/>
        </w:rPr>
        <w:t> process</w:t>
      </w:r>
    </w:p>
    <w:p>
      <w:pPr>
        <w:pStyle w:val="BodyText"/>
        <w:spacing w:line="259" w:lineRule="auto" w:before="119"/>
        <w:ind w:left="1337" w:right="1474"/>
        <w:jc w:val="both"/>
      </w:pPr>
      <w:r>
        <w:rPr/>
        <w:t>Claimants</w:t>
      </w:r>
      <w:r>
        <w:rPr>
          <w:spacing w:val="-18"/>
        </w:rPr>
        <w:t> </w:t>
      </w:r>
      <w:r>
        <w:rPr/>
        <w:t>and</w:t>
      </w:r>
      <w:r>
        <w:rPr>
          <w:spacing w:val="-17"/>
        </w:rPr>
        <w:t> </w:t>
      </w:r>
      <w:r>
        <w:rPr/>
        <w:t>employers</w:t>
      </w:r>
      <w:r>
        <w:rPr>
          <w:spacing w:val="-17"/>
        </w:rPr>
        <w:t> </w:t>
      </w:r>
      <w:r>
        <w:rPr/>
        <w:t>were</w:t>
      </w:r>
      <w:r>
        <w:rPr>
          <w:spacing w:val="-18"/>
        </w:rPr>
        <w:t> </w:t>
      </w:r>
      <w:r>
        <w:rPr/>
        <w:t>asked</w:t>
      </w:r>
      <w:r>
        <w:rPr>
          <w:spacing w:val="-17"/>
        </w:rPr>
        <w:t> </w:t>
      </w:r>
      <w:r>
        <w:rPr/>
        <w:t>to</w:t>
      </w:r>
      <w:r>
        <w:rPr>
          <w:spacing w:val="-18"/>
        </w:rPr>
        <w:t> </w:t>
      </w:r>
      <w:r>
        <w:rPr/>
        <w:t>think</w:t>
      </w:r>
      <w:r>
        <w:rPr>
          <w:spacing w:val="-17"/>
        </w:rPr>
        <w:t> </w:t>
      </w:r>
      <w:r>
        <w:rPr/>
        <w:t>about</w:t>
      </w:r>
      <w:r>
        <w:rPr>
          <w:spacing w:val="-17"/>
        </w:rPr>
        <w:t> </w:t>
      </w:r>
      <w:r>
        <w:rPr/>
        <w:t>their</w:t>
      </w:r>
      <w:r>
        <w:rPr>
          <w:spacing w:val="-18"/>
        </w:rPr>
        <w:t> </w:t>
      </w:r>
      <w:r>
        <w:rPr/>
        <w:t>entire</w:t>
      </w:r>
      <w:r>
        <w:rPr>
          <w:spacing w:val="-18"/>
        </w:rPr>
        <w:t> </w:t>
      </w:r>
      <w:r>
        <w:rPr/>
        <w:t>conciliation</w:t>
      </w:r>
      <w:r>
        <w:rPr>
          <w:spacing w:val="-16"/>
        </w:rPr>
        <w:t> </w:t>
      </w:r>
      <w:r>
        <w:rPr/>
        <w:t>journey – including use of EC as well as post-ET1 conciliation – and evaluate how well the service they received before the submission of the ET application had prepared them for the process after submission.</w:t>
      </w:r>
    </w:p>
    <w:p>
      <w:pPr>
        <w:pStyle w:val="BodyText"/>
        <w:spacing w:before="11"/>
        <w:rPr>
          <w:sz w:val="23"/>
        </w:rPr>
      </w:pPr>
    </w:p>
    <w:p>
      <w:pPr>
        <w:pStyle w:val="BodyText"/>
        <w:spacing w:line="259" w:lineRule="auto"/>
        <w:ind w:left="1337" w:right="1471" w:hanging="1"/>
        <w:jc w:val="both"/>
      </w:pPr>
      <w:r>
        <w:rPr/>
        <w:t>Overall, 62 per cent of claimants agreed that the service they received from Acas before</w:t>
      </w:r>
      <w:r>
        <w:rPr>
          <w:spacing w:val="-16"/>
        </w:rPr>
        <w:t> </w:t>
      </w:r>
      <w:r>
        <w:rPr/>
        <w:t>the</w:t>
      </w:r>
      <w:r>
        <w:rPr>
          <w:spacing w:val="-17"/>
        </w:rPr>
        <w:t> </w:t>
      </w:r>
      <w:r>
        <w:rPr/>
        <w:t>submission</w:t>
      </w:r>
      <w:r>
        <w:rPr>
          <w:spacing w:val="-15"/>
        </w:rPr>
        <w:t> </w:t>
      </w:r>
      <w:r>
        <w:rPr/>
        <w:t>of</w:t>
      </w:r>
      <w:r>
        <w:rPr>
          <w:spacing w:val="-15"/>
        </w:rPr>
        <w:t> </w:t>
      </w:r>
      <w:r>
        <w:rPr/>
        <w:t>the</w:t>
      </w:r>
      <w:r>
        <w:rPr>
          <w:spacing w:val="-17"/>
        </w:rPr>
        <w:t> </w:t>
      </w:r>
      <w:r>
        <w:rPr/>
        <w:t>ET</w:t>
      </w:r>
      <w:r>
        <w:rPr>
          <w:spacing w:val="-16"/>
        </w:rPr>
        <w:t> </w:t>
      </w:r>
      <w:r>
        <w:rPr/>
        <w:t>claim</w:t>
      </w:r>
      <w:r>
        <w:rPr>
          <w:spacing w:val="-15"/>
        </w:rPr>
        <w:t> </w:t>
      </w:r>
      <w:r>
        <w:rPr/>
        <w:t>‘helped</w:t>
      </w:r>
      <w:r>
        <w:rPr>
          <w:spacing w:val="-15"/>
        </w:rPr>
        <w:t> </w:t>
      </w:r>
      <w:r>
        <w:rPr/>
        <w:t>me</w:t>
      </w:r>
      <w:r>
        <w:rPr>
          <w:spacing w:val="-16"/>
        </w:rPr>
        <w:t> </w:t>
      </w:r>
      <w:r>
        <w:rPr/>
        <w:t>feel</w:t>
      </w:r>
      <w:r>
        <w:rPr>
          <w:spacing w:val="-16"/>
        </w:rPr>
        <w:t> </w:t>
      </w:r>
      <w:r>
        <w:rPr/>
        <w:t>prepared</w:t>
      </w:r>
      <w:r>
        <w:rPr>
          <w:spacing w:val="-15"/>
        </w:rPr>
        <w:t> </w:t>
      </w:r>
      <w:r>
        <w:rPr/>
        <w:t>for</w:t>
      </w:r>
      <w:r>
        <w:rPr>
          <w:spacing w:val="-16"/>
        </w:rPr>
        <w:t> </w:t>
      </w:r>
      <w:r>
        <w:rPr/>
        <w:t>the</w:t>
      </w:r>
      <w:r>
        <w:rPr>
          <w:spacing w:val="-17"/>
        </w:rPr>
        <w:t> </w:t>
      </w:r>
      <w:r>
        <w:rPr/>
        <w:t>process</w:t>
      </w:r>
      <w:r>
        <w:rPr>
          <w:spacing w:val="-15"/>
        </w:rPr>
        <w:t> </w:t>
      </w:r>
      <w:r>
        <w:rPr/>
        <w:t>after submission’; 26</w:t>
      </w:r>
      <w:r>
        <w:rPr>
          <w:spacing w:val="-1"/>
        </w:rPr>
        <w:t> </w:t>
      </w:r>
      <w:r>
        <w:rPr/>
        <w:t>per</w:t>
      </w:r>
      <w:r>
        <w:rPr>
          <w:spacing w:val="-1"/>
        </w:rPr>
        <w:t> </w:t>
      </w:r>
      <w:r>
        <w:rPr/>
        <w:t>cent</w:t>
      </w:r>
      <w:r>
        <w:rPr>
          <w:spacing w:val="-1"/>
        </w:rPr>
        <w:t> </w:t>
      </w:r>
      <w:r>
        <w:rPr/>
        <w:t>disagreed.</w:t>
      </w:r>
      <w:r>
        <w:rPr>
          <w:spacing w:val="-1"/>
        </w:rPr>
        <w:t> </w:t>
      </w:r>
      <w:r>
        <w:rPr/>
        <w:t>This</w:t>
      </w:r>
      <w:r>
        <w:rPr>
          <w:spacing w:val="-1"/>
        </w:rPr>
        <w:t> </w:t>
      </w:r>
      <w:r>
        <w:rPr/>
        <w:t>compares to</w:t>
      </w:r>
      <w:r>
        <w:rPr>
          <w:spacing w:val="-1"/>
        </w:rPr>
        <w:t> </w:t>
      </w:r>
      <w:r>
        <w:rPr/>
        <w:t>63</w:t>
      </w:r>
      <w:r>
        <w:rPr>
          <w:spacing w:val="-1"/>
        </w:rPr>
        <w:t> </w:t>
      </w:r>
      <w:r>
        <w:rPr/>
        <w:t>per cent</w:t>
      </w:r>
      <w:r>
        <w:rPr>
          <w:spacing w:val="-1"/>
        </w:rPr>
        <w:t> </w:t>
      </w:r>
      <w:r>
        <w:rPr/>
        <w:t>and 16</w:t>
      </w:r>
      <w:r>
        <w:rPr>
          <w:spacing w:val="-1"/>
        </w:rPr>
        <w:t> </w:t>
      </w:r>
      <w:r>
        <w:rPr/>
        <w:t>per</w:t>
      </w:r>
      <w:r>
        <w:rPr>
          <w:spacing w:val="-1"/>
        </w:rPr>
        <w:t> </w:t>
      </w:r>
      <w:r>
        <w:rPr/>
        <w:t>cent respectively in 2016. On the employer-side, just 27 per cent agreed with this statement and 39 per cent disagreed (46 per cent of employers had agreed with this</w:t>
      </w:r>
      <w:r>
        <w:rPr>
          <w:spacing w:val="-5"/>
        </w:rPr>
        <w:t> </w:t>
      </w:r>
      <w:r>
        <w:rPr/>
        <w:t>statement</w:t>
      </w:r>
      <w:r>
        <w:rPr>
          <w:spacing w:val="-5"/>
        </w:rPr>
        <w:t> </w:t>
      </w:r>
      <w:r>
        <w:rPr/>
        <w:t>in</w:t>
      </w:r>
      <w:r>
        <w:rPr>
          <w:spacing w:val="-6"/>
        </w:rPr>
        <w:t> </w:t>
      </w:r>
      <w:r>
        <w:rPr/>
        <w:t>2016).</w:t>
      </w:r>
      <w:r>
        <w:rPr>
          <w:spacing w:val="-6"/>
        </w:rPr>
        <w:t> </w:t>
      </w:r>
      <w:r>
        <w:rPr/>
        <w:t>However,</w:t>
      </w:r>
      <w:r>
        <w:rPr>
          <w:spacing w:val="-6"/>
        </w:rPr>
        <w:t> </w:t>
      </w:r>
      <w:r>
        <w:rPr/>
        <w:t>comparisons</w:t>
      </w:r>
      <w:r>
        <w:rPr>
          <w:spacing w:val="-5"/>
        </w:rPr>
        <w:t> </w:t>
      </w:r>
      <w:r>
        <w:rPr/>
        <w:t>should</w:t>
      </w:r>
      <w:r>
        <w:rPr>
          <w:spacing w:val="-5"/>
        </w:rPr>
        <w:t> </w:t>
      </w:r>
      <w:r>
        <w:rPr/>
        <w:t>be</w:t>
      </w:r>
      <w:r>
        <w:rPr>
          <w:spacing w:val="-8"/>
        </w:rPr>
        <w:t> </w:t>
      </w:r>
      <w:r>
        <w:rPr/>
        <w:t>treated</w:t>
      </w:r>
      <w:r>
        <w:rPr>
          <w:spacing w:val="-5"/>
        </w:rPr>
        <w:t> </w:t>
      </w:r>
      <w:r>
        <w:rPr/>
        <w:t>with</w:t>
      </w:r>
      <w:r>
        <w:rPr>
          <w:spacing w:val="-6"/>
        </w:rPr>
        <w:t> </w:t>
      </w:r>
      <w:r>
        <w:rPr/>
        <w:t>care</w:t>
      </w:r>
      <w:r>
        <w:rPr>
          <w:spacing w:val="-6"/>
        </w:rPr>
        <w:t> </w:t>
      </w:r>
      <w:r>
        <w:rPr/>
        <w:t>on</w:t>
      </w:r>
      <w:r>
        <w:rPr>
          <w:spacing w:val="-6"/>
        </w:rPr>
        <w:t> </w:t>
      </w:r>
      <w:r>
        <w:rPr/>
        <w:t>the employer</w:t>
      </w:r>
      <w:r>
        <w:rPr>
          <w:spacing w:val="-18"/>
        </w:rPr>
        <w:t> </w:t>
      </w:r>
      <w:r>
        <w:rPr/>
        <w:t>side</w:t>
      </w:r>
      <w:r>
        <w:rPr>
          <w:spacing w:val="-18"/>
        </w:rPr>
        <w:t> </w:t>
      </w:r>
      <w:r>
        <w:rPr/>
        <w:t>as</w:t>
      </w:r>
      <w:r>
        <w:rPr>
          <w:spacing w:val="-17"/>
        </w:rPr>
        <w:t> </w:t>
      </w:r>
      <w:r>
        <w:rPr/>
        <w:t>only</w:t>
      </w:r>
      <w:r>
        <w:rPr>
          <w:spacing w:val="-18"/>
        </w:rPr>
        <w:t> </w:t>
      </w:r>
      <w:r>
        <w:rPr/>
        <w:t>58</w:t>
      </w:r>
      <w:r>
        <w:rPr>
          <w:spacing w:val="-17"/>
        </w:rPr>
        <w:t> </w:t>
      </w:r>
      <w:r>
        <w:rPr/>
        <w:t>respondents</w:t>
      </w:r>
      <w:r>
        <w:rPr>
          <w:spacing w:val="-18"/>
        </w:rPr>
        <w:t> </w:t>
      </w:r>
      <w:r>
        <w:rPr/>
        <w:t>answered</w:t>
      </w:r>
      <w:r>
        <w:rPr>
          <w:spacing w:val="-18"/>
        </w:rPr>
        <w:t> </w:t>
      </w:r>
      <w:r>
        <w:rPr/>
        <w:t>this</w:t>
      </w:r>
      <w:r>
        <w:rPr>
          <w:spacing w:val="-17"/>
        </w:rPr>
        <w:t> </w:t>
      </w:r>
      <w:r>
        <w:rPr/>
        <w:t>question</w:t>
      </w:r>
      <w:r>
        <w:rPr>
          <w:spacing w:val="-18"/>
        </w:rPr>
        <w:t> </w:t>
      </w:r>
      <w:r>
        <w:rPr/>
        <w:t>in</w:t>
      </w:r>
      <w:r>
        <w:rPr>
          <w:spacing w:val="-17"/>
        </w:rPr>
        <w:t> </w:t>
      </w:r>
      <w:r>
        <w:rPr/>
        <w:t>2016.</w:t>
      </w:r>
      <w:r>
        <w:rPr>
          <w:spacing w:val="-18"/>
        </w:rPr>
        <w:t> </w:t>
      </w:r>
      <w:r>
        <w:rPr/>
        <w:t>Among</w:t>
      </w:r>
      <w:r>
        <w:rPr>
          <w:spacing w:val="-17"/>
        </w:rPr>
        <w:t> </w:t>
      </w:r>
      <w:r>
        <w:rPr/>
        <w:t>those taking part in EC previously, 66 per cent and 36 per cent of claimants and employers respectively agreed with the statement (see Fig 39 below).</w:t>
      </w:r>
    </w:p>
    <w:p>
      <w:pPr>
        <w:pStyle w:val="BodyText"/>
        <w:spacing w:before="4"/>
        <w:rPr>
          <w:sz w:val="21"/>
        </w:rPr>
      </w:pPr>
    </w:p>
    <w:p>
      <w:pPr>
        <w:pStyle w:val="BodyText"/>
        <w:spacing w:line="259" w:lineRule="auto" w:before="1"/>
        <w:ind w:left="1338" w:right="1472"/>
        <w:jc w:val="both"/>
      </w:pPr>
      <w:r>
        <w:rPr/>
        <w:t>Among those who retained the same conciliator at both EC and post-ET1 stages (claimant and employer side participants combined), levels of agreement were stronger than for those who did not: 60 per cent of the former group agreed that the</w:t>
      </w:r>
      <w:r>
        <w:rPr>
          <w:spacing w:val="-6"/>
        </w:rPr>
        <w:t> </w:t>
      </w:r>
      <w:r>
        <w:rPr/>
        <w:t>service</w:t>
      </w:r>
      <w:r>
        <w:rPr>
          <w:spacing w:val="-6"/>
        </w:rPr>
        <w:t> </w:t>
      </w:r>
      <w:r>
        <w:rPr/>
        <w:t>Acas</w:t>
      </w:r>
      <w:r>
        <w:rPr>
          <w:spacing w:val="-6"/>
        </w:rPr>
        <w:t> </w:t>
      </w:r>
      <w:r>
        <w:rPr/>
        <w:t>provided</w:t>
      </w:r>
      <w:r>
        <w:rPr>
          <w:spacing w:val="-6"/>
        </w:rPr>
        <w:t> </w:t>
      </w:r>
      <w:r>
        <w:rPr/>
        <w:t>prior</w:t>
      </w:r>
      <w:r>
        <w:rPr>
          <w:spacing w:val="-6"/>
        </w:rPr>
        <w:t> </w:t>
      </w:r>
      <w:r>
        <w:rPr/>
        <w:t>to</w:t>
      </w:r>
      <w:r>
        <w:rPr>
          <w:spacing w:val="-6"/>
        </w:rPr>
        <w:t> </w:t>
      </w:r>
      <w:r>
        <w:rPr/>
        <w:t>the</w:t>
      </w:r>
      <w:r>
        <w:rPr>
          <w:spacing w:val="-6"/>
        </w:rPr>
        <w:t> </w:t>
      </w:r>
      <w:r>
        <w:rPr/>
        <w:t>submission</w:t>
      </w:r>
      <w:r>
        <w:rPr>
          <w:spacing w:val="-5"/>
        </w:rPr>
        <w:t> </w:t>
      </w:r>
      <w:r>
        <w:rPr/>
        <w:t>of</w:t>
      </w:r>
      <w:r>
        <w:rPr>
          <w:spacing w:val="-5"/>
        </w:rPr>
        <w:t> </w:t>
      </w:r>
      <w:r>
        <w:rPr/>
        <w:t>an</w:t>
      </w:r>
      <w:r>
        <w:rPr>
          <w:spacing w:val="-6"/>
        </w:rPr>
        <w:t> </w:t>
      </w:r>
      <w:r>
        <w:rPr/>
        <w:t>ET</w:t>
      </w:r>
      <w:r>
        <w:rPr>
          <w:spacing w:val="-7"/>
        </w:rPr>
        <w:t> </w:t>
      </w:r>
      <w:r>
        <w:rPr/>
        <w:t>application</w:t>
      </w:r>
      <w:r>
        <w:rPr>
          <w:spacing w:val="-5"/>
        </w:rPr>
        <w:t> </w:t>
      </w:r>
      <w:r>
        <w:rPr/>
        <w:t>helped</w:t>
      </w:r>
      <w:r>
        <w:rPr>
          <w:spacing w:val="-6"/>
        </w:rPr>
        <w:t> </w:t>
      </w:r>
      <w:r>
        <w:rPr/>
        <w:t>them feel prepared for the later stages, compared with 42 per cent of the latter group.</w:t>
      </w:r>
    </w:p>
    <w:p>
      <w:pPr>
        <w:spacing w:after="0" w:line="259" w:lineRule="auto"/>
        <w:jc w:val="both"/>
        <w:sectPr>
          <w:pgSz w:w="11910" w:h="16840"/>
          <w:pgMar w:header="0" w:footer="996" w:top="1340" w:bottom="1180" w:left="460" w:right="320"/>
        </w:sectPr>
      </w:pPr>
    </w:p>
    <w:p>
      <w:pPr>
        <w:pStyle w:val="Heading3"/>
        <w:spacing w:before="82"/>
        <w:ind w:right="1474"/>
      </w:pPr>
      <w:r>
        <w:rPr/>
        <w:t>Figure 38. Agreement that service received from Acas before ET application submitted helped prepare for the process after submission</w:t>
      </w:r>
    </w:p>
    <w:p>
      <w:pPr>
        <w:pStyle w:val="BodyText"/>
        <w:ind w:left="1492"/>
      </w:pPr>
      <w:r>
        <w:rPr/>
        <w:drawing>
          <wp:inline distT="0" distB="0" distL="0" distR="0">
            <wp:extent cx="5076641" cy="2622327"/>
            <wp:effectExtent l="0" t="0" r="0" b="0"/>
            <wp:docPr id="95" name="image48.png" descr="Graph showing agreement that service received from Acas before ET applicastion submitted helped prepare for the process after aubmission "/>
            <wp:cNvGraphicFramePr>
              <a:graphicFrameLocks noChangeAspect="1"/>
            </wp:cNvGraphicFramePr>
            <a:graphic>
              <a:graphicData uri="http://schemas.openxmlformats.org/drawingml/2006/picture">
                <pic:pic>
                  <pic:nvPicPr>
                    <pic:cNvPr id="96" name="image48.png"/>
                    <pic:cNvPicPr/>
                  </pic:nvPicPr>
                  <pic:blipFill>
                    <a:blip r:embed="rId61" cstate="print"/>
                    <a:stretch>
                      <a:fillRect/>
                    </a:stretch>
                  </pic:blipFill>
                  <pic:spPr>
                    <a:xfrm>
                      <a:off x="0" y="0"/>
                      <a:ext cx="5076641" cy="2622327"/>
                    </a:xfrm>
                    <a:prstGeom prst="rect">
                      <a:avLst/>
                    </a:prstGeom>
                  </pic:spPr>
                </pic:pic>
              </a:graphicData>
            </a:graphic>
          </wp:inline>
        </w:drawing>
      </w:r>
      <w:r>
        <w:rPr/>
      </w:r>
    </w:p>
    <w:p>
      <w:pPr>
        <w:pStyle w:val="BodyText"/>
        <w:rPr>
          <w:b/>
          <w:sz w:val="24"/>
        </w:rPr>
      </w:pPr>
    </w:p>
    <w:p>
      <w:pPr>
        <w:pStyle w:val="BodyText"/>
        <w:spacing w:line="259" w:lineRule="auto" w:before="181"/>
        <w:ind w:left="1337" w:right="1473"/>
        <w:jc w:val="both"/>
      </w:pPr>
      <w:r>
        <w:rPr/>
        <w:t>Claimants,</w:t>
      </w:r>
      <w:r>
        <w:rPr>
          <w:spacing w:val="-9"/>
        </w:rPr>
        <w:t> </w:t>
      </w:r>
      <w:r>
        <w:rPr/>
        <w:t>employers</w:t>
      </w:r>
      <w:r>
        <w:rPr>
          <w:spacing w:val="-9"/>
        </w:rPr>
        <w:t> </w:t>
      </w:r>
      <w:r>
        <w:rPr/>
        <w:t>and</w:t>
      </w:r>
      <w:r>
        <w:rPr>
          <w:spacing w:val="-9"/>
        </w:rPr>
        <w:t> </w:t>
      </w:r>
      <w:r>
        <w:rPr/>
        <w:t>representatives</w:t>
      </w:r>
      <w:r>
        <w:rPr>
          <w:spacing w:val="-9"/>
        </w:rPr>
        <w:t> </w:t>
      </w:r>
      <w:r>
        <w:rPr/>
        <w:t>appointed</w:t>
      </w:r>
      <w:r>
        <w:rPr>
          <w:spacing w:val="-9"/>
        </w:rPr>
        <w:t> </w:t>
      </w:r>
      <w:r>
        <w:rPr/>
        <w:t>before</w:t>
      </w:r>
      <w:r>
        <w:rPr>
          <w:spacing w:val="-9"/>
        </w:rPr>
        <w:t> </w:t>
      </w:r>
      <w:r>
        <w:rPr/>
        <w:t>the</w:t>
      </w:r>
      <w:r>
        <w:rPr>
          <w:spacing w:val="-9"/>
        </w:rPr>
        <w:t> </w:t>
      </w:r>
      <w:r>
        <w:rPr/>
        <w:t>ET</w:t>
      </w:r>
      <w:r>
        <w:rPr>
          <w:spacing w:val="-9"/>
        </w:rPr>
        <w:t> </w:t>
      </w:r>
      <w:r>
        <w:rPr/>
        <w:t>application</w:t>
      </w:r>
      <w:r>
        <w:rPr>
          <w:spacing w:val="-8"/>
        </w:rPr>
        <w:t> </w:t>
      </w:r>
      <w:r>
        <w:rPr/>
        <w:t>was submitted were asked whether the initial Acas service had made it quicker to resolve the case once the claim was submitted. Overall, 50 per cent of claimant- side</w:t>
      </w:r>
      <w:r>
        <w:rPr>
          <w:spacing w:val="-14"/>
        </w:rPr>
        <w:t> </w:t>
      </w:r>
      <w:r>
        <w:rPr/>
        <w:t>and</w:t>
      </w:r>
      <w:r>
        <w:rPr>
          <w:spacing w:val="-14"/>
        </w:rPr>
        <w:t> </w:t>
      </w:r>
      <w:r>
        <w:rPr/>
        <w:t>28</w:t>
      </w:r>
      <w:r>
        <w:rPr>
          <w:spacing w:val="-15"/>
        </w:rPr>
        <w:t> </w:t>
      </w:r>
      <w:r>
        <w:rPr/>
        <w:t>per</w:t>
      </w:r>
      <w:r>
        <w:rPr>
          <w:spacing w:val="-14"/>
        </w:rPr>
        <w:t> </w:t>
      </w:r>
      <w:r>
        <w:rPr/>
        <w:t>cent</w:t>
      </w:r>
      <w:r>
        <w:rPr>
          <w:spacing w:val="-15"/>
        </w:rPr>
        <w:t> </w:t>
      </w:r>
      <w:r>
        <w:rPr/>
        <w:t>of</w:t>
      </w:r>
      <w:r>
        <w:rPr>
          <w:spacing w:val="-15"/>
        </w:rPr>
        <w:t> </w:t>
      </w:r>
      <w:r>
        <w:rPr/>
        <w:t>employer-side</w:t>
      </w:r>
      <w:r>
        <w:rPr>
          <w:spacing w:val="-14"/>
        </w:rPr>
        <w:t> </w:t>
      </w:r>
      <w:r>
        <w:rPr/>
        <w:t>participants</w:t>
      </w:r>
      <w:r>
        <w:rPr>
          <w:spacing w:val="-15"/>
        </w:rPr>
        <w:t> </w:t>
      </w:r>
      <w:r>
        <w:rPr/>
        <w:t>agreed</w:t>
      </w:r>
      <w:r>
        <w:rPr>
          <w:spacing w:val="-14"/>
        </w:rPr>
        <w:t> </w:t>
      </w:r>
      <w:r>
        <w:rPr/>
        <w:t>that</w:t>
      </w:r>
      <w:r>
        <w:rPr>
          <w:spacing w:val="-14"/>
        </w:rPr>
        <w:t> </w:t>
      </w:r>
      <w:r>
        <w:rPr/>
        <w:t>it</w:t>
      </w:r>
      <w:r>
        <w:rPr>
          <w:spacing w:val="-15"/>
        </w:rPr>
        <w:t> </w:t>
      </w:r>
      <w:r>
        <w:rPr/>
        <w:t>had.</w:t>
      </w:r>
      <w:r>
        <w:rPr>
          <w:spacing w:val="-13"/>
        </w:rPr>
        <w:t> </w:t>
      </w:r>
      <w:r>
        <w:rPr/>
        <w:t>For</w:t>
      </w:r>
      <w:r>
        <w:rPr>
          <w:spacing w:val="-14"/>
        </w:rPr>
        <w:t> </w:t>
      </w:r>
      <w:r>
        <w:rPr/>
        <w:t>claimants and</w:t>
      </w:r>
      <w:r>
        <w:rPr>
          <w:spacing w:val="-4"/>
        </w:rPr>
        <w:t> </w:t>
      </w:r>
      <w:r>
        <w:rPr/>
        <w:t>employers</w:t>
      </w:r>
      <w:r>
        <w:rPr>
          <w:spacing w:val="-4"/>
        </w:rPr>
        <w:t> </w:t>
      </w:r>
      <w:r>
        <w:rPr/>
        <w:t>alone,</w:t>
      </w:r>
      <w:r>
        <w:rPr>
          <w:spacing w:val="-4"/>
        </w:rPr>
        <w:t> </w:t>
      </w:r>
      <w:r>
        <w:rPr/>
        <w:t>these</w:t>
      </w:r>
      <w:r>
        <w:rPr>
          <w:spacing w:val="-5"/>
        </w:rPr>
        <w:t> </w:t>
      </w:r>
      <w:r>
        <w:rPr/>
        <w:t>figures</w:t>
      </w:r>
      <w:r>
        <w:rPr>
          <w:spacing w:val="-5"/>
        </w:rPr>
        <w:t> </w:t>
      </w:r>
      <w:r>
        <w:rPr/>
        <w:t>were</w:t>
      </w:r>
      <w:r>
        <w:rPr>
          <w:spacing w:val="-5"/>
        </w:rPr>
        <w:t> </w:t>
      </w:r>
      <w:r>
        <w:rPr/>
        <w:t>54</w:t>
      </w:r>
      <w:r>
        <w:rPr>
          <w:spacing w:val="-6"/>
        </w:rPr>
        <w:t> </w:t>
      </w:r>
      <w:r>
        <w:rPr/>
        <w:t>per</w:t>
      </w:r>
      <w:r>
        <w:rPr>
          <w:spacing w:val="-5"/>
        </w:rPr>
        <w:t> </w:t>
      </w:r>
      <w:r>
        <w:rPr/>
        <w:t>cent</w:t>
      </w:r>
      <w:r>
        <w:rPr>
          <w:spacing w:val="-5"/>
        </w:rPr>
        <w:t> </w:t>
      </w:r>
      <w:r>
        <w:rPr/>
        <w:t>and</w:t>
      </w:r>
      <w:r>
        <w:rPr>
          <w:spacing w:val="-4"/>
        </w:rPr>
        <w:t> </w:t>
      </w:r>
      <w:r>
        <w:rPr/>
        <w:t>29</w:t>
      </w:r>
      <w:r>
        <w:rPr>
          <w:spacing w:val="-4"/>
        </w:rPr>
        <w:t> </w:t>
      </w:r>
      <w:r>
        <w:rPr/>
        <w:t>per</w:t>
      </w:r>
      <w:r>
        <w:rPr>
          <w:spacing w:val="-5"/>
        </w:rPr>
        <w:t> </w:t>
      </w:r>
      <w:r>
        <w:rPr/>
        <w:t>cent</w:t>
      </w:r>
      <w:r>
        <w:rPr>
          <w:spacing w:val="-5"/>
        </w:rPr>
        <w:t> </w:t>
      </w:r>
      <w:r>
        <w:rPr/>
        <w:t>respectively, which compare to 54 and 46</w:t>
      </w:r>
      <w:r>
        <w:rPr>
          <w:spacing w:val="-1"/>
        </w:rPr>
        <w:t> </w:t>
      </w:r>
      <w:r>
        <w:rPr/>
        <w:t>per cent in 2016. However, again, we</w:t>
      </w:r>
      <w:r>
        <w:rPr>
          <w:spacing w:val="-2"/>
        </w:rPr>
        <w:t> </w:t>
      </w:r>
      <w:r>
        <w:rPr/>
        <w:t>must</w:t>
      </w:r>
      <w:r>
        <w:rPr>
          <w:spacing w:val="-1"/>
        </w:rPr>
        <w:t> </w:t>
      </w:r>
      <w:r>
        <w:rPr/>
        <w:t>take into account the low base size for employers in 2016 when interpreting trend data.</w:t>
      </w:r>
    </w:p>
    <w:p>
      <w:pPr>
        <w:pStyle w:val="BodyText"/>
        <w:spacing w:before="5"/>
        <w:rPr>
          <w:sz w:val="21"/>
        </w:rPr>
      </w:pPr>
    </w:p>
    <w:p>
      <w:pPr>
        <w:pStyle w:val="BodyText"/>
        <w:spacing w:line="259" w:lineRule="auto" w:before="1"/>
        <w:ind w:left="1337" w:right="1473"/>
        <w:jc w:val="both"/>
      </w:pPr>
      <w:r>
        <w:rPr/>
        <w:t>Participation in</w:t>
      </w:r>
      <w:r>
        <w:rPr>
          <w:spacing w:val="-1"/>
        </w:rPr>
        <w:t> </w:t>
      </w:r>
      <w:r>
        <w:rPr/>
        <w:t>EC</w:t>
      </w:r>
      <w:r>
        <w:rPr>
          <w:spacing w:val="-1"/>
        </w:rPr>
        <w:t> </w:t>
      </w:r>
      <w:r>
        <w:rPr/>
        <w:t>made</w:t>
      </w:r>
      <w:r>
        <w:rPr>
          <w:spacing w:val="-1"/>
        </w:rPr>
        <w:t> </w:t>
      </w:r>
      <w:r>
        <w:rPr/>
        <w:t>both claimant and</w:t>
      </w:r>
      <w:r>
        <w:rPr>
          <w:spacing w:val="-2"/>
        </w:rPr>
        <w:t> </w:t>
      </w:r>
      <w:r>
        <w:rPr/>
        <w:t>employer-side</w:t>
      </w:r>
      <w:r>
        <w:rPr>
          <w:spacing w:val="-1"/>
        </w:rPr>
        <w:t> </w:t>
      </w:r>
      <w:r>
        <w:rPr/>
        <w:t>participants more</w:t>
      </w:r>
      <w:r>
        <w:rPr>
          <w:spacing w:val="-1"/>
        </w:rPr>
        <w:t> </w:t>
      </w:r>
      <w:r>
        <w:rPr/>
        <w:t>likely to agree that the service received from Acas before submitting an ET application had</w:t>
      </w:r>
      <w:r>
        <w:rPr>
          <w:spacing w:val="-9"/>
        </w:rPr>
        <w:t> </w:t>
      </w:r>
      <w:r>
        <w:rPr/>
        <w:t>made</w:t>
      </w:r>
      <w:r>
        <w:rPr>
          <w:spacing w:val="-10"/>
        </w:rPr>
        <w:t> </w:t>
      </w:r>
      <w:r>
        <w:rPr/>
        <w:t>it</w:t>
      </w:r>
      <w:r>
        <w:rPr>
          <w:spacing w:val="-9"/>
        </w:rPr>
        <w:t> </w:t>
      </w:r>
      <w:r>
        <w:rPr/>
        <w:t>quicker</w:t>
      </w:r>
      <w:r>
        <w:rPr>
          <w:spacing w:val="-9"/>
        </w:rPr>
        <w:t> </w:t>
      </w:r>
      <w:r>
        <w:rPr/>
        <w:t>to</w:t>
      </w:r>
      <w:r>
        <w:rPr>
          <w:spacing w:val="-10"/>
        </w:rPr>
        <w:t> </w:t>
      </w:r>
      <w:r>
        <w:rPr/>
        <w:t>resolve</w:t>
      </w:r>
      <w:r>
        <w:rPr>
          <w:spacing w:val="-10"/>
        </w:rPr>
        <w:t> </w:t>
      </w:r>
      <w:r>
        <w:rPr/>
        <w:t>the</w:t>
      </w:r>
      <w:r>
        <w:rPr>
          <w:spacing w:val="-10"/>
        </w:rPr>
        <w:t> </w:t>
      </w:r>
      <w:r>
        <w:rPr/>
        <w:t>case</w:t>
      </w:r>
      <w:r>
        <w:rPr>
          <w:spacing w:val="-10"/>
        </w:rPr>
        <w:t> </w:t>
      </w:r>
      <w:r>
        <w:rPr/>
        <w:t>once</w:t>
      </w:r>
      <w:r>
        <w:rPr>
          <w:spacing w:val="-10"/>
        </w:rPr>
        <w:t> </w:t>
      </w:r>
      <w:r>
        <w:rPr/>
        <w:t>the</w:t>
      </w:r>
      <w:r>
        <w:rPr>
          <w:spacing w:val="-10"/>
        </w:rPr>
        <w:t> </w:t>
      </w:r>
      <w:r>
        <w:rPr/>
        <w:t>claim</w:t>
      </w:r>
      <w:r>
        <w:rPr>
          <w:spacing w:val="-10"/>
        </w:rPr>
        <w:t> </w:t>
      </w:r>
      <w:r>
        <w:rPr/>
        <w:t>had</w:t>
      </w:r>
      <w:r>
        <w:rPr>
          <w:spacing w:val="-9"/>
        </w:rPr>
        <w:t> </w:t>
      </w:r>
      <w:r>
        <w:rPr/>
        <w:t>been</w:t>
      </w:r>
      <w:r>
        <w:rPr>
          <w:spacing w:val="-9"/>
        </w:rPr>
        <w:t> </w:t>
      </w:r>
      <w:r>
        <w:rPr/>
        <w:t>submitted:</w:t>
      </w:r>
      <w:r>
        <w:rPr>
          <w:spacing w:val="-9"/>
        </w:rPr>
        <w:t> </w:t>
      </w:r>
      <w:r>
        <w:rPr/>
        <w:t>56</w:t>
      </w:r>
      <w:r>
        <w:rPr>
          <w:spacing w:val="-9"/>
        </w:rPr>
        <w:t> </w:t>
      </w:r>
      <w:r>
        <w:rPr/>
        <w:t>per cent and 40 per cent of claimant and employer-side participants who took part in EC respectively reported this to be the case – this dropped to 44 per cent and 19 per cent among those who had not taken part in EC.</w:t>
      </w:r>
    </w:p>
    <w:p>
      <w:pPr>
        <w:spacing w:after="0" w:line="259" w:lineRule="auto"/>
        <w:jc w:val="both"/>
        <w:sectPr>
          <w:pgSz w:w="11910" w:h="16840"/>
          <w:pgMar w:header="0" w:footer="996" w:top="1340" w:bottom="1180" w:left="460" w:right="320"/>
        </w:sectPr>
      </w:pPr>
    </w:p>
    <w:p>
      <w:pPr>
        <w:pStyle w:val="Heading3"/>
        <w:spacing w:before="82"/>
        <w:ind w:right="1473"/>
      </w:pPr>
      <w:r>
        <w:rPr/>
        <w:t>Figure 39. Agreement that service received from Acas before ET application submitted made it quicker to resolve case once the case was </w:t>
      </w:r>
      <w:r>
        <w:rPr>
          <w:spacing w:val="-2"/>
        </w:rPr>
        <w:t>submitted</w:t>
      </w:r>
    </w:p>
    <w:p>
      <w:pPr>
        <w:pStyle w:val="BodyText"/>
        <w:spacing w:before="8"/>
        <w:rPr>
          <w:b/>
          <w:sz w:val="3"/>
        </w:rPr>
      </w:pPr>
      <w:r>
        <w:rPr/>
        <w:drawing>
          <wp:anchor distT="0" distB="0" distL="0" distR="0" allowOverlap="1" layoutInCell="1" locked="0" behindDoc="0" simplePos="0" relativeHeight="139">
            <wp:simplePos x="0" y="0"/>
            <wp:positionH relativeFrom="page">
              <wp:posOffset>1239120</wp:posOffset>
            </wp:positionH>
            <wp:positionV relativeFrom="paragraph">
              <wp:posOffset>43561</wp:posOffset>
            </wp:positionV>
            <wp:extent cx="5066160" cy="2676620"/>
            <wp:effectExtent l="0" t="0" r="0" b="0"/>
            <wp:wrapTopAndBottom/>
            <wp:docPr id="97" name="image49.png" descr="Graph showing agreement that service received from Acas before ET application submitted made it quicker to resolve case once the case was submitted "/>
            <wp:cNvGraphicFramePr>
              <a:graphicFrameLocks noChangeAspect="1"/>
            </wp:cNvGraphicFramePr>
            <a:graphic>
              <a:graphicData uri="http://schemas.openxmlformats.org/drawingml/2006/picture">
                <pic:pic>
                  <pic:nvPicPr>
                    <pic:cNvPr id="98" name="image49.png"/>
                    <pic:cNvPicPr/>
                  </pic:nvPicPr>
                  <pic:blipFill>
                    <a:blip r:embed="rId62" cstate="print"/>
                    <a:stretch>
                      <a:fillRect/>
                    </a:stretch>
                  </pic:blipFill>
                  <pic:spPr>
                    <a:xfrm>
                      <a:off x="0" y="0"/>
                      <a:ext cx="5066160" cy="2676620"/>
                    </a:xfrm>
                    <a:prstGeom prst="rect">
                      <a:avLst/>
                    </a:prstGeom>
                  </pic:spPr>
                </pic:pic>
              </a:graphicData>
            </a:graphic>
          </wp:anchor>
        </w:drawing>
      </w:r>
    </w:p>
    <w:p>
      <w:pPr>
        <w:pStyle w:val="BodyText"/>
        <w:rPr>
          <w:b/>
          <w:sz w:val="24"/>
        </w:rPr>
      </w:pPr>
    </w:p>
    <w:p>
      <w:pPr>
        <w:pStyle w:val="BodyText"/>
        <w:spacing w:before="2"/>
        <w:rPr>
          <w:b/>
          <w:sz w:val="32"/>
        </w:rPr>
      </w:pPr>
    </w:p>
    <w:p>
      <w:pPr>
        <w:pStyle w:val="Heading3"/>
        <w:numPr>
          <w:ilvl w:val="1"/>
          <w:numId w:val="2"/>
        </w:numPr>
        <w:tabs>
          <w:tab w:pos="1974" w:val="left" w:leader="none"/>
        </w:tabs>
        <w:spacing w:line="240" w:lineRule="auto" w:before="1" w:after="0"/>
        <w:ind w:left="1973" w:right="0" w:hanging="637"/>
        <w:jc w:val="both"/>
      </w:pPr>
      <w:bookmarkStart w:name="17.4  The use of EC and ET1 conciliation" w:id="229"/>
      <w:bookmarkEnd w:id="229"/>
      <w:r>
        <w:rPr>
          <w:b w:val="0"/>
        </w:rPr>
      </w:r>
      <w:bookmarkStart w:name="_bookmark61" w:id="230"/>
      <w:bookmarkEnd w:id="230"/>
      <w:r>
        <w:rPr/>
        <w:t>The</w:t>
      </w:r>
      <w:r>
        <w:rPr>
          <w:spacing w:val="-3"/>
        </w:rPr>
        <w:t> </w:t>
      </w:r>
      <w:r>
        <w:rPr/>
        <w:t>use</w:t>
      </w:r>
      <w:r>
        <w:rPr>
          <w:spacing w:val="-2"/>
        </w:rPr>
        <w:t> </w:t>
      </w:r>
      <w:r>
        <w:rPr/>
        <w:t>of</w:t>
      </w:r>
      <w:r>
        <w:rPr>
          <w:spacing w:val="-3"/>
        </w:rPr>
        <w:t> </w:t>
      </w:r>
      <w:r>
        <w:rPr/>
        <w:t>EC</w:t>
      </w:r>
      <w:r>
        <w:rPr>
          <w:spacing w:val="-4"/>
        </w:rPr>
        <w:t> </w:t>
      </w:r>
      <w:r>
        <w:rPr/>
        <w:t>and</w:t>
      </w:r>
      <w:r>
        <w:rPr>
          <w:spacing w:val="-3"/>
        </w:rPr>
        <w:t> </w:t>
      </w:r>
      <w:r>
        <w:rPr/>
        <w:t>ET1</w:t>
      </w:r>
      <w:r>
        <w:rPr>
          <w:spacing w:val="-2"/>
        </w:rPr>
        <w:t> </w:t>
      </w:r>
      <w:r>
        <w:rPr/>
        <w:t>conciliation</w:t>
      </w:r>
      <w:r>
        <w:rPr>
          <w:spacing w:val="-4"/>
        </w:rPr>
        <w:t> </w:t>
      </w:r>
      <w:r>
        <w:rPr>
          <w:spacing w:val="-2"/>
        </w:rPr>
        <w:t>outcomes</w:t>
      </w:r>
    </w:p>
    <w:p>
      <w:pPr>
        <w:pStyle w:val="BodyText"/>
        <w:spacing w:line="259" w:lineRule="auto" w:before="119"/>
        <w:ind w:left="1337" w:right="1473"/>
        <w:jc w:val="both"/>
      </w:pPr>
      <w:r>
        <w:rPr/>
        <w:t>As in 2016, it should be acknowledged that regardless of whether EC had taken place for claimant-side participants, their most common outcome at the post-ET1 stage was a settlement (52 per cent). Even so, it is notable that among those claimants who had previously taken part in EC, reports of a settlement at the ET stage</w:t>
      </w:r>
      <w:r>
        <w:rPr>
          <w:spacing w:val="-7"/>
        </w:rPr>
        <w:t> </w:t>
      </w:r>
      <w:r>
        <w:rPr/>
        <w:t>rose</w:t>
      </w:r>
      <w:r>
        <w:rPr>
          <w:spacing w:val="-9"/>
        </w:rPr>
        <w:t> </w:t>
      </w:r>
      <w:r>
        <w:rPr/>
        <w:t>to</w:t>
      </w:r>
      <w:r>
        <w:rPr>
          <w:spacing w:val="-7"/>
        </w:rPr>
        <w:t> </w:t>
      </w:r>
      <w:r>
        <w:rPr/>
        <w:t>57</w:t>
      </w:r>
      <w:r>
        <w:rPr>
          <w:spacing w:val="-7"/>
        </w:rPr>
        <w:t> </w:t>
      </w:r>
      <w:r>
        <w:rPr/>
        <w:t>per</w:t>
      </w:r>
      <w:r>
        <w:rPr>
          <w:spacing w:val="-8"/>
        </w:rPr>
        <w:t> </w:t>
      </w:r>
      <w:r>
        <w:rPr/>
        <w:t>cent,</w:t>
      </w:r>
      <w:r>
        <w:rPr>
          <w:spacing w:val="-9"/>
        </w:rPr>
        <w:t> </w:t>
      </w:r>
      <w:r>
        <w:rPr/>
        <w:t>while</w:t>
      </w:r>
      <w:r>
        <w:rPr>
          <w:spacing w:val="-7"/>
        </w:rPr>
        <w:t> </w:t>
      </w:r>
      <w:r>
        <w:rPr/>
        <w:t>it</w:t>
      </w:r>
      <w:r>
        <w:rPr>
          <w:spacing w:val="-7"/>
        </w:rPr>
        <w:t> </w:t>
      </w:r>
      <w:r>
        <w:rPr/>
        <w:t>fell</w:t>
      </w:r>
      <w:r>
        <w:rPr>
          <w:spacing w:val="-8"/>
        </w:rPr>
        <w:t> </w:t>
      </w:r>
      <w:r>
        <w:rPr/>
        <w:t>significantly</w:t>
      </w:r>
      <w:r>
        <w:rPr>
          <w:spacing w:val="-7"/>
        </w:rPr>
        <w:t> </w:t>
      </w:r>
      <w:r>
        <w:rPr/>
        <w:t>to</w:t>
      </w:r>
      <w:r>
        <w:rPr>
          <w:spacing w:val="-8"/>
        </w:rPr>
        <w:t> </w:t>
      </w:r>
      <w:r>
        <w:rPr/>
        <w:t>47</w:t>
      </w:r>
      <w:r>
        <w:rPr>
          <w:spacing w:val="-8"/>
        </w:rPr>
        <w:t> </w:t>
      </w:r>
      <w:r>
        <w:rPr/>
        <w:t>per</w:t>
      </w:r>
      <w:r>
        <w:rPr>
          <w:spacing w:val="-7"/>
        </w:rPr>
        <w:t> </w:t>
      </w:r>
      <w:r>
        <w:rPr/>
        <w:t>cent</w:t>
      </w:r>
      <w:r>
        <w:rPr>
          <w:spacing w:val="-8"/>
        </w:rPr>
        <w:t> </w:t>
      </w:r>
      <w:r>
        <w:rPr/>
        <w:t>among</w:t>
      </w:r>
      <w:r>
        <w:rPr>
          <w:spacing w:val="-8"/>
        </w:rPr>
        <w:t> </w:t>
      </w:r>
      <w:r>
        <w:rPr/>
        <w:t>those</w:t>
      </w:r>
      <w:r>
        <w:rPr>
          <w:spacing w:val="-9"/>
        </w:rPr>
        <w:t> </w:t>
      </w:r>
      <w:r>
        <w:rPr/>
        <w:t>who had not. On the employer-side, the overall settlement rate was also 52 per cent, increasing</w:t>
      </w:r>
      <w:r>
        <w:rPr>
          <w:spacing w:val="-1"/>
        </w:rPr>
        <w:t> </w:t>
      </w:r>
      <w:r>
        <w:rPr/>
        <w:t>to</w:t>
      </w:r>
      <w:r>
        <w:rPr>
          <w:spacing w:val="-1"/>
        </w:rPr>
        <w:t> </w:t>
      </w:r>
      <w:r>
        <w:rPr/>
        <w:t>56</w:t>
      </w:r>
      <w:r>
        <w:rPr>
          <w:spacing w:val="-1"/>
        </w:rPr>
        <w:t> </w:t>
      </w:r>
      <w:r>
        <w:rPr/>
        <w:t>per</w:t>
      </w:r>
      <w:r>
        <w:rPr>
          <w:spacing w:val="-1"/>
        </w:rPr>
        <w:t> </w:t>
      </w:r>
      <w:r>
        <w:rPr/>
        <w:t>cent</w:t>
      </w:r>
      <w:r>
        <w:rPr>
          <w:spacing w:val="-1"/>
        </w:rPr>
        <w:t> </w:t>
      </w:r>
      <w:r>
        <w:rPr/>
        <w:t>among</w:t>
      </w:r>
      <w:r>
        <w:rPr>
          <w:spacing w:val="-1"/>
        </w:rPr>
        <w:t> </w:t>
      </w:r>
      <w:r>
        <w:rPr/>
        <w:t>those</w:t>
      </w:r>
      <w:r>
        <w:rPr>
          <w:spacing w:val="-1"/>
        </w:rPr>
        <w:t> </w:t>
      </w:r>
      <w:r>
        <w:rPr/>
        <w:t>where</w:t>
      </w:r>
      <w:r>
        <w:rPr>
          <w:spacing w:val="-3"/>
        </w:rPr>
        <w:t> </w:t>
      </w:r>
      <w:r>
        <w:rPr/>
        <w:t>EC</w:t>
      </w:r>
      <w:r>
        <w:rPr>
          <w:spacing w:val="-2"/>
        </w:rPr>
        <w:t> </w:t>
      </w:r>
      <w:r>
        <w:rPr/>
        <w:t>had</w:t>
      </w:r>
      <w:r>
        <w:rPr>
          <w:spacing w:val="-2"/>
        </w:rPr>
        <w:t> </w:t>
      </w:r>
      <w:r>
        <w:rPr/>
        <w:t>taken place</w:t>
      </w:r>
      <w:r>
        <w:rPr>
          <w:spacing w:val="-1"/>
        </w:rPr>
        <w:t> </w:t>
      </w:r>
      <w:r>
        <w:rPr/>
        <w:t>and</w:t>
      </w:r>
      <w:r>
        <w:rPr>
          <w:spacing w:val="-2"/>
        </w:rPr>
        <w:t> </w:t>
      </w:r>
      <w:r>
        <w:rPr/>
        <w:t>falling</w:t>
      </w:r>
      <w:r>
        <w:rPr>
          <w:spacing w:val="-1"/>
        </w:rPr>
        <w:t> </w:t>
      </w:r>
      <w:r>
        <w:rPr/>
        <w:t>to</w:t>
      </w:r>
      <w:r>
        <w:rPr>
          <w:spacing w:val="-1"/>
        </w:rPr>
        <w:t> </w:t>
      </w:r>
      <w:r>
        <w:rPr/>
        <w:t>49 per cent where it had not.</w:t>
      </w:r>
    </w:p>
    <w:p>
      <w:pPr>
        <w:pStyle w:val="BodyText"/>
        <w:spacing w:before="5"/>
        <w:rPr>
          <w:sz w:val="21"/>
        </w:rPr>
      </w:pPr>
    </w:p>
    <w:p>
      <w:pPr>
        <w:pStyle w:val="BodyText"/>
        <w:spacing w:line="259" w:lineRule="auto" w:before="1"/>
        <w:ind w:left="1337" w:right="1472"/>
        <w:jc w:val="both"/>
      </w:pPr>
      <w:r>
        <w:rPr/>
        <w:t>In contrast with 2016, where prior EC use was associated with a lower rate of withdrawals, there were no significant differences this time. 14 per cent of claimant-side EC participants reported a withdrawal compared to 16 per cent of non-EC</w:t>
      </w:r>
      <w:r>
        <w:rPr>
          <w:spacing w:val="-2"/>
        </w:rPr>
        <w:t> </w:t>
      </w:r>
      <w:r>
        <w:rPr/>
        <w:t>participants.</w:t>
      </w:r>
      <w:r>
        <w:rPr>
          <w:spacing w:val="-1"/>
        </w:rPr>
        <w:t> </w:t>
      </w:r>
      <w:r>
        <w:rPr/>
        <w:t>On</w:t>
      </w:r>
      <w:r>
        <w:rPr>
          <w:spacing w:val="-2"/>
        </w:rPr>
        <w:t> </w:t>
      </w:r>
      <w:r>
        <w:rPr/>
        <w:t>the</w:t>
      </w:r>
      <w:r>
        <w:rPr>
          <w:spacing w:val="-1"/>
        </w:rPr>
        <w:t> </w:t>
      </w:r>
      <w:r>
        <w:rPr/>
        <w:t>employer-side</w:t>
      </w:r>
      <w:r>
        <w:rPr>
          <w:spacing w:val="-1"/>
        </w:rPr>
        <w:t> </w:t>
      </w:r>
      <w:r>
        <w:rPr/>
        <w:t>these</w:t>
      </w:r>
      <w:r>
        <w:rPr>
          <w:spacing w:val="-1"/>
        </w:rPr>
        <w:t> </w:t>
      </w:r>
      <w:r>
        <w:rPr/>
        <w:t>numbers</w:t>
      </w:r>
      <w:r>
        <w:rPr>
          <w:spacing w:val="-2"/>
        </w:rPr>
        <w:t> </w:t>
      </w:r>
      <w:r>
        <w:rPr/>
        <w:t>were</w:t>
      </w:r>
      <w:r>
        <w:rPr>
          <w:spacing w:val="-1"/>
        </w:rPr>
        <w:t> </w:t>
      </w:r>
      <w:r>
        <w:rPr/>
        <w:t>7</w:t>
      </w:r>
      <w:r>
        <w:rPr>
          <w:spacing w:val="-1"/>
        </w:rPr>
        <w:t> </w:t>
      </w:r>
      <w:r>
        <w:rPr/>
        <w:t>and</w:t>
      </w:r>
      <w:r>
        <w:rPr>
          <w:spacing w:val="-1"/>
        </w:rPr>
        <w:t> </w:t>
      </w:r>
      <w:r>
        <w:rPr/>
        <w:t>11</w:t>
      </w:r>
      <w:r>
        <w:rPr>
          <w:spacing w:val="-1"/>
        </w:rPr>
        <w:t> </w:t>
      </w:r>
      <w:r>
        <w:rPr/>
        <w:t>per</w:t>
      </w:r>
      <w:r>
        <w:rPr>
          <w:spacing w:val="-1"/>
        </w:rPr>
        <w:t> </w:t>
      </w:r>
      <w:r>
        <w:rPr/>
        <w:t>cent respectively. Here we should acknowledge that the sample size of withdrawals is low – 59 on the claimant-side and 43 on the employer-side and therefore care should</w:t>
      </w:r>
      <w:r>
        <w:rPr>
          <w:spacing w:val="-4"/>
        </w:rPr>
        <w:t> </w:t>
      </w:r>
      <w:r>
        <w:rPr/>
        <w:t>be</w:t>
      </w:r>
      <w:r>
        <w:rPr>
          <w:spacing w:val="-6"/>
        </w:rPr>
        <w:t> </w:t>
      </w:r>
      <w:r>
        <w:rPr/>
        <w:t>taken</w:t>
      </w:r>
      <w:r>
        <w:rPr>
          <w:spacing w:val="-5"/>
        </w:rPr>
        <w:t> </w:t>
      </w:r>
      <w:r>
        <w:rPr/>
        <w:t>with</w:t>
      </w:r>
      <w:r>
        <w:rPr>
          <w:spacing w:val="-4"/>
        </w:rPr>
        <w:t> </w:t>
      </w:r>
      <w:r>
        <w:rPr/>
        <w:t>comparisons.</w:t>
      </w:r>
      <w:r>
        <w:rPr>
          <w:spacing w:val="-4"/>
        </w:rPr>
        <w:t> </w:t>
      </w:r>
      <w:r>
        <w:rPr/>
        <w:t>The</w:t>
      </w:r>
      <w:r>
        <w:rPr>
          <w:spacing w:val="-5"/>
        </w:rPr>
        <w:t> </w:t>
      </w:r>
      <w:r>
        <w:rPr/>
        <w:t>number</w:t>
      </w:r>
      <w:r>
        <w:rPr>
          <w:spacing w:val="-5"/>
        </w:rPr>
        <w:t> </w:t>
      </w:r>
      <w:r>
        <w:rPr/>
        <w:t>of</w:t>
      </w:r>
      <w:r>
        <w:rPr>
          <w:spacing w:val="-4"/>
        </w:rPr>
        <w:t> </w:t>
      </w:r>
      <w:r>
        <w:rPr/>
        <w:t>conciliators</w:t>
      </w:r>
      <w:r>
        <w:rPr>
          <w:spacing w:val="-4"/>
        </w:rPr>
        <w:t> </w:t>
      </w:r>
      <w:r>
        <w:rPr/>
        <w:t>involved</w:t>
      </w:r>
      <w:r>
        <w:rPr>
          <w:spacing w:val="-4"/>
        </w:rPr>
        <w:t> </w:t>
      </w:r>
      <w:r>
        <w:rPr/>
        <w:t>in</w:t>
      </w:r>
      <w:r>
        <w:rPr>
          <w:spacing w:val="-4"/>
        </w:rPr>
        <w:t> </w:t>
      </w:r>
      <w:r>
        <w:rPr/>
        <w:t>the</w:t>
      </w:r>
      <w:r>
        <w:rPr>
          <w:spacing w:val="-6"/>
        </w:rPr>
        <w:t> </w:t>
      </w:r>
      <w:r>
        <w:rPr/>
        <w:t>case and</w:t>
      </w:r>
      <w:r>
        <w:rPr>
          <w:spacing w:val="-18"/>
        </w:rPr>
        <w:t> </w:t>
      </w:r>
      <w:r>
        <w:rPr/>
        <w:t>presence</w:t>
      </w:r>
      <w:r>
        <w:rPr>
          <w:spacing w:val="-18"/>
        </w:rPr>
        <w:t> </w:t>
      </w:r>
      <w:r>
        <w:rPr/>
        <w:t>of</w:t>
      </w:r>
      <w:r>
        <w:rPr>
          <w:spacing w:val="-17"/>
        </w:rPr>
        <w:t> </w:t>
      </w:r>
      <w:r>
        <w:rPr/>
        <w:t>the</w:t>
      </w:r>
      <w:r>
        <w:rPr>
          <w:spacing w:val="-18"/>
        </w:rPr>
        <w:t> </w:t>
      </w:r>
      <w:r>
        <w:rPr/>
        <w:t>same</w:t>
      </w:r>
      <w:r>
        <w:rPr>
          <w:spacing w:val="-17"/>
        </w:rPr>
        <w:t> </w:t>
      </w:r>
      <w:r>
        <w:rPr/>
        <w:t>conciliator</w:t>
      </w:r>
      <w:r>
        <w:rPr>
          <w:spacing w:val="-18"/>
        </w:rPr>
        <w:t> </w:t>
      </w:r>
      <w:r>
        <w:rPr/>
        <w:t>pre</w:t>
      </w:r>
      <w:r>
        <w:rPr>
          <w:spacing w:val="-18"/>
        </w:rPr>
        <w:t> </w:t>
      </w:r>
      <w:r>
        <w:rPr/>
        <w:t>and</w:t>
      </w:r>
      <w:r>
        <w:rPr>
          <w:spacing w:val="-17"/>
        </w:rPr>
        <w:t> </w:t>
      </w:r>
      <w:r>
        <w:rPr/>
        <w:t>post</w:t>
      </w:r>
      <w:r>
        <w:rPr>
          <w:spacing w:val="-18"/>
        </w:rPr>
        <w:t> </w:t>
      </w:r>
      <w:r>
        <w:rPr/>
        <w:t>ET</w:t>
      </w:r>
      <w:r>
        <w:rPr>
          <w:spacing w:val="-17"/>
        </w:rPr>
        <w:t> </w:t>
      </w:r>
      <w:r>
        <w:rPr/>
        <w:t>submission</w:t>
      </w:r>
      <w:r>
        <w:rPr>
          <w:spacing w:val="-18"/>
        </w:rPr>
        <w:t> </w:t>
      </w:r>
      <w:r>
        <w:rPr/>
        <w:t>also</w:t>
      </w:r>
      <w:r>
        <w:rPr>
          <w:spacing w:val="-17"/>
        </w:rPr>
        <w:t> </w:t>
      </w:r>
      <w:r>
        <w:rPr/>
        <w:t>had</w:t>
      </w:r>
      <w:r>
        <w:rPr>
          <w:spacing w:val="-18"/>
        </w:rPr>
        <w:t> </w:t>
      </w:r>
      <w:r>
        <w:rPr/>
        <w:t>no</w:t>
      </w:r>
      <w:r>
        <w:rPr>
          <w:spacing w:val="-18"/>
        </w:rPr>
        <w:t> </w:t>
      </w:r>
      <w:r>
        <w:rPr/>
        <w:t>impact on withdrawals</w:t>
      </w:r>
    </w:p>
    <w:p>
      <w:pPr>
        <w:pStyle w:val="BodyText"/>
        <w:spacing w:before="4"/>
        <w:rPr>
          <w:sz w:val="21"/>
        </w:rPr>
      </w:pPr>
    </w:p>
    <w:p>
      <w:pPr>
        <w:pStyle w:val="Heading3"/>
        <w:numPr>
          <w:ilvl w:val="1"/>
          <w:numId w:val="2"/>
        </w:numPr>
        <w:tabs>
          <w:tab w:pos="1974" w:val="left" w:leader="none"/>
        </w:tabs>
        <w:spacing w:line="240" w:lineRule="auto" w:before="0" w:after="0"/>
        <w:ind w:left="1973" w:right="0" w:hanging="638"/>
        <w:jc w:val="both"/>
      </w:pPr>
      <w:bookmarkStart w:name="17.5  Prior use of EC and satisfaction w" w:id="231"/>
      <w:bookmarkEnd w:id="231"/>
      <w:r>
        <w:rPr>
          <w:b w:val="0"/>
        </w:rPr>
      </w:r>
      <w:bookmarkStart w:name="_bookmark62" w:id="232"/>
      <w:bookmarkEnd w:id="232"/>
      <w:r>
        <w:rPr>
          <w:spacing w:val="-2"/>
        </w:rPr>
        <w:t>Pri</w:t>
      </w:r>
      <w:r>
        <w:rPr>
          <w:spacing w:val="-2"/>
        </w:rPr>
        <w:t>or</w:t>
      </w:r>
      <w:r>
        <w:rPr>
          <w:spacing w:val="-10"/>
        </w:rPr>
        <w:t> </w:t>
      </w:r>
      <w:r>
        <w:rPr>
          <w:spacing w:val="-2"/>
        </w:rPr>
        <w:t>use</w:t>
      </w:r>
      <w:r>
        <w:rPr>
          <w:spacing w:val="-8"/>
        </w:rPr>
        <w:t> </w:t>
      </w:r>
      <w:r>
        <w:rPr>
          <w:spacing w:val="-2"/>
        </w:rPr>
        <w:t>of</w:t>
      </w:r>
      <w:r>
        <w:rPr>
          <w:spacing w:val="-6"/>
        </w:rPr>
        <w:t> </w:t>
      </w:r>
      <w:r>
        <w:rPr>
          <w:spacing w:val="-2"/>
        </w:rPr>
        <w:t>EC</w:t>
      </w:r>
      <w:r>
        <w:rPr>
          <w:spacing w:val="-6"/>
        </w:rPr>
        <w:t> </w:t>
      </w:r>
      <w:r>
        <w:rPr>
          <w:spacing w:val="-2"/>
        </w:rPr>
        <w:t>and</w:t>
      </w:r>
      <w:r>
        <w:rPr>
          <w:spacing w:val="-6"/>
        </w:rPr>
        <w:t> </w:t>
      </w:r>
      <w:r>
        <w:rPr>
          <w:spacing w:val="-2"/>
        </w:rPr>
        <w:t>satisfaction</w:t>
      </w:r>
      <w:r>
        <w:rPr>
          <w:spacing w:val="-9"/>
        </w:rPr>
        <w:t> </w:t>
      </w:r>
      <w:r>
        <w:rPr>
          <w:spacing w:val="-2"/>
        </w:rPr>
        <w:t>with</w:t>
      </w:r>
      <w:r>
        <w:rPr>
          <w:spacing w:val="-7"/>
        </w:rPr>
        <w:t> </w:t>
      </w:r>
      <w:r>
        <w:rPr>
          <w:spacing w:val="-2"/>
        </w:rPr>
        <w:t>the</w:t>
      </w:r>
      <w:r>
        <w:rPr>
          <w:spacing w:val="-7"/>
        </w:rPr>
        <w:t> </w:t>
      </w:r>
      <w:r>
        <w:rPr>
          <w:spacing w:val="-2"/>
        </w:rPr>
        <w:t>post-ET1</w:t>
      </w:r>
      <w:r>
        <w:rPr>
          <w:spacing w:val="-6"/>
        </w:rPr>
        <w:t> </w:t>
      </w:r>
      <w:r>
        <w:rPr>
          <w:spacing w:val="-2"/>
        </w:rPr>
        <w:t>conciliation</w:t>
      </w:r>
      <w:r>
        <w:rPr>
          <w:spacing w:val="-7"/>
        </w:rPr>
        <w:t> </w:t>
      </w:r>
      <w:r>
        <w:rPr>
          <w:spacing w:val="-2"/>
        </w:rPr>
        <w:t>service</w:t>
      </w:r>
    </w:p>
    <w:p>
      <w:pPr>
        <w:pStyle w:val="BodyText"/>
        <w:spacing w:line="259" w:lineRule="auto" w:before="119"/>
        <w:ind w:left="1336" w:right="1473"/>
        <w:jc w:val="both"/>
      </w:pPr>
      <w:r>
        <w:rPr/>
        <w:t>Unlike 2016, prior use of EC had</w:t>
      </w:r>
      <w:r>
        <w:rPr>
          <w:spacing w:val="-1"/>
        </w:rPr>
        <w:t> </w:t>
      </w:r>
      <w:r>
        <w:rPr/>
        <w:t>no impact on reported satisfaction with the post- ET1</w:t>
      </w:r>
      <w:r>
        <w:rPr>
          <w:spacing w:val="-7"/>
        </w:rPr>
        <w:t> </w:t>
      </w:r>
      <w:r>
        <w:rPr/>
        <w:t>conciliation</w:t>
      </w:r>
      <w:r>
        <w:rPr>
          <w:spacing w:val="-6"/>
        </w:rPr>
        <w:t> </w:t>
      </w:r>
      <w:r>
        <w:rPr/>
        <w:t>service</w:t>
      </w:r>
      <w:r>
        <w:rPr>
          <w:spacing w:val="-7"/>
        </w:rPr>
        <w:t> </w:t>
      </w:r>
      <w:r>
        <w:rPr/>
        <w:t>across</w:t>
      </w:r>
      <w:r>
        <w:rPr>
          <w:spacing w:val="-7"/>
        </w:rPr>
        <w:t> </w:t>
      </w:r>
      <w:r>
        <w:rPr/>
        <w:t>either</w:t>
      </w:r>
      <w:r>
        <w:rPr>
          <w:spacing w:val="-7"/>
        </w:rPr>
        <w:t> </w:t>
      </w:r>
      <w:r>
        <w:rPr/>
        <w:t>claimant</w:t>
      </w:r>
      <w:r>
        <w:rPr>
          <w:spacing w:val="-6"/>
        </w:rPr>
        <w:t> </w:t>
      </w:r>
      <w:r>
        <w:rPr/>
        <w:t>or</w:t>
      </w:r>
      <w:r>
        <w:rPr>
          <w:spacing w:val="-7"/>
        </w:rPr>
        <w:t> </w:t>
      </w:r>
      <w:r>
        <w:rPr/>
        <w:t>employer-side</w:t>
      </w:r>
      <w:r>
        <w:rPr>
          <w:spacing w:val="-7"/>
        </w:rPr>
        <w:t> </w:t>
      </w:r>
      <w:r>
        <w:rPr/>
        <w:t>participants.</w:t>
      </w:r>
      <w:r>
        <w:rPr>
          <w:spacing w:val="-8"/>
        </w:rPr>
        <w:t> </w:t>
      </w:r>
      <w:r>
        <w:rPr/>
        <w:t>Close to</w:t>
      </w:r>
      <w:r>
        <w:rPr>
          <w:spacing w:val="-14"/>
        </w:rPr>
        <w:t> </w:t>
      </w:r>
      <w:r>
        <w:rPr/>
        <w:t>eight</w:t>
      </w:r>
      <w:r>
        <w:rPr>
          <w:spacing w:val="-14"/>
        </w:rPr>
        <w:t> </w:t>
      </w:r>
      <w:r>
        <w:rPr/>
        <w:t>in</w:t>
      </w:r>
      <w:r>
        <w:rPr>
          <w:spacing w:val="-14"/>
        </w:rPr>
        <w:t> </w:t>
      </w:r>
      <w:r>
        <w:rPr/>
        <w:t>ten</w:t>
      </w:r>
      <w:r>
        <w:rPr>
          <w:spacing w:val="-14"/>
        </w:rPr>
        <w:t> </w:t>
      </w:r>
      <w:r>
        <w:rPr/>
        <w:t>(78</w:t>
      </w:r>
      <w:r>
        <w:rPr>
          <w:spacing w:val="-15"/>
        </w:rPr>
        <w:t> </w:t>
      </w:r>
      <w:r>
        <w:rPr/>
        <w:t>per</w:t>
      </w:r>
      <w:r>
        <w:rPr>
          <w:spacing w:val="-14"/>
        </w:rPr>
        <w:t> </w:t>
      </w:r>
      <w:r>
        <w:rPr/>
        <w:t>cent)</w:t>
      </w:r>
      <w:r>
        <w:rPr>
          <w:spacing w:val="-14"/>
        </w:rPr>
        <w:t> </w:t>
      </w:r>
      <w:r>
        <w:rPr/>
        <w:t>claimant-side</w:t>
      </w:r>
      <w:r>
        <w:rPr>
          <w:spacing w:val="-15"/>
        </w:rPr>
        <w:t> </w:t>
      </w:r>
      <w:r>
        <w:rPr/>
        <w:t>participants</w:t>
      </w:r>
      <w:r>
        <w:rPr>
          <w:spacing w:val="-15"/>
        </w:rPr>
        <w:t> </w:t>
      </w:r>
      <w:r>
        <w:rPr/>
        <w:t>who</w:t>
      </w:r>
      <w:r>
        <w:rPr>
          <w:spacing w:val="-16"/>
        </w:rPr>
        <w:t> </w:t>
      </w:r>
      <w:r>
        <w:rPr/>
        <w:t>took</w:t>
      </w:r>
      <w:r>
        <w:rPr>
          <w:spacing w:val="-14"/>
        </w:rPr>
        <w:t> </w:t>
      </w:r>
      <w:r>
        <w:rPr/>
        <w:t>part</w:t>
      </w:r>
      <w:r>
        <w:rPr>
          <w:spacing w:val="-15"/>
        </w:rPr>
        <w:t> </w:t>
      </w:r>
      <w:r>
        <w:rPr/>
        <w:t>in</w:t>
      </w:r>
      <w:r>
        <w:rPr>
          <w:spacing w:val="-15"/>
        </w:rPr>
        <w:t> </w:t>
      </w:r>
      <w:r>
        <w:rPr/>
        <w:t>EC</w:t>
      </w:r>
      <w:r>
        <w:rPr>
          <w:spacing w:val="-14"/>
        </w:rPr>
        <w:t> </w:t>
      </w:r>
      <w:r>
        <w:rPr/>
        <w:t>reported that they were satisfied with the post-ET1 conciliation service received, while a similar proportion (81 per cent) of those who had not taken part said the same. Among employer-side participants, the comparable ratings were 83 per cent and 79 per cent respectively.</w:t>
      </w:r>
    </w:p>
    <w:p>
      <w:pPr>
        <w:spacing w:after="0" w:line="259" w:lineRule="auto"/>
        <w:jc w:val="both"/>
        <w:sectPr>
          <w:pgSz w:w="11910" w:h="16840"/>
          <w:pgMar w:header="0" w:footer="996" w:top="1340" w:bottom="1180" w:left="460" w:right="320"/>
        </w:sectPr>
      </w:pPr>
    </w:p>
    <w:p>
      <w:pPr>
        <w:pStyle w:val="BodyText"/>
        <w:spacing w:line="259" w:lineRule="auto" w:before="82"/>
        <w:ind w:left="1337" w:right="1472"/>
        <w:jc w:val="both"/>
      </w:pPr>
      <w:r>
        <w:rPr/>
        <w:t>However, satisfaction was lower among those who did not retain the same conciliator</w:t>
      </w:r>
      <w:r>
        <w:rPr>
          <w:spacing w:val="-8"/>
        </w:rPr>
        <w:t> </w:t>
      </w:r>
      <w:r>
        <w:rPr/>
        <w:t>at</w:t>
      </w:r>
      <w:r>
        <w:rPr>
          <w:spacing w:val="-7"/>
        </w:rPr>
        <w:t> </w:t>
      </w:r>
      <w:r>
        <w:rPr/>
        <w:t>the</w:t>
      </w:r>
      <w:r>
        <w:rPr>
          <w:spacing w:val="-10"/>
        </w:rPr>
        <w:t> </w:t>
      </w:r>
      <w:r>
        <w:rPr/>
        <w:t>EC</w:t>
      </w:r>
      <w:r>
        <w:rPr>
          <w:spacing w:val="-9"/>
        </w:rPr>
        <w:t> </w:t>
      </w:r>
      <w:r>
        <w:rPr/>
        <w:t>and</w:t>
      </w:r>
      <w:r>
        <w:rPr>
          <w:spacing w:val="-8"/>
        </w:rPr>
        <w:t> </w:t>
      </w:r>
      <w:r>
        <w:rPr/>
        <w:t>post-ET1</w:t>
      </w:r>
      <w:r>
        <w:rPr>
          <w:spacing w:val="-9"/>
        </w:rPr>
        <w:t> </w:t>
      </w:r>
      <w:r>
        <w:rPr/>
        <w:t>stages</w:t>
      </w:r>
      <w:r>
        <w:rPr>
          <w:spacing w:val="-8"/>
        </w:rPr>
        <w:t> </w:t>
      </w:r>
      <w:r>
        <w:rPr/>
        <w:t>(claimant</w:t>
      </w:r>
      <w:r>
        <w:rPr>
          <w:spacing w:val="-8"/>
        </w:rPr>
        <w:t> </w:t>
      </w:r>
      <w:r>
        <w:rPr/>
        <w:t>and</w:t>
      </w:r>
      <w:r>
        <w:rPr>
          <w:spacing w:val="-9"/>
        </w:rPr>
        <w:t> </w:t>
      </w:r>
      <w:r>
        <w:rPr/>
        <w:t>employer-side</w:t>
      </w:r>
      <w:r>
        <w:rPr>
          <w:spacing w:val="-8"/>
        </w:rPr>
        <w:t> </w:t>
      </w:r>
      <w:r>
        <w:rPr/>
        <w:t>participants combined)</w:t>
      </w:r>
      <w:r>
        <w:rPr>
          <w:spacing w:val="-9"/>
        </w:rPr>
        <w:t> </w:t>
      </w:r>
      <w:r>
        <w:rPr/>
        <w:t>–</w:t>
      </w:r>
      <w:r>
        <w:rPr>
          <w:spacing w:val="-9"/>
        </w:rPr>
        <w:t> </w:t>
      </w:r>
      <w:r>
        <w:rPr/>
        <w:t>two</w:t>
      </w:r>
      <w:r>
        <w:rPr>
          <w:spacing w:val="-10"/>
        </w:rPr>
        <w:t> </w:t>
      </w:r>
      <w:r>
        <w:rPr/>
        <w:t>thirds</w:t>
      </w:r>
      <w:r>
        <w:rPr>
          <w:spacing w:val="-9"/>
        </w:rPr>
        <w:t> </w:t>
      </w:r>
      <w:r>
        <w:rPr/>
        <w:t>of</w:t>
      </w:r>
      <w:r>
        <w:rPr>
          <w:spacing w:val="-9"/>
        </w:rPr>
        <w:t> </w:t>
      </w:r>
      <w:r>
        <w:rPr/>
        <w:t>this</w:t>
      </w:r>
      <w:r>
        <w:rPr>
          <w:spacing w:val="-9"/>
        </w:rPr>
        <w:t> </w:t>
      </w:r>
      <w:r>
        <w:rPr/>
        <w:t>group</w:t>
      </w:r>
      <w:r>
        <w:rPr>
          <w:spacing w:val="-9"/>
        </w:rPr>
        <w:t> </w:t>
      </w:r>
      <w:r>
        <w:rPr/>
        <w:t>(66</w:t>
      </w:r>
      <w:r>
        <w:rPr>
          <w:spacing w:val="-9"/>
        </w:rPr>
        <w:t> </w:t>
      </w:r>
      <w:r>
        <w:rPr/>
        <w:t>per</w:t>
      </w:r>
      <w:r>
        <w:rPr>
          <w:spacing w:val="-10"/>
        </w:rPr>
        <w:t> </w:t>
      </w:r>
      <w:r>
        <w:rPr/>
        <w:t>cent)</w:t>
      </w:r>
      <w:r>
        <w:rPr>
          <w:spacing w:val="-10"/>
        </w:rPr>
        <w:t> </w:t>
      </w:r>
      <w:r>
        <w:rPr/>
        <w:t>were</w:t>
      </w:r>
      <w:r>
        <w:rPr>
          <w:spacing w:val="-10"/>
        </w:rPr>
        <w:t> </w:t>
      </w:r>
      <w:r>
        <w:rPr/>
        <w:t>satisfied</w:t>
      </w:r>
      <w:r>
        <w:rPr>
          <w:spacing w:val="-9"/>
        </w:rPr>
        <w:t> </w:t>
      </w:r>
      <w:r>
        <w:rPr/>
        <w:t>with</w:t>
      </w:r>
      <w:r>
        <w:rPr>
          <w:spacing w:val="-9"/>
        </w:rPr>
        <w:t> </w:t>
      </w:r>
      <w:r>
        <w:rPr/>
        <w:t>the</w:t>
      </w:r>
      <w:r>
        <w:rPr>
          <w:spacing w:val="-10"/>
        </w:rPr>
        <w:t> </w:t>
      </w:r>
      <w:r>
        <w:rPr/>
        <w:t>post-ET1 conciliation</w:t>
      </w:r>
      <w:r>
        <w:rPr>
          <w:spacing w:val="-16"/>
        </w:rPr>
        <w:t> </w:t>
      </w:r>
      <w:r>
        <w:rPr/>
        <w:t>service,</w:t>
      </w:r>
      <w:r>
        <w:rPr>
          <w:spacing w:val="-16"/>
        </w:rPr>
        <w:t> </w:t>
      </w:r>
      <w:r>
        <w:rPr/>
        <w:t>significantly</w:t>
      </w:r>
      <w:r>
        <w:rPr>
          <w:spacing w:val="-16"/>
        </w:rPr>
        <w:t> </w:t>
      </w:r>
      <w:r>
        <w:rPr/>
        <w:t>lower</w:t>
      </w:r>
      <w:r>
        <w:rPr>
          <w:spacing w:val="-17"/>
        </w:rPr>
        <w:t> </w:t>
      </w:r>
      <w:r>
        <w:rPr/>
        <w:t>than</w:t>
      </w:r>
      <w:r>
        <w:rPr>
          <w:spacing w:val="-16"/>
        </w:rPr>
        <w:t> </w:t>
      </w:r>
      <w:r>
        <w:rPr/>
        <w:t>those</w:t>
      </w:r>
      <w:r>
        <w:rPr>
          <w:spacing w:val="-17"/>
        </w:rPr>
        <w:t> </w:t>
      </w:r>
      <w:r>
        <w:rPr/>
        <w:t>who</w:t>
      </w:r>
      <w:r>
        <w:rPr>
          <w:spacing w:val="-17"/>
        </w:rPr>
        <w:t> </w:t>
      </w:r>
      <w:r>
        <w:rPr/>
        <w:t>had</w:t>
      </w:r>
      <w:r>
        <w:rPr>
          <w:spacing w:val="-16"/>
        </w:rPr>
        <w:t> </w:t>
      </w:r>
      <w:r>
        <w:rPr/>
        <w:t>continuity</w:t>
      </w:r>
      <w:r>
        <w:rPr>
          <w:spacing w:val="-17"/>
        </w:rPr>
        <w:t> </w:t>
      </w:r>
      <w:r>
        <w:rPr/>
        <w:t>of</w:t>
      </w:r>
      <w:r>
        <w:rPr>
          <w:spacing w:val="-16"/>
        </w:rPr>
        <w:t> </w:t>
      </w:r>
      <w:r>
        <w:rPr/>
        <w:t>conciliators (82</w:t>
      </w:r>
      <w:r>
        <w:rPr>
          <w:spacing w:val="-2"/>
        </w:rPr>
        <w:t> </w:t>
      </w:r>
      <w:r>
        <w:rPr/>
        <w:t>per</w:t>
      </w:r>
      <w:r>
        <w:rPr>
          <w:spacing w:val="-2"/>
        </w:rPr>
        <w:t> </w:t>
      </w:r>
      <w:r>
        <w:rPr/>
        <w:t>cent).</w:t>
      </w:r>
      <w:r>
        <w:rPr>
          <w:spacing w:val="-2"/>
        </w:rPr>
        <w:t> </w:t>
      </w:r>
      <w:r>
        <w:rPr/>
        <w:t>Once</w:t>
      </w:r>
      <w:r>
        <w:rPr>
          <w:spacing w:val="-3"/>
        </w:rPr>
        <w:t> </w:t>
      </w:r>
      <w:r>
        <w:rPr/>
        <w:t>again</w:t>
      </w:r>
      <w:r>
        <w:rPr>
          <w:spacing w:val="-1"/>
        </w:rPr>
        <w:t> </w:t>
      </w:r>
      <w:r>
        <w:rPr/>
        <w:t>we</w:t>
      </w:r>
      <w:r>
        <w:rPr>
          <w:spacing w:val="-3"/>
        </w:rPr>
        <w:t> </w:t>
      </w:r>
      <w:r>
        <w:rPr/>
        <w:t>must</w:t>
      </w:r>
      <w:r>
        <w:rPr>
          <w:spacing w:val="-2"/>
        </w:rPr>
        <w:t> </w:t>
      </w:r>
      <w:r>
        <w:rPr/>
        <w:t>consider</w:t>
      </w:r>
      <w:r>
        <w:rPr>
          <w:spacing w:val="-2"/>
        </w:rPr>
        <w:t> </w:t>
      </w:r>
      <w:r>
        <w:rPr/>
        <w:t>the</w:t>
      </w:r>
      <w:r>
        <w:rPr>
          <w:spacing w:val="-2"/>
        </w:rPr>
        <w:t> </w:t>
      </w:r>
      <w:r>
        <w:rPr/>
        <w:t>relatively</w:t>
      </w:r>
      <w:r>
        <w:rPr>
          <w:spacing w:val="-2"/>
        </w:rPr>
        <w:t> </w:t>
      </w:r>
      <w:r>
        <w:rPr/>
        <w:t>small</w:t>
      </w:r>
      <w:r>
        <w:rPr>
          <w:spacing w:val="-2"/>
        </w:rPr>
        <w:t> </w:t>
      </w:r>
      <w:r>
        <w:rPr/>
        <w:t>base</w:t>
      </w:r>
      <w:r>
        <w:rPr>
          <w:spacing w:val="-2"/>
        </w:rPr>
        <w:t> </w:t>
      </w:r>
      <w:r>
        <w:rPr/>
        <w:t>size</w:t>
      </w:r>
      <w:r>
        <w:rPr>
          <w:spacing w:val="-2"/>
        </w:rPr>
        <w:t> </w:t>
      </w:r>
      <w:r>
        <w:rPr/>
        <w:t>of</w:t>
      </w:r>
      <w:r>
        <w:rPr>
          <w:spacing w:val="-2"/>
        </w:rPr>
        <w:t> </w:t>
      </w:r>
      <w:r>
        <w:rPr/>
        <w:t>those working with different conciliators across phases here (n=52) but the directional story is clear. This suggests a contrast with the experiences of those who worked with multiple conciliators (i.e. in cases where team cover was provided for conciliator</w:t>
      </w:r>
      <w:r>
        <w:rPr>
          <w:spacing w:val="-7"/>
        </w:rPr>
        <w:t> </w:t>
      </w:r>
      <w:r>
        <w:rPr/>
        <w:t>absence),</w:t>
      </w:r>
      <w:r>
        <w:rPr>
          <w:spacing w:val="-8"/>
        </w:rPr>
        <w:t> </w:t>
      </w:r>
      <w:r>
        <w:rPr/>
        <w:t>who</w:t>
      </w:r>
      <w:r>
        <w:rPr>
          <w:spacing w:val="-7"/>
        </w:rPr>
        <w:t> </w:t>
      </w:r>
      <w:r>
        <w:rPr/>
        <w:t>give</w:t>
      </w:r>
      <w:r>
        <w:rPr>
          <w:spacing w:val="-7"/>
        </w:rPr>
        <w:t> </w:t>
      </w:r>
      <w:r>
        <w:rPr/>
        <w:t>equally</w:t>
      </w:r>
      <w:r>
        <w:rPr>
          <w:spacing w:val="-6"/>
        </w:rPr>
        <w:t> </w:t>
      </w:r>
      <w:r>
        <w:rPr/>
        <w:t>high</w:t>
      </w:r>
      <w:r>
        <w:rPr>
          <w:spacing w:val="-6"/>
        </w:rPr>
        <w:t> </w:t>
      </w:r>
      <w:r>
        <w:rPr/>
        <w:t>satisfaction</w:t>
      </w:r>
      <w:r>
        <w:rPr>
          <w:spacing w:val="-6"/>
        </w:rPr>
        <w:t> </w:t>
      </w:r>
      <w:r>
        <w:rPr/>
        <w:t>scores</w:t>
      </w:r>
      <w:r>
        <w:rPr>
          <w:spacing w:val="-7"/>
        </w:rPr>
        <w:t> </w:t>
      </w:r>
      <w:r>
        <w:rPr/>
        <w:t>as</w:t>
      </w:r>
      <w:r>
        <w:rPr>
          <w:spacing w:val="-7"/>
        </w:rPr>
        <w:t> </w:t>
      </w:r>
      <w:r>
        <w:rPr/>
        <w:t>those</w:t>
      </w:r>
      <w:r>
        <w:rPr>
          <w:spacing w:val="-8"/>
        </w:rPr>
        <w:t> </w:t>
      </w:r>
      <w:r>
        <w:rPr/>
        <w:t>where</w:t>
      </w:r>
      <w:r>
        <w:rPr>
          <w:spacing w:val="-7"/>
        </w:rPr>
        <w:t> </w:t>
      </w:r>
      <w:r>
        <w:rPr/>
        <w:t>only one conciliator is used (8 in 10 satisfaction for each).</w:t>
      </w:r>
    </w:p>
    <w:p>
      <w:pPr>
        <w:spacing w:after="0" w:line="259" w:lineRule="auto"/>
        <w:jc w:val="both"/>
        <w:sectPr>
          <w:pgSz w:w="11910" w:h="16840"/>
          <w:pgMar w:header="0" w:footer="996" w:top="1340" w:bottom="1180" w:left="460" w:right="320"/>
        </w:sectPr>
      </w:pPr>
    </w:p>
    <w:p>
      <w:pPr>
        <w:pStyle w:val="Heading2"/>
        <w:numPr>
          <w:ilvl w:val="0"/>
          <w:numId w:val="2"/>
        </w:numPr>
        <w:tabs>
          <w:tab w:pos="2058" w:val="left" w:leader="none"/>
        </w:tabs>
        <w:spacing w:line="240" w:lineRule="auto" w:before="81" w:after="0"/>
        <w:ind w:left="1695" w:right="1475" w:hanging="358"/>
        <w:jc w:val="left"/>
      </w:pPr>
      <w:bookmarkStart w:name="18. CONSEQUENCES OF POST-ET1 CONCILIATIO" w:id="233"/>
      <w:bookmarkEnd w:id="233"/>
      <w:r>
        <w:rPr>
          <w:b w:val="0"/>
        </w:rPr>
      </w:r>
      <w:bookmarkStart w:name="19." w:id="234"/>
      <w:bookmarkEnd w:id="234"/>
      <w:r>
        <w:rPr>
          <w:b w:val="0"/>
        </w:rPr>
      </w:r>
      <w:bookmarkStart w:name="18." w:id="235"/>
      <w:bookmarkEnd w:id="235"/>
      <w:r>
        <w:rPr>
          <w:b w:val="0"/>
        </w:rPr>
      </w:r>
      <w:bookmarkStart w:name="_bookmark63" w:id="236"/>
      <w:bookmarkEnd w:id="236"/>
      <w:r>
        <w:rPr/>
        <w:t>C</w:t>
      </w:r>
      <w:r>
        <w:rPr/>
        <w:t>ONSEQUENCES</w:t>
      </w:r>
      <w:r>
        <w:rPr>
          <w:spacing w:val="80"/>
        </w:rPr>
        <w:t> </w:t>
      </w:r>
      <w:r>
        <w:rPr/>
        <w:t>OF</w:t>
      </w:r>
      <w:r>
        <w:rPr>
          <w:spacing w:val="80"/>
        </w:rPr>
        <w:t> </w:t>
      </w:r>
      <w:r>
        <w:rPr/>
        <w:t>POST-ET1</w:t>
      </w:r>
      <w:r>
        <w:rPr>
          <w:spacing w:val="80"/>
        </w:rPr>
        <w:t> </w:t>
      </w:r>
      <w:r>
        <w:rPr/>
        <w:t>CONCILIATION AND FUTURE ACAS USAGE</w:t>
      </w:r>
    </w:p>
    <w:p>
      <w:pPr>
        <w:pStyle w:val="BodyText"/>
        <w:rPr>
          <w:b/>
          <w:sz w:val="34"/>
        </w:rPr>
      </w:pPr>
    </w:p>
    <w:p>
      <w:pPr>
        <w:pStyle w:val="Heading3"/>
        <w:spacing w:before="228"/>
        <w:jc w:val="left"/>
      </w:pPr>
      <w:r>
        <w:rPr>
          <w:spacing w:val="-2"/>
        </w:rPr>
        <w:t>Synopsis:</w:t>
      </w:r>
    </w:p>
    <w:p>
      <w:pPr>
        <w:pStyle w:val="BodyText"/>
        <w:spacing w:before="9"/>
        <w:rPr>
          <w:b/>
          <w:sz w:val="22"/>
        </w:rPr>
      </w:pPr>
    </w:p>
    <w:p>
      <w:pPr>
        <w:pStyle w:val="BodyText"/>
        <w:spacing w:line="256" w:lineRule="auto"/>
        <w:ind w:left="1337" w:right="1473"/>
        <w:jc w:val="both"/>
      </w:pPr>
      <w:r>
        <w:rPr/>
        <w:t>This</w:t>
      </w:r>
      <w:r>
        <w:rPr>
          <w:spacing w:val="-1"/>
        </w:rPr>
        <w:t> </w:t>
      </w:r>
      <w:r>
        <w:rPr/>
        <w:t>final</w:t>
      </w:r>
      <w:r>
        <w:rPr>
          <w:spacing w:val="-2"/>
        </w:rPr>
        <w:t> </w:t>
      </w:r>
      <w:r>
        <w:rPr/>
        <w:t>chapter considers</w:t>
      </w:r>
      <w:r>
        <w:rPr>
          <w:spacing w:val="-1"/>
        </w:rPr>
        <w:t> </w:t>
      </w:r>
      <w:r>
        <w:rPr/>
        <w:t>some</w:t>
      </w:r>
      <w:r>
        <w:rPr>
          <w:spacing w:val="-1"/>
        </w:rPr>
        <w:t> </w:t>
      </w:r>
      <w:r>
        <w:rPr/>
        <w:t>of the</w:t>
      </w:r>
      <w:r>
        <w:rPr>
          <w:spacing w:val="-1"/>
        </w:rPr>
        <w:t> </w:t>
      </w:r>
      <w:r>
        <w:rPr/>
        <w:t>longer-term</w:t>
      </w:r>
      <w:r>
        <w:rPr>
          <w:spacing w:val="-1"/>
        </w:rPr>
        <w:t> </w:t>
      </w:r>
      <w:r>
        <w:rPr/>
        <w:t>consequences</w:t>
      </w:r>
      <w:r>
        <w:rPr>
          <w:spacing w:val="-1"/>
        </w:rPr>
        <w:t> </w:t>
      </w:r>
      <w:r>
        <w:rPr/>
        <w:t>of</w:t>
      </w:r>
      <w:r>
        <w:rPr>
          <w:spacing w:val="-1"/>
        </w:rPr>
        <w:t> </w:t>
      </w:r>
      <w:r>
        <w:rPr/>
        <w:t>conciliation, particularly the provision of information to employers and their subsequent implementation of new policies, procedures or working practices. It goes on to examine anticipated future re-use of Acas conciliation services by the parties.</w:t>
      </w:r>
    </w:p>
    <w:p>
      <w:pPr>
        <w:pStyle w:val="BodyText"/>
        <w:spacing w:before="1"/>
        <w:rPr>
          <w:sz w:val="18"/>
        </w:rPr>
      </w:pPr>
      <w:r>
        <w:rPr/>
        <w:pict>
          <v:shape style="position:absolute;margin-left:83.760498pt;margin-top:12.941375pt;width:432pt;height:300.5pt;mso-position-horizontal-relative:page;mso-position-vertical-relative:paragraph;z-index:-15656960;mso-wrap-distance-left:0;mso-wrap-distance-right:0" type="#_x0000_t202" id="docshape414" filled="true" fillcolor="#f1f1f1" stroked="true" strokeweight="1.441pt" strokecolor="#000000">
            <v:textbox inset="0,0,0,0">
              <w:txbxContent>
                <w:p>
                  <w:pPr>
                    <w:pStyle w:val="BodyText"/>
                    <w:spacing w:before="10"/>
                    <w:rPr>
                      <w:color w:val="000000"/>
                      <w:sz w:val="22"/>
                    </w:rPr>
                  </w:pPr>
                </w:p>
                <w:p>
                  <w:pPr>
                    <w:spacing w:before="1"/>
                    <w:ind w:left="93" w:right="0" w:firstLine="0"/>
                    <w:jc w:val="left"/>
                    <w:rPr>
                      <w:b/>
                      <w:color w:val="000000"/>
                      <w:sz w:val="20"/>
                    </w:rPr>
                  </w:pPr>
                  <w:r>
                    <w:rPr>
                      <w:b/>
                      <w:color w:val="000000"/>
                      <w:sz w:val="20"/>
                    </w:rPr>
                    <w:t>Key</w:t>
                  </w:r>
                  <w:r>
                    <w:rPr>
                      <w:b/>
                      <w:color w:val="000000"/>
                      <w:spacing w:val="-5"/>
                      <w:sz w:val="20"/>
                    </w:rPr>
                    <w:t> </w:t>
                  </w:r>
                  <w:r>
                    <w:rPr>
                      <w:b/>
                      <w:color w:val="000000"/>
                      <w:sz w:val="20"/>
                    </w:rPr>
                    <w:t>trends</w:t>
                  </w:r>
                  <w:r>
                    <w:rPr>
                      <w:b/>
                      <w:color w:val="000000"/>
                      <w:spacing w:val="-6"/>
                      <w:sz w:val="20"/>
                    </w:rPr>
                    <w:t> </w:t>
                  </w:r>
                  <w:r>
                    <w:rPr>
                      <w:b/>
                      <w:color w:val="000000"/>
                      <w:sz w:val="20"/>
                    </w:rPr>
                    <w:t>at-a-</w:t>
                  </w:r>
                  <w:r>
                    <w:rPr>
                      <w:b/>
                      <w:color w:val="000000"/>
                      <w:spacing w:val="-2"/>
                      <w:sz w:val="20"/>
                    </w:rPr>
                    <w:t>glance</w:t>
                  </w:r>
                </w:p>
                <w:p>
                  <w:pPr>
                    <w:pStyle w:val="BodyText"/>
                    <w:spacing w:before="7"/>
                    <w:rPr>
                      <w:b/>
                      <w:color w:val="000000"/>
                      <w:sz w:val="22"/>
                    </w:rPr>
                  </w:pPr>
                </w:p>
                <w:p>
                  <w:pPr>
                    <w:pStyle w:val="BodyText"/>
                    <w:numPr>
                      <w:ilvl w:val="0"/>
                      <w:numId w:val="50"/>
                    </w:numPr>
                    <w:tabs>
                      <w:tab w:pos="946" w:val="left" w:leader="none"/>
                    </w:tabs>
                    <w:spacing w:line="256" w:lineRule="auto" w:before="1" w:after="0"/>
                    <w:ind w:left="945" w:right="90" w:hanging="360"/>
                    <w:jc w:val="both"/>
                    <w:rPr>
                      <w:color w:val="000000"/>
                    </w:rPr>
                  </w:pPr>
                  <w:r>
                    <w:rPr>
                      <w:color w:val="000000"/>
                    </w:rPr>
                    <w:t>As</w:t>
                  </w:r>
                  <w:r>
                    <w:rPr>
                      <w:color w:val="000000"/>
                      <w:spacing w:val="-8"/>
                    </w:rPr>
                    <w:t> </w:t>
                  </w:r>
                  <w:r>
                    <w:rPr>
                      <w:color w:val="000000"/>
                    </w:rPr>
                    <w:t>in</w:t>
                  </w:r>
                  <w:r>
                    <w:rPr>
                      <w:color w:val="000000"/>
                      <w:spacing w:val="-9"/>
                    </w:rPr>
                    <w:t> </w:t>
                  </w:r>
                  <w:r>
                    <w:rPr>
                      <w:color w:val="000000"/>
                    </w:rPr>
                    <w:t>2016,</w:t>
                  </w:r>
                  <w:r>
                    <w:rPr>
                      <w:color w:val="000000"/>
                      <w:spacing w:val="-10"/>
                    </w:rPr>
                    <w:t> </w:t>
                  </w:r>
                  <w:r>
                    <w:rPr>
                      <w:color w:val="000000"/>
                    </w:rPr>
                    <w:t>the</w:t>
                  </w:r>
                  <w:r>
                    <w:rPr>
                      <w:color w:val="000000"/>
                      <w:spacing w:val="-8"/>
                    </w:rPr>
                    <w:t> </w:t>
                  </w:r>
                  <w:r>
                    <w:rPr>
                      <w:color w:val="000000"/>
                    </w:rPr>
                    <w:t>majority</w:t>
                  </w:r>
                  <w:r>
                    <w:rPr>
                      <w:color w:val="000000"/>
                      <w:spacing w:val="-8"/>
                    </w:rPr>
                    <w:t> </w:t>
                  </w:r>
                  <w:r>
                    <w:rPr>
                      <w:color w:val="000000"/>
                    </w:rPr>
                    <w:t>of</w:t>
                  </w:r>
                  <w:r>
                    <w:rPr>
                      <w:color w:val="000000"/>
                      <w:spacing w:val="-9"/>
                    </w:rPr>
                    <w:t> </w:t>
                  </w:r>
                  <w:r>
                    <w:rPr>
                      <w:color w:val="000000"/>
                    </w:rPr>
                    <w:t>all</w:t>
                  </w:r>
                  <w:r>
                    <w:rPr>
                      <w:color w:val="000000"/>
                      <w:spacing w:val="-9"/>
                    </w:rPr>
                    <w:t> </w:t>
                  </w:r>
                  <w:r>
                    <w:rPr>
                      <w:color w:val="000000"/>
                    </w:rPr>
                    <w:t>participants</w:t>
                  </w:r>
                  <w:r>
                    <w:rPr>
                      <w:color w:val="000000"/>
                      <w:spacing w:val="-8"/>
                    </w:rPr>
                    <w:t> </w:t>
                  </w:r>
                  <w:r>
                    <w:rPr>
                      <w:color w:val="000000"/>
                    </w:rPr>
                    <w:t>–</w:t>
                  </w:r>
                  <w:r>
                    <w:rPr>
                      <w:color w:val="000000"/>
                      <w:spacing w:val="-9"/>
                    </w:rPr>
                    <w:t> </w:t>
                  </w:r>
                  <w:r>
                    <w:rPr>
                      <w:color w:val="000000"/>
                    </w:rPr>
                    <w:t>claimants,</w:t>
                  </w:r>
                  <w:r>
                    <w:rPr>
                      <w:color w:val="000000"/>
                      <w:spacing w:val="-7"/>
                    </w:rPr>
                    <w:t> </w:t>
                  </w:r>
                  <w:r>
                    <w:rPr>
                      <w:color w:val="000000"/>
                    </w:rPr>
                    <w:t>employers</w:t>
                  </w:r>
                  <w:r>
                    <w:rPr>
                      <w:color w:val="000000"/>
                      <w:spacing w:val="-8"/>
                    </w:rPr>
                    <w:t> </w:t>
                  </w:r>
                  <w:r>
                    <w:rPr>
                      <w:color w:val="000000"/>
                    </w:rPr>
                    <w:t>and</w:t>
                  </w:r>
                  <w:r>
                    <w:rPr>
                      <w:color w:val="000000"/>
                      <w:spacing w:val="-9"/>
                    </w:rPr>
                    <w:t> </w:t>
                  </w:r>
                  <w:r>
                    <w:rPr>
                      <w:color w:val="000000"/>
                    </w:rPr>
                    <w:t>both sets of representatives – envisaged that they would make use of Acas conciliation again if they became engaged in another dispute in the</w:t>
                  </w:r>
                  <w:r>
                    <w:rPr>
                      <w:color w:val="000000"/>
                      <w:spacing w:val="-1"/>
                    </w:rPr>
                    <w:t> </w:t>
                  </w:r>
                  <w:r>
                    <w:rPr>
                      <w:color w:val="000000"/>
                    </w:rPr>
                    <w:t>future.</w:t>
                  </w:r>
                </w:p>
                <w:p>
                  <w:pPr>
                    <w:pStyle w:val="BodyText"/>
                    <w:numPr>
                      <w:ilvl w:val="0"/>
                      <w:numId w:val="50"/>
                    </w:numPr>
                    <w:tabs>
                      <w:tab w:pos="946" w:val="left" w:leader="none"/>
                    </w:tabs>
                    <w:spacing w:line="256" w:lineRule="auto" w:before="0" w:after="0"/>
                    <w:ind w:left="945" w:right="90" w:hanging="360"/>
                    <w:jc w:val="both"/>
                    <w:rPr>
                      <w:color w:val="000000"/>
                    </w:rPr>
                  </w:pPr>
                  <w:r>
                    <w:rPr>
                      <w:color w:val="000000"/>
                    </w:rPr>
                    <w:t>Also consistent with 2016 – and reflecting the fact that it is not a primary aim</w:t>
                  </w:r>
                  <w:r>
                    <w:rPr>
                      <w:color w:val="000000"/>
                      <w:spacing w:val="-17"/>
                    </w:rPr>
                    <w:t> </w:t>
                  </w:r>
                  <w:r>
                    <w:rPr>
                      <w:color w:val="000000"/>
                    </w:rPr>
                    <w:t>of</w:t>
                  </w:r>
                  <w:r>
                    <w:rPr>
                      <w:color w:val="000000"/>
                      <w:spacing w:val="-16"/>
                    </w:rPr>
                    <w:t> </w:t>
                  </w:r>
                  <w:r>
                    <w:rPr>
                      <w:color w:val="000000"/>
                    </w:rPr>
                    <w:t>conciliation</w:t>
                  </w:r>
                  <w:r>
                    <w:rPr>
                      <w:color w:val="000000"/>
                      <w:spacing w:val="-16"/>
                    </w:rPr>
                    <w:t> </w:t>
                  </w:r>
                  <w:r>
                    <w:rPr>
                      <w:color w:val="000000"/>
                    </w:rPr>
                    <w:t>–</w:t>
                  </w:r>
                  <w:r>
                    <w:rPr>
                      <w:color w:val="000000"/>
                      <w:spacing w:val="-16"/>
                    </w:rPr>
                    <w:t> </w:t>
                  </w:r>
                  <w:r>
                    <w:rPr>
                      <w:color w:val="000000"/>
                    </w:rPr>
                    <w:t>most</w:t>
                  </w:r>
                  <w:r>
                    <w:rPr>
                      <w:color w:val="000000"/>
                      <w:spacing w:val="-16"/>
                    </w:rPr>
                    <w:t> </w:t>
                  </w:r>
                  <w:r>
                    <w:rPr>
                      <w:color w:val="000000"/>
                    </w:rPr>
                    <w:t>employer-side</w:t>
                  </w:r>
                  <w:r>
                    <w:rPr>
                      <w:color w:val="000000"/>
                      <w:spacing w:val="-17"/>
                    </w:rPr>
                    <w:t> </w:t>
                  </w:r>
                  <w:r>
                    <w:rPr>
                      <w:color w:val="000000"/>
                    </w:rPr>
                    <w:t>participants</w:t>
                  </w:r>
                  <w:r>
                    <w:rPr>
                      <w:color w:val="000000"/>
                      <w:spacing w:val="-16"/>
                    </w:rPr>
                    <w:t> </w:t>
                  </w:r>
                  <w:r>
                    <w:rPr>
                      <w:color w:val="000000"/>
                    </w:rPr>
                    <w:t>reported</w:t>
                  </w:r>
                  <w:r>
                    <w:rPr>
                      <w:color w:val="000000"/>
                      <w:spacing w:val="-16"/>
                    </w:rPr>
                    <w:t> </w:t>
                  </w:r>
                  <w:r>
                    <w:rPr>
                      <w:color w:val="000000"/>
                    </w:rPr>
                    <w:t>that</w:t>
                  </w:r>
                  <w:r>
                    <w:rPr>
                      <w:color w:val="000000"/>
                      <w:spacing w:val="-16"/>
                    </w:rPr>
                    <w:t> </w:t>
                  </w:r>
                  <w:r>
                    <w:rPr>
                      <w:color w:val="000000"/>
                    </w:rPr>
                    <w:t>they</w:t>
                  </w:r>
                  <w:r>
                    <w:rPr>
                      <w:color w:val="000000"/>
                      <w:spacing w:val="-17"/>
                    </w:rPr>
                    <w:t> </w:t>
                  </w:r>
                  <w:r>
                    <w:rPr>
                      <w:color w:val="000000"/>
                    </w:rPr>
                    <w:t>had not received information or advice from their Acas conciliator to help prevent</w:t>
                  </w:r>
                  <w:r>
                    <w:rPr>
                      <w:color w:val="000000"/>
                      <w:spacing w:val="-13"/>
                    </w:rPr>
                    <w:t> </w:t>
                  </w:r>
                  <w:r>
                    <w:rPr>
                      <w:color w:val="000000"/>
                    </w:rPr>
                    <w:t>them</w:t>
                  </w:r>
                  <w:r>
                    <w:rPr>
                      <w:color w:val="000000"/>
                      <w:spacing w:val="-13"/>
                    </w:rPr>
                    <w:t> </w:t>
                  </w:r>
                  <w:r>
                    <w:rPr>
                      <w:color w:val="000000"/>
                    </w:rPr>
                    <w:t>from</w:t>
                  </w:r>
                  <w:r>
                    <w:rPr>
                      <w:color w:val="000000"/>
                      <w:spacing w:val="-13"/>
                    </w:rPr>
                    <w:t> </w:t>
                  </w:r>
                  <w:r>
                    <w:rPr>
                      <w:color w:val="000000"/>
                    </w:rPr>
                    <w:t>encountering</w:t>
                  </w:r>
                  <w:r>
                    <w:rPr>
                      <w:color w:val="000000"/>
                      <w:spacing w:val="-14"/>
                    </w:rPr>
                    <w:t> </w:t>
                  </w:r>
                  <w:r>
                    <w:rPr>
                      <w:color w:val="000000"/>
                    </w:rPr>
                    <w:t>another</w:t>
                  </w:r>
                  <w:r>
                    <w:rPr>
                      <w:color w:val="000000"/>
                      <w:spacing w:val="-14"/>
                    </w:rPr>
                    <w:t> </w:t>
                  </w:r>
                  <w:r>
                    <w:rPr>
                      <w:color w:val="000000"/>
                    </w:rPr>
                    <w:t>similar</w:t>
                  </w:r>
                  <w:r>
                    <w:rPr>
                      <w:color w:val="000000"/>
                      <w:spacing w:val="-13"/>
                    </w:rPr>
                    <w:t> </w:t>
                  </w:r>
                  <w:r>
                    <w:rPr>
                      <w:color w:val="000000"/>
                    </w:rPr>
                    <w:t>case</w:t>
                  </w:r>
                  <w:r>
                    <w:rPr>
                      <w:color w:val="000000"/>
                      <w:spacing w:val="-13"/>
                    </w:rPr>
                    <w:t> </w:t>
                  </w:r>
                  <w:r>
                    <w:rPr>
                      <w:color w:val="000000"/>
                    </w:rPr>
                    <w:t>in</w:t>
                  </w:r>
                  <w:r>
                    <w:rPr>
                      <w:color w:val="000000"/>
                      <w:spacing w:val="-13"/>
                    </w:rPr>
                    <w:t> </w:t>
                  </w:r>
                  <w:r>
                    <w:rPr>
                      <w:color w:val="000000"/>
                    </w:rPr>
                    <w:t>the</w:t>
                  </w:r>
                  <w:r>
                    <w:rPr>
                      <w:color w:val="000000"/>
                      <w:spacing w:val="-13"/>
                    </w:rPr>
                    <w:t> </w:t>
                  </w:r>
                  <w:r>
                    <w:rPr>
                      <w:color w:val="000000"/>
                    </w:rPr>
                    <w:t>future.</w:t>
                  </w:r>
                  <w:r>
                    <w:rPr>
                      <w:color w:val="000000"/>
                      <w:spacing w:val="-14"/>
                    </w:rPr>
                    <w:t> </w:t>
                  </w:r>
                  <w:r>
                    <w:rPr>
                      <w:color w:val="000000"/>
                    </w:rPr>
                    <w:t>Perhaps as a result, a relatively low proportion of employer-side participants reported that they had updated or implemented any new procedures as a result of advice from their Acas conciliator.</w:t>
                  </w:r>
                </w:p>
                <w:p>
                  <w:pPr>
                    <w:pStyle w:val="BodyText"/>
                    <w:numPr>
                      <w:ilvl w:val="0"/>
                      <w:numId w:val="50"/>
                    </w:numPr>
                    <w:tabs>
                      <w:tab w:pos="946" w:val="left" w:leader="none"/>
                    </w:tabs>
                    <w:spacing w:line="256" w:lineRule="auto" w:before="0" w:after="0"/>
                    <w:ind w:left="945" w:right="90" w:hanging="360"/>
                    <w:jc w:val="both"/>
                    <w:rPr>
                      <w:color w:val="000000"/>
                    </w:rPr>
                  </w:pPr>
                  <w:r>
                    <w:rPr>
                      <w:color w:val="000000"/>
                    </w:rPr>
                    <w:t>However,</w:t>
                  </w:r>
                  <w:r>
                    <w:rPr>
                      <w:color w:val="000000"/>
                      <w:spacing w:val="-13"/>
                    </w:rPr>
                    <w:t> </w:t>
                  </w:r>
                  <w:r>
                    <w:rPr>
                      <w:color w:val="000000"/>
                    </w:rPr>
                    <w:t>among</w:t>
                  </w:r>
                  <w:r>
                    <w:rPr>
                      <w:color w:val="000000"/>
                      <w:spacing w:val="-12"/>
                    </w:rPr>
                    <w:t> </w:t>
                  </w:r>
                  <w:r>
                    <w:rPr>
                      <w:color w:val="000000"/>
                    </w:rPr>
                    <w:t>a</w:t>
                  </w:r>
                  <w:r>
                    <w:rPr>
                      <w:color w:val="000000"/>
                      <w:spacing w:val="-13"/>
                    </w:rPr>
                    <w:t> </w:t>
                  </w:r>
                  <w:r>
                    <w:rPr>
                      <w:color w:val="000000"/>
                    </w:rPr>
                    <w:t>minority</w:t>
                  </w:r>
                  <w:r>
                    <w:rPr>
                      <w:color w:val="000000"/>
                      <w:spacing w:val="-12"/>
                    </w:rPr>
                    <w:t> </w:t>
                  </w:r>
                  <w:r>
                    <w:rPr>
                      <w:color w:val="000000"/>
                    </w:rPr>
                    <w:t>of</w:t>
                  </w:r>
                  <w:r>
                    <w:rPr>
                      <w:color w:val="000000"/>
                      <w:spacing w:val="-12"/>
                    </w:rPr>
                    <w:t> </w:t>
                  </w:r>
                  <w:r>
                    <w:rPr>
                      <w:color w:val="000000"/>
                    </w:rPr>
                    <w:t>employer-side</w:t>
                  </w:r>
                  <w:r>
                    <w:rPr>
                      <w:color w:val="000000"/>
                      <w:spacing w:val="-13"/>
                    </w:rPr>
                    <w:t> </w:t>
                  </w:r>
                  <w:r>
                    <w:rPr>
                      <w:color w:val="000000"/>
                    </w:rPr>
                    <w:t>participants</w:t>
                  </w:r>
                  <w:r>
                    <w:rPr>
                      <w:color w:val="000000"/>
                      <w:spacing w:val="-12"/>
                    </w:rPr>
                    <w:t> </w:t>
                  </w:r>
                  <w:r>
                    <w:rPr>
                      <w:color w:val="000000"/>
                    </w:rPr>
                    <w:t>there</w:t>
                  </w:r>
                  <w:r>
                    <w:rPr>
                      <w:color w:val="000000"/>
                      <w:spacing w:val="-13"/>
                    </w:rPr>
                    <w:t> </w:t>
                  </w:r>
                  <w:r>
                    <w:rPr>
                      <w:color w:val="000000"/>
                    </w:rPr>
                    <w:t>are</w:t>
                  </w:r>
                  <w:r>
                    <w:rPr>
                      <w:color w:val="000000"/>
                      <w:spacing w:val="-13"/>
                    </w:rPr>
                    <w:t> </w:t>
                  </w:r>
                  <w:r>
                    <w:rPr>
                      <w:color w:val="000000"/>
                    </w:rPr>
                    <w:t>signs</w:t>
                  </w:r>
                  <w:r>
                    <w:rPr>
                      <w:color w:val="000000"/>
                      <w:spacing w:val="-12"/>
                    </w:rPr>
                    <w:t> </w:t>
                  </w:r>
                  <w:r>
                    <w:rPr>
                      <w:color w:val="000000"/>
                    </w:rPr>
                    <w:t>of lasting change as a consequence of participation in post-ET1 conciliation. For example, among those who were dealing with an ET claim for the first time – which might reflect a desire from employers to protect themselves from future disputes if they have never gone through the process before – and among those who work for organisations with only one site in GB</w:t>
                  </w:r>
                </w:p>
                <w:p>
                  <w:pPr>
                    <w:pStyle w:val="BodyText"/>
                    <w:numPr>
                      <w:ilvl w:val="0"/>
                      <w:numId w:val="50"/>
                    </w:numPr>
                    <w:tabs>
                      <w:tab w:pos="946" w:val="left" w:leader="none"/>
                    </w:tabs>
                    <w:spacing w:line="256" w:lineRule="auto" w:before="0" w:after="0"/>
                    <w:ind w:left="945" w:right="90" w:hanging="360"/>
                    <w:jc w:val="both"/>
                    <w:rPr>
                      <w:color w:val="000000"/>
                    </w:rPr>
                  </w:pPr>
                  <w:r>
                    <w:rPr>
                      <w:color w:val="000000"/>
                    </w:rPr>
                    <w:t>The majority of employers who reported receiving information or advice from their Acas conciliator also reported being satisfied with the Acas </w:t>
                  </w:r>
                  <w:r>
                    <w:rPr>
                      <w:color w:val="000000"/>
                      <w:spacing w:val="-2"/>
                    </w:rPr>
                    <w:t>service.</w:t>
                  </w:r>
                </w:p>
              </w:txbxContent>
            </v:textbox>
            <v:fill type="solid"/>
            <v:stroke linestyle="thinThin" dashstyle="solid"/>
            <w10:wrap type="topAndBottom"/>
          </v:shape>
        </w:pict>
      </w:r>
    </w:p>
    <w:p>
      <w:pPr>
        <w:pStyle w:val="BodyText"/>
      </w:pPr>
    </w:p>
    <w:p>
      <w:pPr>
        <w:pStyle w:val="BodyText"/>
        <w:spacing w:before="3"/>
        <w:rPr>
          <w:sz w:val="18"/>
        </w:rPr>
      </w:pPr>
    </w:p>
    <w:p>
      <w:pPr>
        <w:pStyle w:val="Heading3"/>
        <w:numPr>
          <w:ilvl w:val="1"/>
          <w:numId w:val="2"/>
        </w:numPr>
        <w:tabs>
          <w:tab w:pos="1974" w:val="left" w:leader="none"/>
        </w:tabs>
        <w:spacing w:line="240" w:lineRule="auto" w:before="0" w:after="0"/>
        <w:ind w:left="1973" w:right="0" w:hanging="637"/>
        <w:jc w:val="both"/>
      </w:pPr>
      <w:bookmarkStart w:name="18.1  Provision of information by the co" w:id="237"/>
      <w:bookmarkEnd w:id="237"/>
      <w:r>
        <w:rPr>
          <w:b w:val="0"/>
        </w:rPr>
      </w:r>
      <w:bookmarkStart w:name="_bookmark64" w:id="238"/>
      <w:bookmarkEnd w:id="238"/>
      <w:r>
        <w:rPr/>
        <w:t>Pr</w:t>
      </w:r>
      <w:r>
        <w:rPr/>
        <w:t>ovision</w:t>
      </w:r>
      <w:r>
        <w:rPr>
          <w:spacing w:val="-6"/>
        </w:rPr>
        <w:t> </w:t>
      </w:r>
      <w:r>
        <w:rPr/>
        <w:t>of</w:t>
      </w:r>
      <w:r>
        <w:rPr>
          <w:spacing w:val="-4"/>
        </w:rPr>
        <w:t> </w:t>
      </w:r>
      <w:r>
        <w:rPr/>
        <w:t>information</w:t>
      </w:r>
      <w:r>
        <w:rPr>
          <w:spacing w:val="-4"/>
        </w:rPr>
        <w:t> </w:t>
      </w:r>
      <w:r>
        <w:rPr/>
        <w:t>by</w:t>
      </w:r>
      <w:r>
        <w:rPr>
          <w:spacing w:val="-4"/>
        </w:rPr>
        <w:t> </w:t>
      </w:r>
      <w:r>
        <w:rPr/>
        <w:t>the</w:t>
      </w:r>
      <w:r>
        <w:rPr>
          <w:spacing w:val="-5"/>
        </w:rPr>
        <w:t> </w:t>
      </w:r>
      <w:r>
        <w:rPr>
          <w:spacing w:val="-2"/>
        </w:rPr>
        <w:t>conciliator</w:t>
      </w:r>
    </w:p>
    <w:p>
      <w:pPr>
        <w:pStyle w:val="BodyText"/>
        <w:spacing w:line="259" w:lineRule="auto" w:before="121"/>
        <w:ind w:left="1337" w:right="1474"/>
        <w:jc w:val="both"/>
      </w:pPr>
      <w:r>
        <w:rPr/>
        <w:t>Although it is not the primary aim of conciliation – which focuses on resolving the workplace dispute at issue – unrepresented employers were asked whether the Acas conciliator had provided them with any information or advice which they believed</w:t>
      </w:r>
      <w:r>
        <w:rPr>
          <w:spacing w:val="-9"/>
        </w:rPr>
        <w:t> </w:t>
      </w:r>
      <w:r>
        <w:rPr/>
        <w:t>would</w:t>
      </w:r>
      <w:r>
        <w:rPr>
          <w:spacing w:val="-9"/>
        </w:rPr>
        <w:t> </w:t>
      </w:r>
      <w:r>
        <w:rPr/>
        <w:t>help</w:t>
      </w:r>
      <w:r>
        <w:rPr>
          <w:spacing w:val="-9"/>
        </w:rPr>
        <w:t> </w:t>
      </w:r>
      <w:r>
        <w:rPr/>
        <w:t>them</w:t>
      </w:r>
      <w:r>
        <w:rPr>
          <w:spacing w:val="-9"/>
        </w:rPr>
        <w:t> </w:t>
      </w:r>
      <w:r>
        <w:rPr/>
        <w:t>avoid</w:t>
      </w:r>
      <w:r>
        <w:rPr>
          <w:spacing w:val="-9"/>
        </w:rPr>
        <w:t> </w:t>
      </w:r>
      <w:r>
        <w:rPr/>
        <w:t>having</w:t>
      </w:r>
      <w:r>
        <w:rPr>
          <w:spacing w:val="-9"/>
        </w:rPr>
        <w:t> </w:t>
      </w:r>
      <w:r>
        <w:rPr/>
        <w:t>to</w:t>
      </w:r>
      <w:r>
        <w:rPr>
          <w:spacing w:val="-10"/>
        </w:rPr>
        <w:t> </w:t>
      </w:r>
      <w:r>
        <w:rPr/>
        <w:t>deal</w:t>
      </w:r>
      <w:r>
        <w:rPr>
          <w:spacing w:val="-9"/>
        </w:rPr>
        <w:t> </w:t>
      </w:r>
      <w:r>
        <w:rPr/>
        <w:t>with</w:t>
      </w:r>
      <w:r>
        <w:rPr>
          <w:spacing w:val="-9"/>
        </w:rPr>
        <w:t> </w:t>
      </w:r>
      <w:r>
        <w:rPr/>
        <w:t>another</w:t>
      </w:r>
      <w:r>
        <w:rPr>
          <w:spacing w:val="-9"/>
        </w:rPr>
        <w:t> </w:t>
      </w:r>
      <w:r>
        <w:rPr/>
        <w:t>case</w:t>
      </w:r>
      <w:r>
        <w:rPr>
          <w:spacing w:val="-9"/>
        </w:rPr>
        <w:t> </w:t>
      </w:r>
      <w:r>
        <w:rPr/>
        <w:t>of</w:t>
      </w:r>
      <w:r>
        <w:rPr>
          <w:spacing w:val="-9"/>
        </w:rPr>
        <w:t> </w:t>
      </w:r>
      <w:r>
        <w:rPr/>
        <w:t>this</w:t>
      </w:r>
      <w:r>
        <w:rPr>
          <w:spacing w:val="-9"/>
        </w:rPr>
        <w:t> </w:t>
      </w:r>
      <w:r>
        <w:rPr/>
        <w:t>type</w:t>
      </w:r>
      <w:r>
        <w:rPr>
          <w:spacing w:val="-9"/>
        </w:rPr>
        <w:t> </w:t>
      </w:r>
      <w:r>
        <w:rPr/>
        <w:t>in</w:t>
      </w:r>
      <w:r>
        <w:rPr>
          <w:spacing w:val="-9"/>
        </w:rPr>
        <w:t> </w:t>
      </w:r>
      <w:r>
        <w:rPr/>
        <w:t>the </w:t>
      </w:r>
      <w:r>
        <w:rPr>
          <w:spacing w:val="-2"/>
        </w:rPr>
        <w:t>future.</w:t>
      </w:r>
    </w:p>
    <w:p>
      <w:pPr>
        <w:pStyle w:val="BodyText"/>
        <w:spacing w:line="259" w:lineRule="auto" w:before="158"/>
        <w:ind w:left="1337" w:right="1472"/>
        <w:jc w:val="both"/>
      </w:pPr>
      <w:r>
        <w:rPr/>
        <w:t>Four fifths (79 per cent) reported that they had not received any information or advice of this kind, while two in ten (18 per cent) said that they had. This is consistent</w:t>
      </w:r>
      <w:r>
        <w:rPr>
          <w:spacing w:val="-8"/>
        </w:rPr>
        <w:t> </w:t>
      </w:r>
      <w:r>
        <w:rPr/>
        <w:t>with</w:t>
      </w:r>
      <w:r>
        <w:rPr>
          <w:spacing w:val="-6"/>
        </w:rPr>
        <w:t> </w:t>
      </w:r>
      <w:r>
        <w:rPr/>
        <w:t>2016,</w:t>
      </w:r>
      <w:r>
        <w:rPr>
          <w:spacing w:val="-8"/>
        </w:rPr>
        <w:t> </w:t>
      </w:r>
      <w:r>
        <w:rPr/>
        <w:t>when</w:t>
      </w:r>
      <w:r>
        <w:rPr>
          <w:spacing w:val="-7"/>
        </w:rPr>
        <w:t> </w:t>
      </w:r>
      <w:r>
        <w:rPr/>
        <w:t>23</w:t>
      </w:r>
      <w:r>
        <w:rPr>
          <w:spacing w:val="-7"/>
        </w:rPr>
        <w:t> </w:t>
      </w:r>
      <w:r>
        <w:rPr/>
        <w:t>per</w:t>
      </w:r>
      <w:r>
        <w:rPr>
          <w:spacing w:val="-7"/>
        </w:rPr>
        <w:t> </w:t>
      </w:r>
      <w:r>
        <w:rPr/>
        <w:t>cent</w:t>
      </w:r>
      <w:r>
        <w:rPr>
          <w:spacing w:val="-6"/>
        </w:rPr>
        <w:t> </w:t>
      </w:r>
      <w:r>
        <w:rPr/>
        <w:t>reported</w:t>
      </w:r>
      <w:r>
        <w:rPr>
          <w:spacing w:val="-7"/>
        </w:rPr>
        <w:t> </w:t>
      </w:r>
      <w:r>
        <w:rPr/>
        <w:t>being</w:t>
      </w:r>
      <w:r>
        <w:rPr>
          <w:spacing w:val="-7"/>
        </w:rPr>
        <w:t> </w:t>
      </w:r>
      <w:r>
        <w:rPr/>
        <w:t>given</w:t>
      </w:r>
      <w:r>
        <w:rPr>
          <w:spacing w:val="-6"/>
        </w:rPr>
        <w:t> </w:t>
      </w:r>
      <w:r>
        <w:rPr/>
        <w:t>such</w:t>
      </w:r>
      <w:r>
        <w:rPr>
          <w:spacing w:val="-7"/>
        </w:rPr>
        <w:t> </w:t>
      </w:r>
      <w:r>
        <w:rPr/>
        <w:t>information</w:t>
      </w:r>
      <w:r>
        <w:rPr>
          <w:spacing w:val="-6"/>
        </w:rPr>
        <w:t> </w:t>
      </w:r>
      <w:r>
        <w:rPr/>
        <w:t>and 75 per cent said they had not.</w:t>
      </w:r>
    </w:p>
    <w:p>
      <w:pPr>
        <w:pStyle w:val="BodyText"/>
        <w:spacing w:line="259" w:lineRule="auto" w:before="160"/>
        <w:ind w:left="1337" w:right="1473"/>
        <w:jc w:val="both"/>
      </w:pPr>
      <w:r>
        <w:rPr/>
        <w:t>Employers with one workplace in the UK were significantly more likely than those with multiple sites to report that Acas had provided information that would help them avoid having to deal with a similar case again (24 per cent compared to 13 per</w:t>
      </w:r>
      <w:r>
        <w:rPr>
          <w:spacing w:val="9"/>
        </w:rPr>
        <w:t> </w:t>
      </w:r>
      <w:r>
        <w:rPr/>
        <w:t>cent).</w:t>
      </w:r>
      <w:r>
        <w:rPr>
          <w:spacing w:val="11"/>
        </w:rPr>
        <w:t> </w:t>
      </w:r>
      <w:r>
        <w:rPr/>
        <w:t>The</w:t>
      </w:r>
      <w:r>
        <w:rPr>
          <w:spacing w:val="12"/>
        </w:rPr>
        <w:t> </w:t>
      </w:r>
      <w:r>
        <w:rPr/>
        <w:t>same</w:t>
      </w:r>
      <w:r>
        <w:rPr>
          <w:spacing w:val="12"/>
        </w:rPr>
        <w:t> </w:t>
      </w:r>
      <w:r>
        <w:rPr/>
        <w:t>is</w:t>
      </w:r>
      <w:r>
        <w:rPr>
          <w:spacing w:val="12"/>
        </w:rPr>
        <w:t> </w:t>
      </w:r>
      <w:r>
        <w:rPr/>
        <w:t>also</w:t>
      </w:r>
      <w:r>
        <w:rPr>
          <w:spacing w:val="12"/>
        </w:rPr>
        <w:t> </w:t>
      </w:r>
      <w:r>
        <w:rPr/>
        <w:t>true</w:t>
      </w:r>
      <w:r>
        <w:rPr>
          <w:spacing w:val="12"/>
        </w:rPr>
        <w:t> </w:t>
      </w:r>
      <w:r>
        <w:rPr/>
        <w:t>for</w:t>
      </w:r>
      <w:r>
        <w:rPr>
          <w:spacing w:val="11"/>
        </w:rPr>
        <w:t> </w:t>
      </w:r>
      <w:r>
        <w:rPr/>
        <w:t>employers</w:t>
      </w:r>
      <w:r>
        <w:rPr>
          <w:spacing w:val="14"/>
        </w:rPr>
        <w:t> </w:t>
      </w:r>
      <w:r>
        <w:rPr/>
        <w:t>who</w:t>
      </w:r>
      <w:r>
        <w:rPr>
          <w:spacing w:val="11"/>
        </w:rPr>
        <w:t> </w:t>
      </w:r>
      <w:r>
        <w:rPr/>
        <w:t>did</w:t>
      </w:r>
      <w:r>
        <w:rPr>
          <w:spacing w:val="12"/>
        </w:rPr>
        <w:t> </w:t>
      </w:r>
      <w:r>
        <w:rPr/>
        <w:t>not</w:t>
      </w:r>
      <w:r>
        <w:rPr>
          <w:spacing w:val="13"/>
        </w:rPr>
        <w:t> </w:t>
      </w:r>
      <w:r>
        <w:rPr/>
        <w:t>have</w:t>
      </w:r>
      <w:r>
        <w:rPr>
          <w:spacing w:val="11"/>
        </w:rPr>
        <w:t> </w:t>
      </w:r>
      <w:r>
        <w:rPr/>
        <w:t>trade</w:t>
      </w:r>
      <w:r>
        <w:rPr>
          <w:spacing w:val="12"/>
        </w:rPr>
        <w:t> </w:t>
      </w:r>
      <w:r>
        <w:rPr/>
        <w:t>unions</w:t>
      </w:r>
      <w:r>
        <w:rPr>
          <w:spacing w:val="12"/>
        </w:rPr>
        <w:t> </w:t>
      </w:r>
      <w:r>
        <w:rPr>
          <w:spacing w:val="-5"/>
        </w:rPr>
        <w:t>or</w:t>
      </w:r>
    </w:p>
    <w:p>
      <w:pPr>
        <w:spacing w:after="0" w:line="259" w:lineRule="auto"/>
        <w:jc w:val="both"/>
        <w:sectPr>
          <w:pgSz w:w="11910" w:h="16840"/>
          <w:pgMar w:header="0" w:footer="996" w:top="1340" w:bottom="1180" w:left="460" w:right="320"/>
        </w:sectPr>
      </w:pPr>
    </w:p>
    <w:p>
      <w:pPr>
        <w:pStyle w:val="BodyText"/>
        <w:spacing w:line="259" w:lineRule="auto" w:before="82"/>
        <w:ind w:left="1337" w:right="1475"/>
        <w:jc w:val="both"/>
      </w:pPr>
      <w:r>
        <w:rPr/>
        <w:t>staff</w:t>
      </w:r>
      <w:r>
        <w:rPr>
          <w:spacing w:val="-13"/>
        </w:rPr>
        <w:t> </w:t>
      </w:r>
      <w:r>
        <w:rPr/>
        <w:t>associations</w:t>
      </w:r>
      <w:r>
        <w:rPr>
          <w:spacing w:val="-14"/>
        </w:rPr>
        <w:t> </w:t>
      </w:r>
      <w:r>
        <w:rPr/>
        <w:t>present</w:t>
      </w:r>
      <w:r>
        <w:rPr>
          <w:spacing w:val="-14"/>
        </w:rPr>
        <w:t> </w:t>
      </w:r>
      <w:r>
        <w:rPr/>
        <w:t>in</w:t>
      </w:r>
      <w:r>
        <w:rPr>
          <w:spacing w:val="-13"/>
        </w:rPr>
        <w:t> </w:t>
      </w:r>
      <w:r>
        <w:rPr/>
        <w:t>their</w:t>
      </w:r>
      <w:r>
        <w:rPr>
          <w:spacing w:val="-14"/>
        </w:rPr>
        <w:t> </w:t>
      </w:r>
      <w:r>
        <w:rPr/>
        <w:t>workplace</w:t>
      </w:r>
      <w:r>
        <w:rPr>
          <w:spacing w:val="-14"/>
        </w:rPr>
        <w:t> </w:t>
      </w:r>
      <w:r>
        <w:rPr/>
        <w:t>(21</w:t>
      </w:r>
      <w:r>
        <w:rPr>
          <w:spacing w:val="-14"/>
        </w:rPr>
        <w:t> </w:t>
      </w:r>
      <w:r>
        <w:rPr/>
        <w:t>per</w:t>
      </w:r>
      <w:r>
        <w:rPr>
          <w:spacing w:val="-14"/>
        </w:rPr>
        <w:t> </w:t>
      </w:r>
      <w:r>
        <w:rPr/>
        <w:t>cent</w:t>
      </w:r>
      <w:r>
        <w:rPr>
          <w:spacing w:val="-14"/>
        </w:rPr>
        <w:t> </w:t>
      </w:r>
      <w:r>
        <w:rPr/>
        <w:t>compared</w:t>
      </w:r>
      <w:r>
        <w:rPr>
          <w:spacing w:val="-14"/>
        </w:rPr>
        <w:t> </w:t>
      </w:r>
      <w:r>
        <w:rPr/>
        <w:t>to</w:t>
      </w:r>
      <w:r>
        <w:rPr>
          <w:spacing w:val="-14"/>
        </w:rPr>
        <w:t> </w:t>
      </w:r>
      <w:r>
        <w:rPr/>
        <w:t>four</w:t>
      </w:r>
      <w:r>
        <w:rPr>
          <w:spacing w:val="-14"/>
        </w:rPr>
        <w:t> </w:t>
      </w:r>
      <w:r>
        <w:rPr/>
        <w:t>per</w:t>
      </w:r>
      <w:r>
        <w:rPr>
          <w:spacing w:val="-14"/>
        </w:rPr>
        <w:t> </w:t>
      </w:r>
      <w:r>
        <w:rPr/>
        <w:t>cent who were members).</w:t>
      </w:r>
    </w:p>
    <w:p>
      <w:pPr>
        <w:pStyle w:val="Heading3"/>
        <w:numPr>
          <w:ilvl w:val="1"/>
          <w:numId w:val="2"/>
        </w:numPr>
        <w:tabs>
          <w:tab w:pos="1974" w:val="left" w:leader="none"/>
        </w:tabs>
        <w:spacing w:line="240" w:lineRule="auto" w:before="160" w:after="0"/>
        <w:ind w:left="1973" w:right="0" w:hanging="637"/>
        <w:jc w:val="both"/>
      </w:pPr>
      <w:bookmarkStart w:name="18.2  Implementation of new procedures" w:id="239"/>
      <w:bookmarkEnd w:id="239"/>
      <w:r>
        <w:rPr>
          <w:b w:val="0"/>
        </w:rPr>
      </w:r>
      <w:bookmarkStart w:name="_bookmark65" w:id="240"/>
      <w:bookmarkEnd w:id="240"/>
      <w:r>
        <w:rPr/>
        <w:t>I</w:t>
      </w:r>
      <w:r>
        <w:rPr/>
        <w:t>mplementation</w:t>
      </w:r>
      <w:r>
        <w:rPr>
          <w:spacing w:val="-5"/>
        </w:rPr>
        <w:t> </w:t>
      </w:r>
      <w:r>
        <w:rPr/>
        <w:t>of</w:t>
      </w:r>
      <w:r>
        <w:rPr>
          <w:spacing w:val="-4"/>
        </w:rPr>
        <w:t> </w:t>
      </w:r>
      <w:r>
        <w:rPr/>
        <w:t>new</w:t>
      </w:r>
      <w:r>
        <w:rPr>
          <w:spacing w:val="-5"/>
        </w:rPr>
        <w:t> </w:t>
      </w:r>
      <w:r>
        <w:rPr>
          <w:spacing w:val="-2"/>
        </w:rPr>
        <w:t>procedures</w:t>
      </w:r>
    </w:p>
    <w:p>
      <w:pPr>
        <w:pStyle w:val="BodyText"/>
        <w:spacing w:line="259" w:lineRule="auto" w:before="119"/>
        <w:ind w:left="1337" w:right="1474"/>
        <w:jc w:val="both"/>
      </w:pPr>
      <w:r>
        <w:rPr/>
        <w:t>Employers were also asked whether they had updated or implemented any new policies,</w:t>
      </w:r>
      <w:r>
        <w:rPr>
          <w:spacing w:val="-9"/>
        </w:rPr>
        <w:t> </w:t>
      </w:r>
      <w:r>
        <w:rPr/>
        <w:t>procedures</w:t>
      </w:r>
      <w:r>
        <w:rPr>
          <w:spacing w:val="-9"/>
        </w:rPr>
        <w:t> </w:t>
      </w:r>
      <w:r>
        <w:rPr/>
        <w:t>or</w:t>
      </w:r>
      <w:r>
        <w:rPr>
          <w:spacing w:val="-9"/>
        </w:rPr>
        <w:t> </w:t>
      </w:r>
      <w:r>
        <w:rPr/>
        <w:t>practices</w:t>
      </w:r>
      <w:r>
        <w:rPr>
          <w:spacing w:val="-9"/>
        </w:rPr>
        <w:t> </w:t>
      </w:r>
      <w:r>
        <w:rPr/>
        <w:t>as</w:t>
      </w:r>
      <w:r>
        <w:rPr>
          <w:spacing w:val="-9"/>
        </w:rPr>
        <w:t> </w:t>
      </w:r>
      <w:r>
        <w:rPr/>
        <w:t>a</w:t>
      </w:r>
      <w:r>
        <w:rPr>
          <w:spacing w:val="-9"/>
        </w:rPr>
        <w:t> </w:t>
      </w:r>
      <w:r>
        <w:rPr/>
        <w:t>result</w:t>
      </w:r>
      <w:r>
        <w:rPr>
          <w:spacing w:val="-9"/>
        </w:rPr>
        <w:t> </w:t>
      </w:r>
      <w:r>
        <w:rPr/>
        <w:t>of</w:t>
      </w:r>
      <w:r>
        <w:rPr>
          <w:spacing w:val="-9"/>
        </w:rPr>
        <w:t> </w:t>
      </w:r>
      <w:r>
        <w:rPr/>
        <w:t>guidance</w:t>
      </w:r>
      <w:r>
        <w:rPr>
          <w:spacing w:val="-10"/>
        </w:rPr>
        <w:t> </w:t>
      </w:r>
      <w:r>
        <w:rPr/>
        <w:t>from</w:t>
      </w:r>
      <w:r>
        <w:rPr>
          <w:spacing w:val="-10"/>
        </w:rPr>
        <w:t> </w:t>
      </w:r>
      <w:r>
        <w:rPr/>
        <w:t>their</w:t>
      </w:r>
      <w:r>
        <w:rPr>
          <w:spacing w:val="-9"/>
        </w:rPr>
        <w:t> </w:t>
      </w:r>
      <w:r>
        <w:rPr/>
        <w:t>Acas</w:t>
      </w:r>
      <w:r>
        <w:rPr>
          <w:spacing w:val="-9"/>
        </w:rPr>
        <w:t> </w:t>
      </w:r>
      <w:r>
        <w:rPr/>
        <w:t>conciliator. Two</w:t>
      </w:r>
      <w:r>
        <w:rPr>
          <w:spacing w:val="-12"/>
        </w:rPr>
        <w:t> </w:t>
      </w:r>
      <w:r>
        <w:rPr/>
        <w:t>in</w:t>
      </w:r>
      <w:r>
        <w:rPr>
          <w:spacing w:val="-11"/>
        </w:rPr>
        <w:t> </w:t>
      </w:r>
      <w:r>
        <w:rPr/>
        <w:t>ten</w:t>
      </w:r>
      <w:r>
        <w:rPr>
          <w:spacing w:val="-11"/>
        </w:rPr>
        <w:t> </w:t>
      </w:r>
      <w:r>
        <w:rPr/>
        <w:t>(22</w:t>
      </w:r>
      <w:r>
        <w:rPr>
          <w:spacing w:val="-11"/>
        </w:rPr>
        <w:t> </w:t>
      </w:r>
      <w:r>
        <w:rPr/>
        <w:t>per</w:t>
      </w:r>
      <w:r>
        <w:rPr>
          <w:spacing w:val="-12"/>
        </w:rPr>
        <w:t> </w:t>
      </w:r>
      <w:r>
        <w:rPr/>
        <w:t>cent)</w:t>
      </w:r>
      <w:r>
        <w:rPr>
          <w:spacing w:val="-11"/>
        </w:rPr>
        <w:t> </w:t>
      </w:r>
      <w:r>
        <w:rPr/>
        <w:t>reported</w:t>
      </w:r>
      <w:r>
        <w:rPr>
          <w:spacing w:val="-12"/>
        </w:rPr>
        <w:t> </w:t>
      </w:r>
      <w:r>
        <w:rPr/>
        <w:t>that</w:t>
      </w:r>
      <w:r>
        <w:rPr>
          <w:spacing w:val="-10"/>
        </w:rPr>
        <w:t> </w:t>
      </w:r>
      <w:r>
        <w:rPr/>
        <w:t>they</w:t>
      </w:r>
      <w:r>
        <w:rPr>
          <w:spacing w:val="-11"/>
        </w:rPr>
        <w:t> </w:t>
      </w:r>
      <w:r>
        <w:rPr/>
        <w:t>had,</w:t>
      </w:r>
      <w:r>
        <w:rPr>
          <w:spacing w:val="-11"/>
        </w:rPr>
        <w:t> </w:t>
      </w:r>
      <w:r>
        <w:rPr/>
        <w:t>a</w:t>
      </w:r>
      <w:r>
        <w:rPr>
          <w:spacing w:val="-12"/>
        </w:rPr>
        <w:t> </w:t>
      </w:r>
      <w:r>
        <w:rPr/>
        <w:t>figure</w:t>
      </w:r>
      <w:r>
        <w:rPr>
          <w:spacing w:val="-12"/>
        </w:rPr>
        <w:t> </w:t>
      </w:r>
      <w:r>
        <w:rPr/>
        <w:t>which</w:t>
      </w:r>
      <w:r>
        <w:rPr>
          <w:spacing w:val="-10"/>
        </w:rPr>
        <w:t> </w:t>
      </w:r>
      <w:r>
        <w:rPr/>
        <w:t>did</w:t>
      </w:r>
      <w:r>
        <w:rPr>
          <w:spacing w:val="-12"/>
        </w:rPr>
        <w:t> </w:t>
      </w:r>
      <w:r>
        <w:rPr/>
        <w:t>not</w:t>
      </w:r>
      <w:r>
        <w:rPr>
          <w:spacing w:val="-11"/>
        </w:rPr>
        <w:t> </w:t>
      </w:r>
      <w:r>
        <w:rPr/>
        <w:t>differ</w:t>
      </w:r>
      <w:r>
        <w:rPr>
          <w:spacing w:val="-11"/>
        </w:rPr>
        <w:t> </w:t>
      </w:r>
      <w:r>
        <w:rPr/>
        <w:t>across case tracks and was down slightly from three in ten (27 per cent) in 2016. Those who</w:t>
      </w:r>
      <w:r>
        <w:rPr>
          <w:spacing w:val="-7"/>
        </w:rPr>
        <w:t> </w:t>
      </w:r>
      <w:r>
        <w:rPr/>
        <w:t>settled</w:t>
      </w:r>
      <w:r>
        <w:rPr>
          <w:spacing w:val="-7"/>
        </w:rPr>
        <w:t> </w:t>
      </w:r>
      <w:r>
        <w:rPr/>
        <w:t>their</w:t>
      </w:r>
      <w:r>
        <w:rPr>
          <w:spacing w:val="-8"/>
        </w:rPr>
        <w:t> </w:t>
      </w:r>
      <w:r>
        <w:rPr/>
        <w:t>case</w:t>
      </w:r>
      <w:r>
        <w:rPr>
          <w:spacing w:val="-7"/>
        </w:rPr>
        <w:t> </w:t>
      </w:r>
      <w:r>
        <w:rPr/>
        <w:t>(27</w:t>
      </w:r>
      <w:r>
        <w:rPr>
          <w:spacing w:val="-7"/>
        </w:rPr>
        <w:t> </w:t>
      </w:r>
      <w:r>
        <w:rPr/>
        <w:t>per</w:t>
      </w:r>
      <w:r>
        <w:rPr>
          <w:spacing w:val="-8"/>
        </w:rPr>
        <w:t> </w:t>
      </w:r>
      <w:r>
        <w:rPr/>
        <w:t>cent)</w:t>
      </w:r>
      <w:r>
        <w:rPr>
          <w:spacing w:val="-7"/>
        </w:rPr>
        <w:t> </w:t>
      </w:r>
      <w:r>
        <w:rPr/>
        <w:t>were</w:t>
      </w:r>
      <w:r>
        <w:rPr>
          <w:spacing w:val="-7"/>
        </w:rPr>
        <w:t> </w:t>
      </w:r>
      <w:r>
        <w:rPr/>
        <w:t>more</w:t>
      </w:r>
      <w:r>
        <w:rPr>
          <w:spacing w:val="-8"/>
        </w:rPr>
        <w:t> </w:t>
      </w:r>
      <w:r>
        <w:rPr/>
        <w:t>likely</w:t>
      </w:r>
      <w:r>
        <w:rPr>
          <w:spacing w:val="-7"/>
        </w:rPr>
        <w:t> </w:t>
      </w:r>
      <w:r>
        <w:rPr/>
        <w:t>to</w:t>
      </w:r>
      <w:r>
        <w:rPr>
          <w:spacing w:val="-7"/>
        </w:rPr>
        <w:t> </w:t>
      </w:r>
      <w:r>
        <w:rPr/>
        <w:t>say</w:t>
      </w:r>
      <w:r>
        <w:rPr>
          <w:spacing w:val="-8"/>
        </w:rPr>
        <w:t> </w:t>
      </w:r>
      <w:r>
        <w:rPr/>
        <w:t>they</w:t>
      </w:r>
      <w:r>
        <w:rPr>
          <w:spacing w:val="-7"/>
        </w:rPr>
        <w:t> </w:t>
      </w:r>
      <w:r>
        <w:rPr/>
        <w:t>had</w:t>
      </w:r>
      <w:r>
        <w:rPr>
          <w:spacing w:val="-8"/>
        </w:rPr>
        <w:t> </w:t>
      </w:r>
      <w:r>
        <w:rPr/>
        <w:t>implemented new policies than those that had not (18 per cent). It should be noted that the overall 2019 figure (22 per cent) rises to 31 per cent if we restrict analysis to just those employers who actually took part in conciliation at this stage.</w:t>
      </w:r>
    </w:p>
    <w:p>
      <w:pPr>
        <w:pStyle w:val="BodyText"/>
        <w:spacing w:line="259" w:lineRule="auto" w:before="158"/>
        <w:ind w:left="1337" w:right="1474"/>
        <w:jc w:val="both"/>
      </w:pPr>
      <w:r>
        <w:rPr/>
        <w:t>As in 2016, employers dealing with an ET claim for the first time were more likely to have implemented new policies, procedures or practices as result of the conciliator’s guidance than was the case for employers with prior experience of responding to an ET claim (27 per cent compared with 16 per cent). This may reflect a heightened desire from employers to protect themselves from future disputes if they have never gone through the process before.</w:t>
      </w:r>
    </w:p>
    <w:p>
      <w:pPr>
        <w:pStyle w:val="BodyText"/>
        <w:spacing w:line="259" w:lineRule="auto" w:before="159"/>
        <w:ind w:left="1337" w:right="1474"/>
        <w:jc w:val="both"/>
      </w:pPr>
      <w:r>
        <w:rPr/>
        <w:t>Employers from organisations with only one site in the UK were also significantly more likely to have implemented new policies, procedures or practices as a result of</w:t>
      </w:r>
      <w:r>
        <w:rPr>
          <w:spacing w:val="-18"/>
        </w:rPr>
        <w:t> </w:t>
      </w:r>
      <w:r>
        <w:rPr/>
        <w:t>the</w:t>
      </w:r>
      <w:r>
        <w:rPr>
          <w:spacing w:val="-18"/>
        </w:rPr>
        <w:t> </w:t>
      </w:r>
      <w:r>
        <w:rPr/>
        <w:t>guidance</w:t>
      </w:r>
      <w:r>
        <w:rPr>
          <w:spacing w:val="-17"/>
        </w:rPr>
        <w:t> </w:t>
      </w:r>
      <w:r>
        <w:rPr/>
        <w:t>from</w:t>
      </w:r>
      <w:r>
        <w:rPr>
          <w:spacing w:val="-18"/>
        </w:rPr>
        <w:t> </w:t>
      </w:r>
      <w:r>
        <w:rPr/>
        <w:t>the</w:t>
      </w:r>
      <w:r>
        <w:rPr>
          <w:spacing w:val="-17"/>
        </w:rPr>
        <w:t> </w:t>
      </w:r>
      <w:r>
        <w:rPr/>
        <w:t>Acas</w:t>
      </w:r>
      <w:r>
        <w:rPr>
          <w:spacing w:val="-18"/>
        </w:rPr>
        <w:t> </w:t>
      </w:r>
      <w:r>
        <w:rPr/>
        <w:t>conciliator</w:t>
      </w:r>
      <w:r>
        <w:rPr>
          <w:spacing w:val="-18"/>
        </w:rPr>
        <w:t> </w:t>
      </w:r>
      <w:r>
        <w:rPr/>
        <w:t>than</w:t>
      </w:r>
      <w:r>
        <w:rPr>
          <w:spacing w:val="-17"/>
        </w:rPr>
        <w:t> </w:t>
      </w:r>
      <w:r>
        <w:rPr/>
        <w:t>was</w:t>
      </w:r>
      <w:r>
        <w:rPr>
          <w:spacing w:val="-18"/>
        </w:rPr>
        <w:t> </w:t>
      </w:r>
      <w:r>
        <w:rPr/>
        <w:t>the</w:t>
      </w:r>
      <w:r>
        <w:rPr>
          <w:spacing w:val="-17"/>
        </w:rPr>
        <w:t> </w:t>
      </w:r>
      <w:r>
        <w:rPr/>
        <w:t>case</w:t>
      </w:r>
      <w:r>
        <w:rPr>
          <w:spacing w:val="-18"/>
        </w:rPr>
        <w:t> </w:t>
      </w:r>
      <w:r>
        <w:rPr/>
        <w:t>for</w:t>
      </w:r>
      <w:r>
        <w:rPr>
          <w:spacing w:val="-17"/>
        </w:rPr>
        <w:t> </w:t>
      </w:r>
      <w:r>
        <w:rPr/>
        <w:t>multi-site</w:t>
      </w:r>
      <w:r>
        <w:rPr>
          <w:spacing w:val="-18"/>
        </w:rPr>
        <w:t> </w:t>
      </w:r>
      <w:r>
        <w:rPr/>
        <w:t>employers (29 per cent compared to 16 per cent respectively). The same was also true for employers</w:t>
      </w:r>
      <w:r>
        <w:rPr>
          <w:spacing w:val="-14"/>
        </w:rPr>
        <w:t> </w:t>
      </w:r>
      <w:r>
        <w:rPr/>
        <w:t>who</w:t>
      </w:r>
      <w:r>
        <w:rPr>
          <w:spacing w:val="-16"/>
        </w:rPr>
        <w:t> </w:t>
      </w:r>
      <w:r>
        <w:rPr/>
        <w:t>were</w:t>
      </w:r>
      <w:r>
        <w:rPr>
          <w:spacing w:val="-16"/>
        </w:rPr>
        <w:t> </w:t>
      </w:r>
      <w:r>
        <w:rPr/>
        <w:t>not</w:t>
      </w:r>
      <w:r>
        <w:rPr>
          <w:spacing w:val="-14"/>
        </w:rPr>
        <w:t> </w:t>
      </w:r>
      <w:r>
        <w:rPr/>
        <w:t>members</w:t>
      </w:r>
      <w:r>
        <w:rPr>
          <w:spacing w:val="-14"/>
        </w:rPr>
        <w:t> </w:t>
      </w:r>
      <w:r>
        <w:rPr/>
        <w:t>of</w:t>
      </w:r>
      <w:r>
        <w:rPr>
          <w:spacing w:val="-15"/>
        </w:rPr>
        <w:t> </w:t>
      </w:r>
      <w:r>
        <w:rPr/>
        <w:t>trade</w:t>
      </w:r>
      <w:r>
        <w:rPr>
          <w:spacing w:val="-16"/>
        </w:rPr>
        <w:t> </w:t>
      </w:r>
      <w:r>
        <w:rPr/>
        <w:t>unions</w:t>
      </w:r>
      <w:r>
        <w:rPr>
          <w:spacing w:val="-14"/>
        </w:rPr>
        <w:t> </w:t>
      </w:r>
      <w:r>
        <w:rPr/>
        <w:t>or</w:t>
      </w:r>
      <w:r>
        <w:rPr>
          <w:spacing w:val="-16"/>
        </w:rPr>
        <w:t> </w:t>
      </w:r>
      <w:r>
        <w:rPr/>
        <w:t>staff</w:t>
      </w:r>
      <w:r>
        <w:rPr>
          <w:spacing w:val="-15"/>
        </w:rPr>
        <w:t> </w:t>
      </w:r>
      <w:r>
        <w:rPr/>
        <w:t>associations</w:t>
      </w:r>
      <w:r>
        <w:rPr>
          <w:spacing w:val="-14"/>
        </w:rPr>
        <w:t> </w:t>
      </w:r>
      <w:r>
        <w:rPr/>
        <w:t>(25</w:t>
      </w:r>
      <w:r>
        <w:rPr>
          <w:spacing w:val="-15"/>
        </w:rPr>
        <w:t> </w:t>
      </w:r>
      <w:r>
        <w:rPr/>
        <w:t>per</w:t>
      </w:r>
      <w:r>
        <w:rPr>
          <w:spacing w:val="-14"/>
        </w:rPr>
        <w:t> </w:t>
      </w:r>
      <w:r>
        <w:rPr/>
        <w:t>cent compared to eight per cent who were members).</w:t>
      </w:r>
    </w:p>
    <w:p>
      <w:pPr>
        <w:pStyle w:val="Heading3"/>
        <w:numPr>
          <w:ilvl w:val="1"/>
          <w:numId w:val="2"/>
        </w:numPr>
        <w:tabs>
          <w:tab w:pos="1974" w:val="left" w:leader="none"/>
        </w:tabs>
        <w:spacing w:line="240" w:lineRule="auto" w:before="158" w:after="0"/>
        <w:ind w:left="1973" w:right="0" w:hanging="637"/>
        <w:jc w:val="both"/>
      </w:pPr>
      <w:bookmarkStart w:name="18.3  Future use of Acas conciliation se" w:id="241"/>
      <w:bookmarkEnd w:id="241"/>
      <w:r>
        <w:rPr>
          <w:b w:val="0"/>
        </w:rPr>
      </w:r>
      <w:bookmarkStart w:name="_bookmark66" w:id="242"/>
      <w:bookmarkEnd w:id="242"/>
      <w:r>
        <w:rPr/>
        <w:t>Fu</w:t>
      </w:r>
      <w:r>
        <w:rPr/>
        <w:t>ture</w:t>
      </w:r>
      <w:r>
        <w:rPr>
          <w:spacing w:val="-5"/>
        </w:rPr>
        <w:t> </w:t>
      </w:r>
      <w:r>
        <w:rPr/>
        <w:t>use</w:t>
      </w:r>
      <w:r>
        <w:rPr>
          <w:spacing w:val="-4"/>
        </w:rPr>
        <w:t> </w:t>
      </w:r>
      <w:r>
        <w:rPr/>
        <w:t>of</w:t>
      </w:r>
      <w:r>
        <w:rPr>
          <w:spacing w:val="-4"/>
        </w:rPr>
        <w:t> </w:t>
      </w:r>
      <w:r>
        <w:rPr/>
        <w:t>Acas</w:t>
      </w:r>
      <w:r>
        <w:rPr>
          <w:spacing w:val="-5"/>
        </w:rPr>
        <w:t> </w:t>
      </w:r>
      <w:r>
        <w:rPr/>
        <w:t>conciliation</w:t>
      </w:r>
      <w:r>
        <w:rPr>
          <w:spacing w:val="-5"/>
        </w:rPr>
        <w:t> </w:t>
      </w:r>
      <w:r>
        <w:rPr>
          <w:spacing w:val="-2"/>
        </w:rPr>
        <w:t>services</w:t>
      </w:r>
    </w:p>
    <w:p>
      <w:pPr>
        <w:pStyle w:val="BodyText"/>
        <w:spacing w:before="8"/>
        <w:rPr>
          <w:b/>
          <w:sz w:val="22"/>
        </w:rPr>
      </w:pPr>
    </w:p>
    <w:p>
      <w:pPr>
        <w:pStyle w:val="BodyText"/>
        <w:spacing w:line="259" w:lineRule="auto"/>
        <w:ind w:left="1337" w:right="1476"/>
        <w:jc w:val="both"/>
      </w:pPr>
      <w:r>
        <w:rPr/>
        <w:t>All participants were asked whether they would make use of conciliation services from Acas if they were involved in a similar situation in the future.</w:t>
      </w:r>
    </w:p>
    <w:p>
      <w:pPr>
        <w:pStyle w:val="BodyText"/>
        <w:spacing w:before="1"/>
        <w:rPr>
          <w:sz w:val="21"/>
        </w:rPr>
      </w:pPr>
    </w:p>
    <w:p>
      <w:pPr>
        <w:pStyle w:val="BodyText"/>
        <w:spacing w:line="256" w:lineRule="auto"/>
        <w:ind w:left="1336" w:right="1474"/>
        <w:jc w:val="both"/>
      </w:pPr>
      <w:r>
        <w:rPr/>
        <w:t>Eighty-six per cent of claimant-side participants said that they would use Acas conciliation in the future if needed: 69 per cent said they ‘definitely’ would do so and 17 per cent said they ‘probably’ would.</w:t>
      </w:r>
      <w:r>
        <w:rPr>
          <w:spacing w:val="40"/>
        </w:rPr>
        <w:t> </w:t>
      </w:r>
      <w:r>
        <w:rPr/>
        <w:t>Thirteen per cent of claimant-side participants</w:t>
      </w:r>
      <w:r>
        <w:rPr>
          <w:spacing w:val="-13"/>
        </w:rPr>
        <w:t> </w:t>
      </w:r>
      <w:r>
        <w:rPr/>
        <w:t>ruled</w:t>
      </w:r>
      <w:r>
        <w:rPr>
          <w:spacing w:val="-13"/>
        </w:rPr>
        <w:t> </w:t>
      </w:r>
      <w:r>
        <w:rPr/>
        <w:t>against</w:t>
      </w:r>
      <w:r>
        <w:rPr>
          <w:spacing w:val="-12"/>
        </w:rPr>
        <w:t> </w:t>
      </w:r>
      <w:r>
        <w:rPr/>
        <w:t>making</w:t>
      </w:r>
      <w:r>
        <w:rPr>
          <w:spacing w:val="-13"/>
        </w:rPr>
        <w:t> </w:t>
      </w:r>
      <w:r>
        <w:rPr/>
        <w:t>future</w:t>
      </w:r>
      <w:r>
        <w:rPr>
          <w:spacing w:val="-14"/>
        </w:rPr>
        <w:t> </w:t>
      </w:r>
      <w:r>
        <w:rPr/>
        <w:t>use</w:t>
      </w:r>
      <w:r>
        <w:rPr>
          <w:spacing w:val="-13"/>
        </w:rPr>
        <w:t> </w:t>
      </w:r>
      <w:r>
        <w:rPr/>
        <w:t>of</w:t>
      </w:r>
      <w:r>
        <w:rPr>
          <w:spacing w:val="-13"/>
        </w:rPr>
        <w:t> </w:t>
      </w:r>
      <w:r>
        <w:rPr/>
        <w:t>Acas</w:t>
      </w:r>
      <w:r>
        <w:rPr>
          <w:spacing w:val="-13"/>
        </w:rPr>
        <w:t> </w:t>
      </w:r>
      <w:r>
        <w:rPr/>
        <w:t>conciliation</w:t>
      </w:r>
      <w:r>
        <w:rPr>
          <w:spacing w:val="-12"/>
        </w:rPr>
        <w:t> </w:t>
      </w:r>
      <w:r>
        <w:rPr/>
        <w:t>(this</w:t>
      </w:r>
      <w:r>
        <w:rPr>
          <w:spacing w:val="-13"/>
        </w:rPr>
        <w:t> </w:t>
      </w:r>
      <w:r>
        <w:rPr/>
        <w:t>group’s</w:t>
      </w:r>
      <w:r>
        <w:rPr>
          <w:spacing w:val="-13"/>
        </w:rPr>
        <w:t> </w:t>
      </w:r>
      <w:r>
        <w:rPr/>
        <w:t>cases had mostly not settled). This is consistent with the findings from 2016.</w:t>
      </w:r>
    </w:p>
    <w:p>
      <w:pPr>
        <w:pStyle w:val="BodyText"/>
        <w:spacing w:before="4"/>
        <w:rPr>
          <w:sz w:val="21"/>
        </w:rPr>
      </w:pPr>
    </w:p>
    <w:p>
      <w:pPr>
        <w:pStyle w:val="BodyText"/>
        <w:spacing w:line="256" w:lineRule="auto"/>
        <w:ind w:left="1336" w:right="1474"/>
        <w:jc w:val="both"/>
      </w:pPr>
      <w:r>
        <w:rPr/>
        <w:t>Similarly,</w:t>
      </w:r>
      <w:r>
        <w:rPr>
          <w:spacing w:val="-8"/>
        </w:rPr>
        <w:t> </w:t>
      </w:r>
      <w:r>
        <w:rPr/>
        <w:t>nine</w:t>
      </w:r>
      <w:r>
        <w:rPr>
          <w:spacing w:val="-7"/>
        </w:rPr>
        <w:t> </w:t>
      </w:r>
      <w:r>
        <w:rPr/>
        <w:t>in</w:t>
      </w:r>
      <w:r>
        <w:rPr>
          <w:spacing w:val="-7"/>
        </w:rPr>
        <w:t> </w:t>
      </w:r>
      <w:r>
        <w:rPr/>
        <w:t>ten</w:t>
      </w:r>
      <w:r>
        <w:rPr>
          <w:spacing w:val="-9"/>
        </w:rPr>
        <w:t> </w:t>
      </w:r>
      <w:r>
        <w:rPr/>
        <w:t>(88</w:t>
      </w:r>
      <w:r>
        <w:rPr>
          <w:spacing w:val="-8"/>
        </w:rPr>
        <w:t> </w:t>
      </w:r>
      <w:r>
        <w:rPr/>
        <w:t>per</w:t>
      </w:r>
      <w:r>
        <w:rPr>
          <w:spacing w:val="-8"/>
        </w:rPr>
        <w:t> </w:t>
      </w:r>
      <w:r>
        <w:rPr/>
        <w:t>cent)</w:t>
      </w:r>
      <w:r>
        <w:rPr>
          <w:spacing w:val="-9"/>
        </w:rPr>
        <w:t> </w:t>
      </w:r>
      <w:r>
        <w:rPr/>
        <w:t>employer-side</w:t>
      </w:r>
      <w:r>
        <w:rPr>
          <w:spacing w:val="-8"/>
        </w:rPr>
        <w:t> </w:t>
      </w:r>
      <w:r>
        <w:rPr/>
        <w:t>participants</w:t>
      </w:r>
      <w:r>
        <w:rPr>
          <w:spacing w:val="-9"/>
        </w:rPr>
        <w:t> </w:t>
      </w:r>
      <w:r>
        <w:rPr/>
        <w:t>said</w:t>
      </w:r>
      <w:r>
        <w:rPr>
          <w:spacing w:val="-8"/>
        </w:rPr>
        <w:t> </w:t>
      </w:r>
      <w:r>
        <w:rPr/>
        <w:t>that</w:t>
      </w:r>
      <w:r>
        <w:rPr>
          <w:spacing w:val="-8"/>
        </w:rPr>
        <w:t> </w:t>
      </w:r>
      <w:r>
        <w:rPr/>
        <w:t>they</w:t>
      </w:r>
      <w:r>
        <w:rPr>
          <w:spacing w:val="-9"/>
        </w:rPr>
        <w:t> </w:t>
      </w:r>
      <w:r>
        <w:rPr/>
        <w:t>would make use of Acas conciliation if they were involved in a similar</w:t>
      </w:r>
      <w:r>
        <w:rPr>
          <w:spacing w:val="-2"/>
        </w:rPr>
        <w:t> </w:t>
      </w:r>
      <w:r>
        <w:rPr/>
        <w:t>situation in the future: 63 per cent said they ‘definitely’ would do so and 24 per cent judged that they ‘probably’ would.</w:t>
      </w:r>
      <w:r>
        <w:rPr>
          <w:spacing w:val="40"/>
        </w:rPr>
        <w:t> </w:t>
      </w:r>
      <w:r>
        <w:rPr/>
        <w:t>Just nine per cent of employers said they would not make use of conciliation again, in line with the findings from 2016. (Again, those not settling their dispute were less likely to envisage using conciliation in the future).</w:t>
      </w:r>
    </w:p>
    <w:p>
      <w:pPr>
        <w:pStyle w:val="BodyText"/>
        <w:spacing w:before="3"/>
        <w:rPr>
          <w:sz w:val="21"/>
        </w:rPr>
      </w:pPr>
    </w:p>
    <w:p>
      <w:pPr>
        <w:pStyle w:val="BodyText"/>
        <w:spacing w:line="256" w:lineRule="auto"/>
        <w:ind w:left="1336" w:right="1473"/>
        <w:jc w:val="both"/>
      </w:pPr>
      <w:r>
        <w:rPr/>
        <w:t>On</w:t>
      </w:r>
      <w:r>
        <w:rPr>
          <w:spacing w:val="-3"/>
        </w:rPr>
        <w:t> </w:t>
      </w:r>
      <w:r>
        <w:rPr/>
        <w:t>both</w:t>
      </w:r>
      <w:r>
        <w:rPr>
          <w:spacing w:val="-4"/>
        </w:rPr>
        <w:t> </w:t>
      </w:r>
      <w:r>
        <w:rPr/>
        <w:t>sides,</w:t>
      </w:r>
      <w:r>
        <w:rPr>
          <w:spacing w:val="-3"/>
        </w:rPr>
        <w:t> </w:t>
      </w:r>
      <w:r>
        <w:rPr/>
        <w:t>representatives</w:t>
      </w:r>
      <w:r>
        <w:rPr>
          <w:spacing w:val="-4"/>
        </w:rPr>
        <w:t> </w:t>
      </w:r>
      <w:r>
        <w:rPr/>
        <w:t>were</w:t>
      </w:r>
      <w:r>
        <w:rPr>
          <w:spacing w:val="-3"/>
        </w:rPr>
        <w:t> </w:t>
      </w:r>
      <w:r>
        <w:rPr/>
        <w:t>even</w:t>
      </w:r>
      <w:r>
        <w:rPr>
          <w:spacing w:val="-3"/>
        </w:rPr>
        <w:t> </w:t>
      </w:r>
      <w:r>
        <w:rPr/>
        <w:t>more</w:t>
      </w:r>
      <w:r>
        <w:rPr>
          <w:spacing w:val="-3"/>
        </w:rPr>
        <w:t> </w:t>
      </w:r>
      <w:r>
        <w:rPr/>
        <w:t>likely</w:t>
      </w:r>
      <w:r>
        <w:rPr>
          <w:spacing w:val="-3"/>
        </w:rPr>
        <w:t> </w:t>
      </w:r>
      <w:r>
        <w:rPr/>
        <w:t>than</w:t>
      </w:r>
      <w:r>
        <w:rPr>
          <w:spacing w:val="-3"/>
        </w:rPr>
        <w:t> </w:t>
      </w:r>
      <w:r>
        <w:rPr/>
        <w:t>claimants</w:t>
      </w:r>
      <w:r>
        <w:rPr>
          <w:spacing w:val="-4"/>
        </w:rPr>
        <w:t> </w:t>
      </w:r>
      <w:r>
        <w:rPr/>
        <w:t>or</w:t>
      </w:r>
      <w:r>
        <w:rPr>
          <w:spacing w:val="-3"/>
        </w:rPr>
        <w:t> </w:t>
      </w:r>
      <w:r>
        <w:rPr/>
        <w:t>employers to anticipate making future use of Acas conciliation. This is consistent with the findings from 2016 and augurs well for the service given that representatives are most</w:t>
      </w:r>
      <w:r>
        <w:rPr>
          <w:spacing w:val="-7"/>
        </w:rPr>
        <w:t> </w:t>
      </w:r>
      <w:r>
        <w:rPr/>
        <w:t>likely</w:t>
      </w:r>
      <w:r>
        <w:rPr>
          <w:spacing w:val="-7"/>
        </w:rPr>
        <w:t> </w:t>
      </w:r>
      <w:r>
        <w:rPr/>
        <w:t>to</w:t>
      </w:r>
      <w:r>
        <w:rPr>
          <w:spacing w:val="-7"/>
        </w:rPr>
        <w:t> </w:t>
      </w:r>
      <w:r>
        <w:rPr/>
        <w:t>find</w:t>
      </w:r>
      <w:r>
        <w:rPr>
          <w:spacing w:val="-8"/>
        </w:rPr>
        <w:t> </w:t>
      </w:r>
      <w:r>
        <w:rPr/>
        <w:t>themselves</w:t>
      </w:r>
      <w:r>
        <w:rPr>
          <w:spacing w:val="-7"/>
        </w:rPr>
        <w:t> </w:t>
      </w:r>
      <w:r>
        <w:rPr/>
        <w:t>‘in</w:t>
      </w:r>
      <w:r>
        <w:rPr>
          <w:spacing w:val="-7"/>
        </w:rPr>
        <w:t> </w:t>
      </w:r>
      <w:r>
        <w:rPr/>
        <w:t>a</w:t>
      </w:r>
      <w:r>
        <w:rPr>
          <w:spacing w:val="-7"/>
        </w:rPr>
        <w:t> </w:t>
      </w:r>
      <w:r>
        <w:rPr/>
        <w:t>similar</w:t>
      </w:r>
      <w:r>
        <w:rPr>
          <w:spacing w:val="-3"/>
        </w:rPr>
        <w:t> </w:t>
      </w:r>
      <w:r>
        <w:rPr/>
        <w:t>situation</w:t>
      </w:r>
      <w:r>
        <w:rPr>
          <w:spacing w:val="-6"/>
        </w:rPr>
        <w:t> </w:t>
      </w:r>
      <w:r>
        <w:rPr/>
        <w:t>in</w:t>
      </w:r>
      <w:r>
        <w:rPr>
          <w:spacing w:val="-6"/>
        </w:rPr>
        <w:t> </w:t>
      </w:r>
      <w:r>
        <w:rPr/>
        <w:t>the</w:t>
      </w:r>
      <w:r>
        <w:rPr>
          <w:spacing w:val="-9"/>
        </w:rPr>
        <w:t> </w:t>
      </w:r>
      <w:r>
        <w:rPr/>
        <w:t>future’,</w:t>
      </w:r>
      <w:r>
        <w:rPr>
          <w:spacing w:val="-7"/>
        </w:rPr>
        <w:t> </w:t>
      </w:r>
      <w:r>
        <w:rPr/>
        <w:t>given</w:t>
      </w:r>
      <w:r>
        <w:rPr>
          <w:spacing w:val="-6"/>
        </w:rPr>
        <w:t> </w:t>
      </w:r>
      <w:r>
        <w:rPr/>
        <w:t>the</w:t>
      </w:r>
      <w:r>
        <w:rPr>
          <w:spacing w:val="-7"/>
        </w:rPr>
        <w:t> </w:t>
      </w:r>
      <w:r>
        <w:rPr/>
        <w:t>nature of their role:</w:t>
      </w:r>
    </w:p>
    <w:p>
      <w:pPr>
        <w:pStyle w:val="BodyText"/>
        <w:spacing w:before="4"/>
        <w:rPr>
          <w:sz w:val="21"/>
        </w:rPr>
      </w:pPr>
    </w:p>
    <w:p>
      <w:pPr>
        <w:pStyle w:val="ListParagraph"/>
        <w:numPr>
          <w:ilvl w:val="0"/>
          <w:numId w:val="51"/>
        </w:numPr>
        <w:tabs>
          <w:tab w:pos="2057" w:val="left" w:leader="none"/>
        </w:tabs>
        <w:spacing w:line="256" w:lineRule="auto" w:before="0" w:after="0"/>
        <w:ind w:left="2056" w:right="1474" w:hanging="360"/>
        <w:jc w:val="both"/>
        <w:rPr>
          <w:sz w:val="20"/>
        </w:rPr>
      </w:pPr>
      <w:r>
        <w:rPr>
          <w:sz w:val="20"/>
        </w:rPr>
        <w:t>98 per cent of claimant representatives (80 per cent ‘definitely’ and 17 per cent</w:t>
      </w:r>
      <w:r>
        <w:rPr>
          <w:spacing w:val="-6"/>
          <w:sz w:val="20"/>
        </w:rPr>
        <w:t> </w:t>
      </w:r>
      <w:r>
        <w:rPr>
          <w:sz w:val="20"/>
        </w:rPr>
        <w:t>‘probably’</w:t>
      </w:r>
      <w:r>
        <w:rPr>
          <w:spacing w:val="-6"/>
          <w:sz w:val="20"/>
        </w:rPr>
        <w:t> </w:t>
      </w:r>
      <w:r>
        <w:rPr>
          <w:sz w:val="20"/>
        </w:rPr>
        <w:t>would)</w:t>
      </w:r>
      <w:r>
        <w:rPr>
          <w:spacing w:val="-8"/>
          <w:sz w:val="20"/>
        </w:rPr>
        <w:t> </w:t>
      </w:r>
      <w:r>
        <w:rPr>
          <w:sz w:val="20"/>
        </w:rPr>
        <w:t>compared</w:t>
      </w:r>
      <w:r>
        <w:rPr>
          <w:spacing w:val="-7"/>
          <w:sz w:val="20"/>
        </w:rPr>
        <w:t> </w:t>
      </w:r>
      <w:r>
        <w:rPr>
          <w:sz w:val="20"/>
        </w:rPr>
        <w:t>with</w:t>
      </w:r>
      <w:r>
        <w:rPr>
          <w:spacing w:val="-6"/>
          <w:sz w:val="20"/>
        </w:rPr>
        <w:t> </w:t>
      </w:r>
      <w:r>
        <w:rPr>
          <w:sz w:val="20"/>
        </w:rPr>
        <w:t>78</w:t>
      </w:r>
      <w:r>
        <w:rPr>
          <w:spacing w:val="-7"/>
          <w:sz w:val="20"/>
        </w:rPr>
        <w:t> </w:t>
      </w:r>
      <w:r>
        <w:rPr>
          <w:sz w:val="20"/>
        </w:rPr>
        <w:t>per</w:t>
      </w:r>
      <w:r>
        <w:rPr>
          <w:spacing w:val="-7"/>
          <w:sz w:val="20"/>
        </w:rPr>
        <w:t> </w:t>
      </w:r>
      <w:r>
        <w:rPr>
          <w:sz w:val="20"/>
        </w:rPr>
        <w:t>cent</w:t>
      </w:r>
      <w:r>
        <w:rPr>
          <w:spacing w:val="-6"/>
          <w:sz w:val="20"/>
        </w:rPr>
        <w:t> </w:t>
      </w:r>
      <w:r>
        <w:rPr>
          <w:sz w:val="20"/>
        </w:rPr>
        <w:t>of</w:t>
      </w:r>
      <w:r>
        <w:rPr>
          <w:spacing w:val="-6"/>
          <w:sz w:val="20"/>
        </w:rPr>
        <w:t> </w:t>
      </w:r>
      <w:r>
        <w:rPr>
          <w:sz w:val="20"/>
        </w:rPr>
        <w:t>claimants</w:t>
      </w:r>
      <w:r>
        <w:rPr>
          <w:spacing w:val="-7"/>
          <w:sz w:val="20"/>
        </w:rPr>
        <w:t> </w:t>
      </w:r>
      <w:r>
        <w:rPr>
          <w:sz w:val="20"/>
        </w:rPr>
        <w:t>(of</w:t>
      </w:r>
      <w:r>
        <w:rPr>
          <w:spacing w:val="-7"/>
          <w:sz w:val="20"/>
        </w:rPr>
        <w:t> </w:t>
      </w:r>
      <w:r>
        <w:rPr>
          <w:sz w:val="20"/>
        </w:rPr>
        <w:t>which</w:t>
      </w:r>
      <w:r>
        <w:rPr>
          <w:spacing w:val="-6"/>
          <w:sz w:val="20"/>
        </w:rPr>
        <w:t> </w:t>
      </w:r>
      <w:r>
        <w:rPr>
          <w:sz w:val="20"/>
        </w:rPr>
        <w:t>61 per cent ‘definitely’ would and 17 per cent ‘probably’ would);</w:t>
      </w:r>
    </w:p>
    <w:p>
      <w:pPr>
        <w:spacing w:after="0" w:line="256" w:lineRule="auto"/>
        <w:jc w:val="both"/>
        <w:rPr>
          <w:sz w:val="20"/>
        </w:rPr>
        <w:sectPr>
          <w:pgSz w:w="11910" w:h="16840"/>
          <w:pgMar w:header="0" w:footer="996" w:top="1340" w:bottom="1180" w:left="460" w:right="320"/>
        </w:sectPr>
      </w:pPr>
    </w:p>
    <w:p>
      <w:pPr>
        <w:pStyle w:val="ListParagraph"/>
        <w:numPr>
          <w:ilvl w:val="0"/>
          <w:numId w:val="51"/>
        </w:numPr>
        <w:tabs>
          <w:tab w:pos="2058" w:val="left" w:leader="none"/>
        </w:tabs>
        <w:spacing w:line="254" w:lineRule="auto" w:before="79" w:after="0"/>
        <w:ind w:left="2057" w:right="1474" w:hanging="360"/>
        <w:jc w:val="both"/>
        <w:rPr>
          <w:sz w:val="20"/>
        </w:rPr>
      </w:pPr>
      <w:r>
        <w:rPr>
          <w:sz w:val="20"/>
        </w:rPr>
        <w:t>96</w:t>
      </w:r>
      <w:r>
        <w:rPr>
          <w:spacing w:val="-7"/>
          <w:sz w:val="20"/>
        </w:rPr>
        <w:t> </w:t>
      </w:r>
      <w:r>
        <w:rPr>
          <w:sz w:val="20"/>
        </w:rPr>
        <w:t>per</w:t>
      </w:r>
      <w:r>
        <w:rPr>
          <w:spacing w:val="-7"/>
          <w:sz w:val="20"/>
        </w:rPr>
        <w:t> </w:t>
      </w:r>
      <w:r>
        <w:rPr>
          <w:sz w:val="20"/>
        </w:rPr>
        <w:t>cent</w:t>
      </w:r>
      <w:r>
        <w:rPr>
          <w:spacing w:val="-8"/>
          <w:sz w:val="20"/>
        </w:rPr>
        <w:t> </w:t>
      </w:r>
      <w:r>
        <w:rPr>
          <w:sz w:val="20"/>
        </w:rPr>
        <w:t>of</w:t>
      </w:r>
      <w:r>
        <w:rPr>
          <w:spacing w:val="-6"/>
          <w:sz w:val="20"/>
        </w:rPr>
        <w:t> </w:t>
      </w:r>
      <w:r>
        <w:rPr>
          <w:sz w:val="20"/>
        </w:rPr>
        <w:t>employer</w:t>
      </w:r>
      <w:r>
        <w:rPr>
          <w:spacing w:val="-6"/>
          <w:sz w:val="20"/>
        </w:rPr>
        <w:t> </w:t>
      </w:r>
      <w:r>
        <w:rPr>
          <w:sz w:val="20"/>
        </w:rPr>
        <w:t>representatives</w:t>
      </w:r>
      <w:r>
        <w:rPr>
          <w:spacing w:val="-7"/>
          <w:sz w:val="20"/>
        </w:rPr>
        <w:t> </w:t>
      </w:r>
      <w:r>
        <w:rPr>
          <w:sz w:val="20"/>
        </w:rPr>
        <w:t>(74</w:t>
      </w:r>
      <w:r>
        <w:rPr>
          <w:spacing w:val="-7"/>
          <w:sz w:val="20"/>
        </w:rPr>
        <w:t> </w:t>
      </w:r>
      <w:r>
        <w:rPr>
          <w:sz w:val="20"/>
        </w:rPr>
        <w:t>per</w:t>
      </w:r>
      <w:r>
        <w:rPr>
          <w:spacing w:val="-7"/>
          <w:sz w:val="20"/>
        </w:rPr>
        <w:t> </w:t>
      </w:r>
      <w:r>
        <w:rPr>
          <w:sz w:val="20"/>
        </w:rPr>
        <w:t>cent</w:t>
      </w:r>
      <w:r>
        <w:rPr>
          <w:spacing w:val="-6"/>
          <w:sz w:val="20"/>
        </w:rPr>
        <w:t> </w:t>
      </w:r>
      <w:r>
        <w:rPr>
          <w:sz w:val="20"/>
        </w:rPr>
        <w:t>‘definitely’</w:t>
      </w:r>
      <w:r>
        <w:rPr>
          <w:spacing w:val="-7"/>
          <w:sz w:val="20"/>
        </w:rPr>
        <w:t> </w:t>
      </w:r>
      <w:r>
        <w:rPr>
          <w:sz w:val="20"/>
        </w:rPr>
        <w:t>and</w:t>
      </w:r>
      <w:r>
        <w:rPr>
          <w:spacing w:val="-7"/>
          <w:sz w:val="20"/>
        </w:rPr>
        <w:t> </w:t>
      </w:r>
      <w:r>
        <w:rPr>
          <w:sz w:val="20"/>
        </w:rPr>
        <w:t>22</w:t>
      </w:r>
      <w:r>
        <w:rPr>
          <w:spacing w:val="-7"/>
          <w:sz w:val="20"/>
        </w:rPr>
        <w:t> </w:t>
      </w:r>
      <w:r>
        <w:rPr>
          <w:sz w:val="20"/>
        </w:rPr>
        <w:t>per cent ‘probably’ would) compared with 75 per cent of employers (of which 47 per cent ‘definitely’ would and 28 per cent ‘probably’ would).</w:t>
      </w:r>
    </w:p>
    <w:p>
      <w:pPr>
        <w:pStyle w:val="BodyText"/>
        <w:rPr>
          <w:sz w:val="24"/>
        </w:rPr>
      </w:pPr>
    </w:p>
    <w:p>
      <w:pPr>
        <w:pStyle w:val="BodyText"/>
        <w:rPr>
          <w:sz w:val="24"/>
        </w:rPr>
      </w:pPr>
    </w:p>
    <w:p>
      <w:pPr>
        <w:pStyle w:val="Heading3"/>
        <w:spacing w:before="184"/>
        <w:ind w:right="1475"/>
      </w:pPr>
      <w:r>
        <w:rPr/>
        <w:t>Figure 40. Whether participants would make use of conciliation services from Acas if they were involved in a similar situation in future</w:t>
      </w:r>
    </w:p>
    <w:p>
      <w:pPr>
        <w:pStyle w:val="BodyText"/>
        <w:spacing w:before="11"/>
        <w:rPr>
          <w:b/>
          <w:sz w:val="29"/>
        </w:rPr>
      </w:pPr>
      <w:r>
        <w:rPr/>
        <w:drawing>
          <wp:anchor distT="0" distB="0" distL="0" distR="0" allowOverlap="1" layoutInCell="1" locked="0" behindDoc="0" simplePos="0" relativeHeight="141">
            <wp:simplePos x="0" y="0"/>
            <wp:positionH relativeFrom="page">
              <wp:posOffset>1254404</wp:posOffset>
            </wp:positionH>
            <wp:positionV relativeFrom="paragraph">
              <wp:posOffset>246178</wp:posOffset>
            </wp:positionV>
            <wp:extent cx="5141468" cy="2443162"/>
            <wp:effectExtent l="0" t="0" r="0" b="0"/>
            <wp:wrapTopAndBottom/>
            <wp:docPr id="99" name="image50.png" descr="Graph showing whether participants would make use of conciliation services from Acas if they were involved in a similar situation in future "/>
            <wp:cNvGraphicFramePr>
              <a:graphicFrameLocks noChangeAspect="1"/>
            </wp:cNvGraphicFramePr>
            <a:graphic>
              <a:graphicData uri="http://schemas.openxmlformats.org/drawingml/2006/picture">
                <pic:pic>
                  <pic:nvPicPr>
                    <pic:cNvPr id="100" name="image50.png"/>
                    <pic:cNvPicPr/>
                  </pic:nvPicPr>
                  <pic:blipFill>
                    <a:blip r:embed="rId63" cstate="print"/>
                    <a:stretch>
                      <a:fillRect/>
                    </a:stretch>
                  </pic:blipFill>
                  <pic:spPr>
                    <a:xfrm>
                      <a:off x="0" y="0"/>
                      <a:ext cx="5141468" cy="2443162"/>
                    </a:xfrm>
                    <a:prstGeom prst="rect">
                      <a:avLst/>
                    </a:prstGeom>
                  </pic:spPr>
                </pic:pic>
              </a:graphicData>
            </a:graphic>
          </wp:anchor>
        </w:drawing>
      </w:r>
    </w:p>
    <w:p>
      <w:pPr>
        <w:pStyle w:val="BodyText"/>
        <w:rPr>
          <w:b/>
          <w:sz w:val="24"/>
        </w:rPr>
      </w:pPr>
    </w:p>
    <w:p>
      <w:pPr>
        <w:pStyle w:val="BodyText"/>
        <w:spacing w:line="256" w:lineRule="auto" w:before="150"/>
        <w:ind w:left="1336" w:right="1475"/>
        <w:jc w:val="both"/>
      </w:pPr>
      <w:r>
        <w:rPr/>
        <w:t>Elsewhere,</w:t>
      </w:r>
      <w:r>
        <w:rPr>
          <w:spacing w:val="-18"/>
        </w:rPr>
        <w:t> </w:t>
      </w:r>
      <w:r>
        <w:rPr/>
        <w:t>participants</w:t>
      </w:r>
      <w:r>
        <w:rPr>
          <w:spacing w:val="-18"/>
        </w:rPr>
        <w:t> </w:t>
      </w:r>
      <w:r>
        <w:rPr/>
        <w:t>who</w:t>
      </w:r>
      <w:r>
        <w:rPr>
          <w:spacing w:val="-17"/>
        </w:rPr>
        <w:t> </w:t>
      </w:r>
      <w:r>
        <w:rPr/>
        <w:t>took</w:t>
      </w:r>
      <w:r>
        <w:rPr>
          <w:spacing w:val="-18"/>
        </w:rPr>
        <w:t> </w:t>
      </w:r>
      <w:r>
        <w:rPr/>
        <w:t>part</w:t>
      </w:r>
      <w:r>
        <w:rPr>
          <w:spacing w:val="-17"/>
        </w:rPr>
        <w:t> </w:t>
      </w:r>
      <w:r>
        <w:rPr/>
        <w:t>in</w:t>
      </w:r>
      <w:r>
        <w:rPr>
          <w:spacing w:val="-18"/>
        </w:rPr>
        <w:t> </w:t>
      </w:r>
      <w:r>
        <w:rPr/>
        <w:t>post-ET1</w:t>
      </w:r>
      <w:r>
        <w:rPr>
          <w:spacing w:val="-18"/>
        </w:rPr>
        <w:t> </w:t>
      </w:r>
      <w:r>
        <w:rPr/>
        <w:t>conciliation</w:t>
      </w:r>
      <w:r>
        <w:rPr>
          <w:spacing w:val="-17"/>
        </w:rPr>
        <w:t> </w:t>
      </w:r>
      <w:r>
        <w:rPr/>
        <w:t>were</w:t>
      </w:r>
      <w:r>
        <w:rPr>
          <w:spacing w:val="-18"/>
        </w:rPr>
        <w:t> </w:t>
      </w:r>
      <w:r>
        <w:rPr/>
        <w:t>more</w:t>
      </w:r>
      <w:r>
        <w:rPr>
          <w:spacing w:val="-17"/>
        </w:rPr>
        <w:t> </w:t>
      </w:r>
      <w:r>
        <w:rPr/>
        <w:t>likely</w:t>
      </w:r>
      <w:r>
        <w:rPr>
          <w:spacing w:val="-18"/>
        </w:rPr>
        <w:t> </w:t>
      </w:r>
      <w:r>
        <w:rPr/>
        <w:t>than non-users</w:t>
      </w:r>
      <w:r>
        <w:rPr>
          <w:spacing w:val="-1"/>
        </w:rPr>
        <w:t> </w:t>
      </w:r>
      <w:r>
        <w:rPr/>
        <w:t>to envisage</w:t>
      </w:r>
      <w:r>
        <w:rPr>
          <w:spacing w:val="-1"/>
        </w:rPr>
        <w:t> </w:t>
      </w:r>
      <w:r>
        <w:rPr/>
        <w:t>that</w:t>
      </w:r>
      <w:r>
        <w:rPr>
          <w:spacing w:val="-1"/>
        </w:rPr>
        <w:t> </w:t>
      </w:r>
      <w:r>
        <w:rPr/>
        <w:t>they would make</w:t>
      </w:r>
      <w:r>
        <w:rPr>
          <w:spacing w:val="-1"/>
        </w:rPr>
        <w:t> </w:t>
      </w:r>
      <w:r>
        <w:rPr/>
        <w:t>use of Acas</w:t>
      </w:r>
      <w:r>
        <w:rPr>
          <w:spacing w:val="-1"/>
        </w:rPr>
        <w:t> </w:t>
      </w:r>
      <w:r>
        <w:rPr/>
        <w:t>conciliation if involved in a</w:t>
      </w:r>
      <w:r>
        <w:rPr>
          <w:spacing w:val="-8"/>
        </w:rPr>
        <w:t> </w:t>
      </w:r>
      <w:r>
        <w:rPr/>
        <w:t>similar</w:t>
      </w:r>
      <w:r>
        <w:rPr>
          <w:spacing w:val="-6"/>
        </w:rPr>
        <w:t> </w:t>
      </w:r>
      <w:r>
        <w:rPr/>
        <w:t>situation</w:t>
      </w:r>
      <w:r>
        <w:rPr>
          <w:spacing w:val="-6"/>
        </w:rPr>
        <w:t> </w:t>
      </w:r>
      <w:r>
        <w:rPr/>
        <w:t>in</w:t>
      </w:r>
      <w:r>
        <w:rPr>
          <w:spacing w:val="-5"/>
        </w:rPr>
        <w:t> </w:t>
      </w:r>
      <w:r>
        <w:rPr/>
        <w:t>the</w:t>
      </w:r>
      <w:r>
        <w:rPr>
          <w:spacing w:val="-6"/>
        </w:rPr>
        <w:t> </w:t>
      </w:r>
      <w:r>
        <w:rPr/>
        <w:t>future,</w:t>
      </w:r>
      <w:r>
        <w:rPr>
          <w:spacing w:val="-5"/>
        </w:rPr>
        <w:t> </w:t>
      </w:r>
      <w:r>
        <w:rPr/>
        <w:t>although</w:t>
      </w:r>
      <w:r>
        <w:rPr>
          <w:spacing w:val="-5"/>
        </w:rPr>
        <w:t> </w:t>
      </w:r>
      <w:r>
        <w:rPr/>
        <w:t>agreement</w:t>
      </w:r>
      <w:r>
        <w:rPr>
          <w:spacing w:val="-5"/>
        </w:rPr>
        <w:t> </w:t>
      </w:r>
      <w:r>
        <w:rPr/>
        <w:t>was</w:t>
      </w:r>
      <w:r>
        <w:rPr>
          <w:spacing w:val="-8"/>
        </w:rPr>
        <w:t> </w:t>
      </w:r>
      <w:r>
        <w:rPr/>
        <w:t>high</w:t>
      </w:r>
      <w:r>
        <w:rPr>
          <w:spacing w:val="-5"/>
        </w:rPr>
        <w:t> </w:t>
      </w:r>
      <w:r>
        <w:rPr/>
        <w:t>across</w:t>
      </w:r>
      <w:r>
        <w:rPr>
          <w:spacing w:val="-7"/>
        </w:rPr>
        <w:t> </w:t>
      </w:r>
      <w:r>
        <w:rPr/>
        <w:t>both</w:t>
      </w:r>
      <w:r>
        <w:rPr>
          <w:spacing w:val="-4"/>
        </w:rPr>
        <w:t> </w:t>
      </w:r>
      <w:r>
        <w:rPr>
          <w:spacing w:val="-2"/>
        </w:rPr>
        <w:t>groups:</w:t>
      </w:r>
    </w:p>
    <w:p>
      <w:pPr>
        <w:pStyle w:val="BodyText"/>
        <w:spacing w:before="4"/>
        <w:rPr>
          <w:sz w:val="21"/>
        </w:rPr>
      </w:pPr>
    </w:p>
    <w:p>
      <w:pPr>
        <w:pStyle w:val="ListParagraph"/>
        <w:numPr>
          <w:ilvl w:val="0"/>
          <w:numId w:val="51"/>
        </w:numPr>
        <w:tabs>
          <w:tab w:pos="2128" w:val="left" w:leader="none"/>
        </w:tabs>
        <w:spacing w:line="254" w:lineRule="auto" w:before="1" w:after="0"/>
        <w:ind w:left="2127" w:right="1477" w:hanging="361"/>
        <w:jc w:val="both"/>
        <w:rPr>
          <w:sz w:val="20"/>
        </w:rPr>
      </w:pPr>
      <w:r>
        <w:rPr>
          <w:sz w:val="20"/>
        </w:rPr>
        <w:t>90 per cent of claimants who took part in post-ET1 conciliation compared with 81 per cent of claimants who did not;</w:t>
      </w:r>
    </w:p>
    <w:p>
      <w:pPr>
        <w:pStyle w:val="ListParagraph"/>
        <w:numPr>
          <w:ilvl w:val="0"/>
          <w:numId w:val="51"/>
        </w:numPr>
        <w:tabs>
          <w:tab w:pos="2128" w:val="left" w:leader="none"/>
        </w:tabs>
        <w:spacing w:line="254" w:lineRule="auto" w:before="2" w:after="0"/>
        <w:ind w:left="2127" w:right="1478" w:hanging="360"/>
        <w:jc w:val="both"/>
        <w:rPr>
          <w:sz w:val="20"/>
        </w:rPr>
      </w:pPr>
      <w:r>
        <w:rPr>
          <w:sz w:val="20"/>
        </w:rPr>
        <w:t>94 per cent of employers who took part compared with 80 per cent of employers who did not.</w:t>
      </w:r>
    </w:p>
    <w:p>
      <w:pPr>
        <w:pStyle w:val="BodyText"/>
        <w:spacing w:before="2"/>
      </w:pPr>
    </w:p>
    <w:p>
      <w:pPr>
        <w:pStyle w:val="BodyText"/>
        <w:spacing w:line="259" w:lineRule="auto"/>
        <w:ind w:left="1336" w:right="1474"/>
        <w:jc w:val="both"/>
      </w:pPr>
      <w:r>
        <w:rPr/>
        <w:t>Those involved in cases that reached a settlement were also more likely to anticipate</w:t>
      </w:r>
      <w:r>
        <w:rPr>
          <w:spacing w:val="-4"/>
        </w:rPr>
        <w:t> </w:t>
      </w:r>
      <w:r>
        <w:rPr/>
        <w:t>using</w:t>
      </w:r>
      <w:r>
        <w:rPr>
          <w:spacing w:val="-3"/>
        </w:rPr>
        <w:t> </w:t>
      </w:r>
      <w:r>
        <w:rPr/>
        <w:t>conciliation</w:t>
      </w:r>
      <w:r>
        <w:rPr>
          <w:spacing w:val="-3"/>
        </w:rPr>
        <w:t> </w:t>
      </w:r>
      <w:r>
        <w:rPr/>
        <w:t>services</w:t>
      </w:r>
      <w:r>
        <w:rPr>
          <w:spacing w:val="-3"/>
        </w:rPr>
        <w:t> </w:t>
      </w:r>
      <w:r>
        <w:rPr/>
        <w:t>from</w:t>
      </w:r>
      <w:r>
        <w:rPr>
          <w:spacing w:val="-4"/>
        </w:rPr>
        <w:t> </w:t>
      </w:r>
      <w:r>
        <w:rPr/>
        <w:t>Acas</w:t>
      </w:r>
      <w:r>
        <w:rPr>
          <w:spacing w:val="-4"/>
        </w:rPr>
        <w:t> </w:t>
      </w:r>
      <w:r>
        <w:rPr/>
        <w:t>again</w:t>
      </w:r>
      <w:r>
        <w:rPr>
          <w:spacing w:val="-3"/>
        </w:rPr>
        <w:t> </w:t>
      </w:r>
      <w:r>
        <w:rPr/>
        <w:t>in</w:t>
      </w:r>
      <w:r>
        <w:rPr>
          <w:spacing w:val="-3"/>
        </w:rPr>
        <w:t> </w:t>
      </w:r>
      <w:r>
        <w:rPr/>
        <w:t>the</w:t>
      </w:r>
      <w:r>
        <w:rPr>
          <w:spacing w:val="-4"/>
        </w:rPr>
        <w:t> </w:t>
      </w:r>
      <w:r>
        <w:rPr/>
        <w:t>future,</w:t>
      </w:r>
      <w:r>
        <w:rPr>
          <w:spacing w:val="-3"/>
        </w:rPr>
        <w:t> </w:t>
      </w:r>
      <w:r>
        <w:rPr/>
        <w:t>compared</w:t>
      </w:r>
      <w:r>
        <w:rPr>
          <w:spacing w:val="-3"/>
        </w:rPr>
        <w:t> </w:t>
      </w:r>
      <w:r>
        <w:rPr/>
        <w:t>with those who were party to cases that did not settle:</w:t>
      </w:r>
    </w:p>
    <w:p>
      <w:pPr>
        <w:pStyle w:val="ListParagraph"/>
        <w:numPr>
          <w:ilvl w:val="0"/>
          <w:numId w:val="51"/>
        </w:numPr>
        <w:tabs>
          <w:tab w:pos="2057" w:val="left" w:leader="none"/>
        </w:tabs>
        <w:spacing w:line="256" w:lineRule="auto" w:before="161" w:after="0"/>
        <w:ind w:left="2056" w:right="1476" w:hanging="360"/>
        <w:jc w:val="both"/>
        <w:rPr>
          <w:sz w:val="20"/>
        </w:rPr>
      </w:pPr>
      <w:r>
        <w:rPr>
          <w:sz w:val="20"/>
        </w:rPr>
        <w:t>94 per cent of claimant-side participants who reached a settlement compared with 76 per cent of those who did not;</w:t>
      </w:r>
    </w:p>
    <w:p>
      <w:pPr>
        <w:pStyle w:val="ListParagraph"/>
        <w:numPr>
          <w:ilvl w:val="0"/>
          <w:numId w:val="51"/>
        </w:numPr>
        <w:tabs>
          <w:tab w:pos="2057" w:val="left" w:leader="none"/>
        </w:tabs>
        <w:spacing w:line="256" w:lineRule="auto" w:before="2" w:after="0"/>
        <w:ind w:left="2056" w:right="1476" w:hanging="360"/>
        <w:jc w:val="both"/>
        <w:rPr>
          <w:sz w:val="20"/>
        </w:rPr>
      </w:pPr>
      <w:r>
        <w:rPr>
          <w:sz w:val="20"/>
        </w:rPr>
        <w:t>93 per cent of employer-side participants who reached a settlement compared with 79 per cent of those who did not.</w:t>
      </w:r>
    </w:p>
    <w:p>
      <w:pPr>
        <w:pStyle w:val="BodyText"/>
        <w:spacing w:line="259" w:lineRule="auto" w:before="161"/>
        <w:ind w:left="1336" w:right="1473"/>
        <w:jc w:val="both"/>
      </w:pPr>
      <w:r>
        <w:rPr/>
        <w:t>In line with the findings from 2016, this implies that participants who have a positive</w:t>
      </w:r>
      <w:r>
        <w:rPr>
          <w:spacing w:val="-1"/>
        </w:rPr>
        <w:t> </w:t>
      </w:r>
      <w:r>
        <w:rPr/>
        <w:t>experience</w:t>
      </w:r>
      <w:r>
        <w:rPr>
          <w:spacing w:val="-1"/>
        </w:rPr>
        <w:t> </w:t>
      </w:r>
      <w:r>
        <w:rPr/>
        <w:t>of the</w:t>
      </w:r>
      <w:r>
        <w:rPr>
          <w:spacing w:val="-1"/>
        </w:rPr>
        <w:t> </w:t>
      </w:r>
      <w:r>
        <w:rPr/>
        <w:t>conciliation process</w:t>
      </w:r>
      <w:r>
        <w:rPr>
          <w:spacing w:val="-3"/>
        </w:rPr>
        <w:t> </w:t>
      </w:r>
      <w:r>
        <w:rPr/>
        <w:t>are</w:t>
      </w:r>
      <w:r>
        <w:rPr>
          <w:spacing w:val="-1"/>
        </w:rPr>
        <w:t> </w:t>
      </w:r>
      <w:r>
        <w:rPr/>
        <w:t>most likely to</w:t>
      </w:r>
      <w:r>
        <w:rPr>
          <w:spacing w:val="-1"/>
        </w:rPr>
        <w:t> </w:t>
      </w:r>
      <w:r>
        <w:rPr/>
        <w:t>make</w:t>
      </w:r>
      <w:r>
        <w:rPr>
          <w:spacing w:val="-2"/>
        </w:rPr>
        <w:t> </w:t>
      </w:r>
      <w:r>
        <w:rPr/>
        <w:t>use</w:t>
      </w:r>
      <w:r>
        <w:rPr>
          <w:spacing w:val="-2"/>
        </w:rPr>
        <w:t> </w:t>
      </w:r>
      <w:r>
        <w:rPr/>
        <w:t>of</w:t>
      </w:r>
      <w:r>
        <w:rPr>
          <w:spacing w:val="-2"/>
        </w:rPr>
        <w:t> </w:t>
      </w:r>
      <w:r>
        <w:rPr/>
        <w:t>Acas again in the future, should the need arise.</w:t>
      </w:r>
    </w:p>
    <w:p>
      <w:pPr>
        <w:pStyle w:val="BodyText"/>
        <w:spacing w:line="259" w:lineRule="auto" w:before="160"/>
        <w:ind w:left="1336" w:right="1474"/>
        <w:jc w:val="both"/>
      </w:pPr>
      <w:r>
        <w:rPr/>
        <w:t>Among</w:t>
      </w:r>
      <w:r>
        <w:rPr>
          <w:spacing w:val="-18"/>
        </w:rPr>
        <w:t> </w:t>
      </w:r>
      <w:r>
        <w:rPr/>
        <w:t>employer-side</w:t>
      </w:r>
      <w:r>
        <w:rPr>
          <w:spacing w:val="-18"/>
        </w:rPr>
        <w:t> </w:t>
      </w:r>
      <w:r>
        <w:rPr/>
        <w:t>participants,</w:t>
      </w:r>
      <w:r>
        <w:rPr>
          <w:spacing w:val="-17"/>
        </w:rPr>
        <w:t> </w:t>
      </w:r>
      <w:r>
        <w:rPr/>
        <w:t>those</w:t>
      </w:r>
      <w:r>
        <w:rPr>
          <w:spacing w:val="-18"/>
        </w:rPr>
        <w:t> </w:t>
      </w:r>
      <w:r>
        <w:rPr/>
        <w:t>who</w:t>
      </w:r>
      <w:r>
        <w:rPr>
          <w:spacing w:val="-17"/>
        </w:rPr>
        <w:t> </w:t>
      </w:r>
      <w:r>
        <w:rPr/>
        <w:t>had</w:t>
      </w:r>
      <w:r>
        <w:rPr>
          <w:spacing w:val="-18"/>
        </w:rPr>
        <w:t> </w:t>
      </w:r>
      <w:r>
        <w:rPr/>
        <w:t>previously</w:t>
      </w:r>
      <w:r>
        <w:rPr>
          <w:spacing w:val="-18"/>
        </w:rPr>
        <w:t> </w:t>
      </w:r>
      <w:r>
        <w:rPr/>
        <w:t>had</w:t>
      </w:r>
      <w:r>
        <w:rPr>
          <w:spacing w:val="-17"/>
        </w:rPr>
        <w:t> </w:t>
      </w:r>
      <w:r>
        <w:rPr/>
        <w:t>an</w:t>
      </w:r>
      <w:r>
        <w:rPr>
          <w:spacing w:val="-18"/>
        </w:rPr>
        <w:t> </w:t>
      </w:r>
      <w:r>
        <w:rPr/>
        <w:t>ET</w:t>
      </w:r>
      <w:r>
        <w:rPr>
          <w:spacing w:val="-17"/>
        </w:rPr>
        <w:t> </w:t>
      </w:r>
      <w:r>
        <w:rPr/>
        <w:t>claim</w:t>
      </w:r>
      <w:r>
        <w:rPr>
          <w:spacing w:val="-18"/>
        </w:rPr>
        <w:t> </w:t>
      </w:r>
      <w:r>
        <w:rPr/>
        <w:t>made against them were significantly more likely to report that they would make use of Acas</w:t>
      </w:r>
      <w:r>
        <w:rPr>
          <w:spacing w:val="-10"/>
        </w:rPr>
        <w:t> </w:t>
      </w:r>
      <w:r>
        <w:rPr/>
        <w:t>conciliation</w:t>
      </w:r>
      <w:r>
        <w:rPr>
          <w:spacing w:val="-10"/>
        </w:rPr>
        <w:t> </w:t>
      </w:r>
      <w:r>
        <w:rPr/>
        <w:t>in</w:t>
      </w:r>
      <w:r>
        <w:rPr>
          <w:spacing w:val="-10"/>
        </w:rPr>
        <w:t> </w:t>
      </w:r>
      <w:r>
        <w:rPr/>
        <w:t>the</w:t>
      </w:r>
      <w:r>
        <w:rPr>
          <w:spacing w:val="-11"/>
        </w:rPr>
        <w:t> </w:t>
      </w:r>
      <w:r>
        <w:rPr/>
        <w:t>future</w:t>
      </w:r>
      <w:r>
        <w:rPr>
          <w:spacing w:val="-11"/>
        </w:rPr>
        <w:t> </w:t>
      </w:r>
      <w:r>
        <w:rPr/>
        <w:t>(86</w:t>
      </w:r>
      <w:r>
        <w:rPr>
          <w:spacing w:val="-11"/>
        </w:rPr>
        <w:t> </w:t>
      </w:r>
      <w:r>
        <w:rPr/>
        <w:t>per</w:t>
      </w:r>
      <w:r>
        <w:rPr>
          <w:spacing w:val="-11"/>
        </w:rPr>
        <w:t> </w:t>
      </w:r>
      <w:r>
        <w:rPr/>
        <w:t>cent</w:t>
      </w:r>
      <w:r>
        <w:rPr>
          <w:spacing w:val="-10"/>
        </w:rPr>
        <w:t> </w:t>
      </w:r>
      <w:r>
        <w:rPr/>
        <w:t>compared</w:t>
      </w:r>
      <w:r>
        <w:rPr>
          <w:spacing w:val="-10"/>
        </w:rPr>
        <w:t> </w:t>
      </w:r>
      <w:r>
        <w:rPr/>
        <w:t>with</w:t>
      </w:r>
      <w:r>
        <w:rPr>
          <w:spacing w:val="-11"/>
        </w:rPr>
        <w:t> </w:t>
      </w:r>
      <w:r>
        <w:rPr/>
        <w:t>67</w:t>
      </w:r>
      <w:r>
        <w:rPr>
          <w:spacing w:val="-11"/>
        </w:rPr>
        <w:t> </w:t>
      </w:r>
      <w:r>
        <w:rPr/>
        <w:t>per</w:t>
      </w:r>
      <w:r>
        <w:rPr>
          <w:spacing w:val="-11"/>
        </w:rPr>
        <w:t> </w:t>
      </w:r>
      <w:r>
        <w:rPr/>
        <w:t>cent</w:t>
      </w:r>
      <w:r>
        <w:rPr>
          <w:spacing w:val="-11"/>
        </w:rPr>
        <w:t> </w:t>
      </w:r>
      <w:r>
        <w:rPr/>
        <w:t>with</w:t>
      </w:r>
      <w:r>
        <w:rPr>
          <w:spacing w:val="-10"/>
        </w:rPr>
        <w:t> </w:t>
      </w:r>
      <w:r>
        <w:rPr/>
        <w:t>no</w:t>
      </w:r>
      <w:r>
        <w:rPr>
          <w:spacing w:val="-11"/>
        </w:rPr>
        <w:t> </w:t>
      </w:r>
      <w:r>
        <w:rPr/>
        <w:t>prior experience of responding to an ET claim). Additionally, employer-side participants who worked for an organisation with an HR department were significantly more likely</w:t>
      </w:r>
      <w:r>
        <w:rPr>
          <w:spacing w:val="16"/>
        </w:rPr>
        <w:t> </w:t>
      </w:r>
      <w:r>
        <w:rPr/>
        <w:t>to</w:t>
      </w:r>
      <w:r>
        <w:rPr>
          <w:spacing w:val="17"/>
        </w:rPr>
        <w:t> </w:t>
      </w:r>
      <w:r>
        <w:rPr/>
        <w:t>anticipate</w:t>
      </w:r>
      <w:r>
        <w:rPr>
          <w:spacing w:val="17"/>
        </w:rPr>
        <w:t> </w:t>
      </w:r>
      <w:r>
        <w:rPr/>
        <w:t>using</w:t>
      </w:r>
      <w:r>
        <w:rPr>
          <w:spacing w:val="18"/>
        </w:rPr>
        <w:t> </w:t>
      </w:r>
      <w:r>
        <w:rPr/>
        <w:t>Acas</w:t>
      </w:r>
      <w:r>
        <w:rPr>
          <w:spacing w:val="17"/>
        </w:rPr>
        <w:t> </w:t>
      </w:r>
      <w:r>
        <w:rPr/>
        <w:t>conciliation</w:t>
      </w:r>
      <w:r>
        <w:rPr>
          <w:spacing w:val="18"/>
        </w:rPr>
        <w:t> </w:t>
      </w:r>
      <w:r>
        <w:rPr/>
        <w:t>again</w:t>
      </w:r>
      <w:r>
        <w:rPr>
          <w:spacing w:val="18"/>
        </w:rPr>
        <w:t> </w:t>
      </w:r>
      <w:r>
        <w:rPr/>
        <w:t>(92</w:t>
      </w:r>
      <w:r>
        <w:rPr>
          <w:spacing w:val="17"/>
        </w:rPr>
        <w:t> </w:t>
      </w:r>
      <w:r>
        <w:rPr/>
        <w:t>per</w:t>
      </w:r>
      <w:r>
        <w:rPr>
          <w:spacing w:val="17"/>
        </w:rPr>
        <w:t> </w:t>
      </w:r>
      <w:r>
        <w:rPr/>
        <w:t>cent,</w:t>
      </w:r>
      <w:r>
        <w:rPr>
          <w:spacing w:val="18"/>
        </w:rPr>
        <w:t> </w:t>
      </w:r>
      <w:r>
        <w:rPr/>
        <w:t>compared</w:t>
      </w:r>
      <w:r>
        <w:rPr>
          <w:spacing w:val="17"/>
        </w:rPr>
        <w:t> </w:t>
      </w:r>
      <w:r>
        <w:rPr/>
        <w:t>with</w:t>
      </w:r>
      <w:r>
        <w:rPr>
          <w:spacing w:val="19"/>
        </w:rPr>
        <w:t> </w:t>
      </w:r>
      <w:r>
        <w:rPr>
          <w:spacing w:val="-5"/>
        </w:rPr>
        <w:t>83</w:t>
      </w:r>
    </w:p>
    <w:p>
      <w:pPr>
        <w:spacing w:after="0" w:line="259" w:lineRule="auto"/>
        <w:jc w:val="both"/>
        <w:sectPr>
          <w:pgSz w:w="11910" w:h="16840"/>
          <w:pgMar w:header="0" w:footer="996" w:top="1360" w:bottom="1180" w:left="460" w:right="320"/>
        </w:sectPr>
      </w:pPr>
    </w:p>
    <w:p>
      <w:pPr>
        <w:pStyle w:val="BodyText"/>
        <w:spacing w:line="256" w:lineRule="auto" w:before="82"/>
        <w:ind w:left="1337" w:right="1475"/>
        <w:jc w:val="both"/>
      </w:pPr>
      <w:r>
        <w:rPr/>
        <w:t>per cent for those without an HR department). Despite these small differences, both figures show a high level of intended reuse.</w:t>
      </w:r>
    </w:p>
    <w:p>
      <w:pPr>
        <w:pStyle w:val="BodyText"/>
        <w:spacing w:line="259" w:lineRule="auto" w:before="164"/>
        <w:ind w:left="1337" w:right="1470"/>
        <w:jc w:val="both"/>
      </w:pPr>
      <w:r>
        <w:rPr/>
        <w:t>As in 2016, employer-side participants involved in open track cases were significantly</w:t>
      </w:r>
      <w:r>
        <w:rPr>
          <w:spacing w:val="-8"/>
        </w:rPr>
        <w:t> </w:t>
      </w:r>
      <w:r>
        <w:rPr/>
        <w:t>more</w:t>
      </w:r>
      <w:r>
        <w:rPr>
          <w:spacing w:val="-9"/>
        </w:rPr>
        <w:t> </w:t>
      </w:r>
      <w:r>
        <w:rPr/>
        <w:t>likely</w:t>
      </w:r>
      <w:r>
        <w:rPr>
          <w:spacing w:val="-10"/>
        </w:rPr>
        <w:t> </w:t>
      </w:r>
      <w:r>
        <w:rPr/>
        <w:t>to</w:t>
      </w:r>
      <w:r>
        <w:rPr>
          <w:spacing w:val="-9"/>
        </w:rPr>
        <w:t> </w:t>
      </w:r>
      <w:r>
        <w:rPr/>
        <w:t>say</w:t>
      </w:r>
      <w:r>
        <w:rPr>
          <w:spacing w:val="-8"/>
        </w:rPr>
        <w:t> </w:t>
      </w:r>
      <w:r>
        <w:rPr/>
        <w:t>that</w:t>
      </w:r>
      <w:r>
        <w:rPr>
          <w:spacing w:val="-7"/>
        </w:rPr>
        <w:t> </w:t>
      </w:r>
      <w:r>
        <w:rPr/>
        <w:t>they</w:t>
      </w:r>
      <w:r>
        <w:rPr>
          <w:spacing w:val="-6"/>
        </w:rPr>
        <w:t> </w:t>
      </w:r>
      <w:r>
        <w:rPr/>
        <w:t>would</w:t>
      </w:r>
      <w:r>
        <w:rPr>
          <w:spacing w:val="-7"/>
        </w:rPr>
        <w:t> </w:t>
      </w:r>
      <w:r>
        <w:rPr/>
        <w:t>make</w:t>
      </w:r>
      <w:r>
        <w:rPr>
          <w:spacing w:val="-9"/>
        </w:rPr>
        <w:t> </w:t>
      </w:r>
      <w:r>
        <w:rPr/>
        <w:t>use</w:t>
      </w:r>
      <w:r>
        <w:rPr>
          <w:spacing w:val="-7"/>
        </w:rPr>
        <w:t> </w:t>
      </w:r>
      <w:r>
        <w:rPr/>
        <w:t>of</w:t>
      </w:r>
      <w:r>
        <w:rPr>
          <w:spacing w:val="-8"/>
        </w:rPr>
        <w:t> </w:t>
      </w:r>
      <w:r>
        <w:rPr/>
        <w:t>Acas</w:t>
      </w:r>
      <w:r>
        <w:rPr>
          <w:spacing w:val="-9"/>
        </w:rPr>
        <w:t> </w:t>
      </w:r>
      <w:r>
        <w:rPr/>
        <w:t>conciliation</w:t>
      </w:r>
      <w:r>
        <w:rPr>
          <w:spacing w:val="-9"/>
        </w:rPr>
        <w:t> </w:t>
      </w:r>
      <w:r>
        <w:rPr/>
        <w:t>in</w:t>
      </w:r>
      <w:r>
        <w:rPr>
          <w:spacing w:val="-7"/>
        </w:rPr>
        <w:t> </w:t>
      </w:r>
      <w:r>
        <w:rPr/>
        <w:t>the future</w:t>
      </w:r>
      <w:r>
        <w:rPr>
          <w:spacing w:val="-14"/>
        </w:rPr>
        <w:t> </w:t>
      </w:r>
      <w:r>
        <w:rPr/>
        <w:t>than</w:t>
      </w:r>
      <w:r>
        <w:rPr>
          <w:spacing w:val="-12"/>
        </w:rPr>
        <w:t> </w:t>
      </w:r>
      <w:r>
        <w:rPr/>
        <w:t>were</w:t>
      </w:r>
      <w:r>
        <w:rPr>
          <w:spacing w:val="-14"/>
        </w:rPr>
        <w:t> </w:t>
      </w:r>
      <w:r>
        <w:rPr/>
        <w:t>those</w:t>
      </w:r>
      <w:r>
        <w:rPr>
          <w:spacing w:val="-14"/>
        </w:rPr>
        <w:t> </w:t>
      </w:r>
      <w:r>
        <w:rPr/>
        <w:t>in</w:t>
      </w:r>
      <w:r>
        <w:rPr>
          <w:spacing w:val="-12"/>
        </w:rPr>
        <w:t> </w:t>
      </w:r>
      <w:r>
        <w:rPr/>
        <w:t>fast</w:t>
      </w:r>
      <w:r>
        <w:rPr>
          <w:spacing w:val="-12"/>
        </w:rPr>
        <w:t> </w:t>
      </w:r>
      <w:r>
        <w:rPr/>
        <w:t>track</w:t>
      </w:r>
      <w:r>
        <w:rPr>
          <w:spacing w:val="-13"/>
        </w:rPr>
        <w:t> </w:t>
      </w:r>
      <w:r>
        <w:rPr/>
        <w:t>cases</w:t>
      </w:r>
      <w:r>
        <w:rPr>
          <w:spacing w:val="-13"/>
        </w:rPr>
        <w:t> </w:t>
      </w:r>
      <w:r>
        <w:rPr/>
        <w:t>(93</w:t>
      </w:r>
      <w:r>
        <w:rPr>
          <w:spacing w:val="-12"/>
        </w:rPr>
        <w:t> </w:t>
      </w:r>
      <w:r>
        <w:rPr/>
        <w:t>per</w:t>
      </w:r>
      <w:r>
        <w:rPr>
          <w:spacing w:val="-14"/>
        </w:rPr>
        <w:t> </w:t>
      </w:r>
      <w:r>
        <w:rPr/>
        <w:t>cent</w:t>
      </w:r>
      <w:r>
        <w:rPr>
          <w:spacing w:val="-12"/>
        </w:rPr>
        <w:t> </w:t>
      </w:r>
      <w:r>
        <w:rPr/>
        <w:t>compared</w:t>
      </w:r>
      <w:r>
        <w:rPr>
          <w:spacing w:val="-12"/>
        </w:rPr>
        <w:t> </w:t>
      </w:r>
      <w:r>
        <w:rPr/>
        <w:t>with</w:t>
      </w:r>
      <w:r>
        <w:rPr>
          <w:spacing w:val="-12"/>
        </w:rPr>
        <w:t> </w:t>
      </w:r>
      <w:r>
        <w:rPr/>
        <w:t>80</w:t>
      </w:r>
      <w:r>
        <w:rPr>
          <w:spacing w:val="-12"/>
        </w:rPr>
        <w:t> </w:t>
      </w:r>
      <w:r>
        <w:rPr/>
        <w:t>per</w:t>
      </w:r>
      <w:r>
        <w:rPr>
          <w:spacing w:val="-11"/>
        </w:rPr>
        <w:t> </w:t>
      </w:r>
      <w:r>
        <w:rPr/>
        <w:t>cent). Additionally,</w:t>
      </w:r>
      <w:r>
        <w:rPr>
          <w:spacing w:val="-18"/>
        </w:rPr>
        <w:t> </w:t>
      </w:r>
      <w:r>
        <w:rPr/>
        <w:t>this</w:t>
      </w:r>
      <w:r>
        <w:rPr>
          <w:spacing w:val="-18"/>
        </w:rPr>
        <w:t> </w:t>
      </w:r>
      <w:r>
        <w:rPr/>
        <w:t>year,</w:t>
      </w:r>
      <w:r>
        <w:rPr>
          <w:spacing w:val="-17"/>
        </w:rPr>
        <w:t> </w:t>
      </w:r>
      <w:r>
        <w:rPr/>
        <w:t>those</w:t>
      </w:r>
      <w:r>
        <w:rPr>
          <w:spacing w:val="-18"/>
        </w:rPr>
        <w:t> </w:t>
      </w:r>
      <w:r>
        <w:rPr/>
        <w:t>involved</w:t>
      </w:r>
      <w:r>
        <w:rPr>
          <w:spacing w:val="-17"/>
        </w:rPr>
        <w:t> </w:t>
      </w:r>
      <w:r>
        <w:rPr/>
        <w:t>in</w:t>
      </w:r>
      <w:r>
        <w:rPr>
          <w:spacing w:val="-18"/>
        </w:rPr>
        <w:t> </w:t>
      </w:r>
      <w:r>
        <w:rPr/>
        <w:t>standard</w:t>
      </w:r>
      <w:r>
        <w:rPr>
          <w:spacing w:val="-18"/>
        </w:rPr>
        <w:t> </w:t>
      </w:r>
      <w:r>
        <w:rPr/>
        <w:t>track</w:t>
      </w:r>
      <w:r>
        <w:rPr>
          <w:spacing w:val="-17"/>
        </w:rPr>
        <w:t> </w:t>
      </w:r>
      <w:r>
        <w:rPr/>
        <w:t>cases</w:t>
      </w:r>
      <w:r>
        <w:rPr>
          <w:spacing w:val="-18"/>
        </w:rPr>
        <w:t> </w:t>
      </w:r>
      <w:r>
        <w:rPr/>
        <w:t>were</w:t>
      </w:r>
      <w:r>
        <w:rPr>
          <w:spacing w:val="-17"/>
        </w:rPr>
        <w:t> </w:t>
      </w:r>
      <w:r>
        <w:rPr/>
        <w:t>also</w:t>
      </w:r>
      <w:r>
        <w:rPr>
          <w:spacing w:val="-18"/>
        </w:rPr>
        <w:t> </w:t>
      </w:r>
      <w:r>
        <w:rPr/>
        <w:t>significantly more</w:t>
      </w:r>
      <w:r>
        <w:rPr>
          <w:spacing w:val="-4"/>
        </w:rPr>
        <w:t> </w:t>
      </w:r>
      <w:r>
        <w:rPr/>
        <w:t>likely</w:t>
      </w:r>
      <w:r>
        <w:rPr>
          <w:spacing w:val="-4"/>
        </w:rPr>
        <w:t> </w:t>
      </w:r>
      <w:r>
        <w:rPr/>
        <w:t>to</w:t>
      </w:r>
      <w:r>
        <w:rPr>
          <w:spacing w:val="-4"/>
        </w:rPr>
        <w:t> </w:t>
      </w:r>
      <w:r>
        <w:rPr/>
        <w:t>want</w:t>
      </w:r>
      <w:r>
        <w:rPr>
          <w:spacing w:val="-2"/>
        </w:rPr>
        <w:t> </w:t>
      </w:r>
      <w:r>
        <w:rPr/>
        <w:t>to</w:t>
      </w:r>
      <w:r>
        <w:rPr>
          <w:spacing w:val="-4"/>
        </w:rPr>
        <w:t> </w:t>
      </w:r>
      <w:r>
        <w:rPr/>
        <w:t>use</w:t>
      </w:r>
      <w:r>
        <w:rPr>
          <w:spacing w:val="-4"/>
        </w:rPr>
        <w:t> </w:t>
      </w:r>
      <w:r>
        <w:rPr/>
        <w:t>Acas</w:t>
      </w:r>
      <w:r>
        <w:rPr>
          <w:spacing w:val="-1"/>
        </w:rPr>
        <w:t> </w:t>
      </w:r>
      <w:r>
        <w:rPr/>
        <w:t>conciliation</w:t>
      </w:r>
      <w:r>
        <w:rPr>
          <w:spacing w:val="-2"/>
        </w:rPr>
        <w:t> </w:t>
      </w:r>
      <w:r>
        <w:rPr/>
        <w:t>again</w:t>
      </w:r>
      <w:r>
        <w:rPr>
          <w:spacing w:val="-2"/>
        </w:rPr>
        <w:t> </w:t>
      </w:r>
      <w:r>
        <w:rPr/>
        <w:t>in</w:t>
      </w:r>
      <w:r>
        <w:rPr>
          <w:spacing w:val="-2"/>
        </w:rPr>
        <w:t> </w:t>
      </w:r>
      <w:r>
        <w:rPr/>
        <w:t>the</w:t>
      </w:r>
      <w:r>
        <w:rPr>
          <w:spacing w:val="-4"/>
        </w:rPr>
        <w:t> </w:t>
      </w:r>
      <w:r>
        <w:rPr/>
        <w:t>future</w:t>
      </w:r>
      <w:r>
        <w:rPr>
          <w:spacing w:val="-4"/>
        </w:rPr>
        <w:t> </w:t>
      </w:r>
      <w:r>
        <w:rPr/>
        <w:t>comparted</w:t>
      </w:r>
      <w:r>
        <w:rPr>
          <w:spacing w:val="-2"/>
        </w:rPr>
        <w:t> </w:t>
      </w:r>
      <w:r>
        <w:rPr/>
        <w:t>to</w:t>
      </w:r>
      <w:r>
        <w:rPr>
          <w:spacing w:val="-2"/>
        </w:rPr>
        <w:t> </w:t>
      </w:r>
      <w:r>
        <w:rPr/>
        <w:t>party to fast track cases (89 per cent compared to 80 per cent).</w:t>
      </w:r>
    </w:p>
    <w:p>
      <w:pPr>
        <w:pStyle w:val="BodyText"/>
        <w:spacing w:line="259" w:lineRule="auto" w:before="160"/>
        <w:ind w:left="1337" w:right="1476"/>
        <w:jc w:val="both"/>
      </w:pPr>
      <w:r>
        <w:rPr/>
        <w:t>In</w:t>
      </w:r>
      <w:r>
        <w:rPr>
          <w:spacing w:val="-4"/>
        </w:rPr>
        <w:t> </w:t>
      </w:r>
      <w:r>
        <w:rPr/>
        <w:t>contrast</w:t>
      </w:r>
      <w:r>
        <w:rPr>
          <w:spacing w:val="-5"/>
        </w:rPr>
        <w:t> </w:t>
      </w:r>
      <w:r>
        <w:rPr/>
        <w:t>to</w:t>
      </w:r>
      <w:r>
        <w:rPr>
          <w:spacing w:val="-7"/>
        </w:rPr>
        <w:t> </w:t>
      </w:r>
      <w:r>
        <w:rPr/>
        <w:t>the</w:t>
      </w:r>
      <w:r>
        <w:rPr>
          <w:spacing w:val="-7"/>
        </w:rPr>
        <w:t> </w:t>
      </w:r>
      <w:r>
        <w:rPr/>
        <w:t>findings</w:t>
      </w:r>
      <w:r>
        <w:rPr>
          <w:spacing w:val="-6"/>
        </w:rPr>
        <w:t> </w:t>
      </w:r>
      <w:r>
        <w:rPr/>
        <w:t>from</w:t>
      </w:r>
      <w:r>
        <w:rPr>
          <w:spacing w:val="-5"/>
        </w:rPr>
        <w:t> </w:t>
      </w:r>
      <w:r>
        <w:rPr/>
        <w:t>the</w:t>
      </w:r>
      <w:r>
        <w:rPr>
          <w:spacing w:val="-7"/>
        </w:rPr>
        <w:t> </w:t>
      </w:r>
      <w:r>
        <w:rPr/>
        <w:t>2016</w:t>
      </w:r>
      <w:r>
        <w:rPr>
          <w:spacing w:val="-5"/>
        </w:rPr>
        <w:t> </w:t>
      </w:r>
      <w:r>
        <w:rPr/>
        <w:t>survey,</w:t>
      </w:r>
      <w:r>
        <w:rPr>
          <w:spacing w:val="-6"/>
        </w:rPr>
        <w:t> </w:t>
      </w:r>
      <w:r>
        <w:rPr/>
        <w:t>there</w:t>
      </w:r>
      <w:r>
        <w:rPr>
          <w:spacing w:val="-7"/>
        </w:rPr>
        <w:t> </w:t>
      </w:r>
      <w:r>
        <w:rPr/>
        <w:t>were</w:t>
      </w:r>
      <w:r>
        <w:rPr>
          <w:spacing w:val="-7"/>
        </w:rPr>
        <w:t> </w:t>
      </w:r>
      <w:r>
        <w:rPr/>
        <w:t>no</w:t>
      </w:r>
      <w:r>
        <w:rPr>
          <w:spacing w:val="-7"/>
        </w:rPr>
        <w:t> </w:t>
      </w:r>
      <w:r>
        <w:rPr/>
        <w:t>differences</w:t>
      </w:r>
      <w:r>
        <w:rPr>
          <w:spacing w:val="-6"/>
        </w:rPr>
        <w:t> </w:t>
      </w:r>
      <w:r>
        <w:rPr/>
        <w:t>among employer-side participants when comparing those who had previously taken part in EC with those who had not – in 2019, this factor had no bearing on anticipated future use of Acas conciliation services. This relationship was also absent among claimants, as it had been in 2016.</w:t>
      </w:r>
    </w:p>
    <w:p>
      <w:pPr>
        <w:pStyle w:val="BodyText"/>
        <w:spacing w:line="259" w:lineRule="auto" w:before="158"/>
        <w:ind w:left="1337" w:right="1475"/>
        <w:jc w:val="both"/>
      </w:pPr>
      <w:r>
        <w:rPr/>
        <w:t>Although there were no differences in respect of dispute track at the overall level, claimants</w:t>
      </w:r>
      <w:r>
        <w:rPr>
          <w:spacing w:val="-16"/>
        </w:rPr>
        <w:t> </w:t>
      </w:r>
      <w:r>
        <w:rPr/>
        <w:t>who</w:t>
      </w:r>
      <w:r>
        <w:rPr>
          <w:spacing w:val="-16"/>
        </w:rPr>
        <w:t> </w:t>
      </w:r>
      <w:r>
        <w:rPr/>
        <w:t>were</w:t>
      </w:r>
      <w:r>
        <w:rPr>
          <w:spacing w:val="-16"/>
        </w:rPr>
        <w:t> </w:t>
      </w:r>
      <w:r>
        <w:rPr/>
        <w:t>party</w:t>
      </w:r>
      <w:r>
        <w:rPr>
          <w:spacing w:val="-15"/>
        </w:rPr>
        <w:t> </w:t>
      </w:r>
      <w:r>
        <w:rPr/>
        <w:t>to</w:t>
      </w:r>
      <w:r>
        <w:rPr>
          <w:spacing w:val="-14"/>
        </w:rPr>
        <w:t> </w:t>
      </w:r>
      <w:r>
        <w:rPr/>
        <w:t>fast</w:t>
      </w:r>
      <w:r>
        <w:rPr>
          <w:spacing w:val="-14"/>
        </w:rPr>
        <w:t> </w:t>
      </w:r>
      <w:r>
        <w:rPr/>
        <w:t>track</w:t>
      </w:r>
      <w:r>
        <w:rPr>
          <w:spacing w:val="-15"/>
        </w:rPr>
        <w:t> </w:t>
      </w:r>
      <w:r>
        <w:rPr/>
        <w:t>cases</w:t>
      </w:r>
      <w:r>
        <w:rPr>
          <w:spacing w:val="-16"/>
        </w:rPr>
        <w:t> </w:t>
      </w:r>
      <w:r>
        <w:rPr/>
        <w:t>were</w:t>
      </w:r>
      <w:r>
        <w:rPr>
          <w:spacing w:val="-16"/>
        </w:rPr>
        <w:t> </w:t>
      </w:r>
      <w:r>
        <w:rPr/>
        <w:t>significantly</w:t>
      </w:r>
      <w:r>
        <w:rPr>
          <w:spacing w:val="-15"/>
        </w:rPr>
        <w:t> </w:t>
      </w:r>
      <w:r>
        <w:rPr/>
        <w:t>more</w:t>
      </w:r>
      <w:r>
        <w:rPr>
          <w:spacing w:val="-14"/>
        </w:rPr>
        <w:t> </w:t>
      </w:r>
      <w:r>
        <w:rPr/>
        <w:t>likely</w:t>
      </w:r>
      <w:r>
        <w:rPr>
          <w:spacing w:val="-16"/>
        </w:rPr>
        <w:t> </w:t>
      </w:r>
      <w:r>
        <w:rPr/>
        <w:t>to</w:t>
      </w:r>
      <w:r>
        <w:rPr>
          <w:spacing w:val="-14"/>
        </w:rPr>
        <w:t> </w:t>
      </w:r>
      <w:r>
        <w:rPr/>
        <w:t>report that they would ‘definitely’ make use of Acas conciliation services in the future, compared to claimants in open or standard track cases (75 per cent compared to 60 per cent and 70 per cent respectively).</w:t>
      </w:r>
    </w:p>
    <w:p>
      <w:pPr>
        <w:pStyle w:val="BodyText"/>
        <w:spacing w:line="259" w:lineRule="auto" w:before="159"/>
        <w:ind w:left="1337" w:right="1474"/>
        <w:jc w:val="both"/>
      </w:pPr>
      <w:r>
        <w:rPr/>
        <w:t>Among</w:t>
      </w:r>
      <w:r>
        <w:rPr>
          <w:spacing w:val="-13"/>
        </w:rPr>
        <w:t> </w:t>
      </w:r>
      <w:r>
        <w:rPr/>
        <w:t>employers</w:t>
      </w:r>
      <w:r>
        <w:rPr>
          <w:spacing w:val="-14"/>
        </w:rPr>
        <w:t> </w:t>
      </w:r>
      <w:r>
        <w:rPr/>
        <w:t>the</w:t>
      </w:r>
      <w:r>
        <w:rPr>
          <w:spacing w:val="-12"/>
        </w:rPr>
        <w:t> </w:t>
      </w:r>
      <w:r>
        <w:rPr/>
        <w:t>picture</w:t>
      </w:r>
      <w:r>
        <w:rPr>
          <w:spacing w:val="-13"/>
        </w:rPr>
        <w:t> </w:t>
      </w:r>
      <w:r>
        <w:rPr/>
        <w:t>from</w:t>
      </w:r>
      <w:r>
        <w:rPr>
          <w:spacing w:val="-11"/>
        </w:rPr>
        <w:t> </w:t>
      </w:r>
      <w:r>
        <w:rPr/>
        <w:t>2016</w:t>
      </w:r>
      <w:r>
        <w:rPr>
          <w:spacing w:val="-13"/>
        </w:rPr>
        <w:t> </w:t>
      </w:r>
      <w:r>
        <w:rPr/>
        <w:t>was</w:t>
      </w:r>
      <w:r>
        <w:rPr>
          <w:spacing w:val="-12"/>
        </w:rPr>
        <w:t> </w:t>
      </w:r>
      <w:r>
        <w:rPr/>
        <w:t>reversed:</w:t>
      </w:r>
      <w:r>
        <w:rPr>
          <w:spacing w:val="-11"/>
        </w:rPr>
        <w:t> </w:t>
      </w:r>
      <w:r>
        <w:rPr/>
        <w:t>this</w:t>
      </w:r>
      <w:r>
        <w:rPr>
          <w:spacing w:val="-14"/>
        </w:rPr>
        <w:t> </w:t>
      </w:r>
      <w:r>
        <w:rPr/>
        <w:t>time,</w:t>
      </w:r>
      <w:r>
        <w:rPr>
          <w:spacing w:val="-14"/>
        </w:rPr>
        <w:t> </w:t>
      </w:r>
      <w:r>
        <w:rPr/>
        <w:t>employers</w:t>
      </w:r>
      <w:r>
        <w:rPr>
          <w:spacing w:val="-14"/>
        </w:rPr>
        <w:t> </w:t>
      </w:r>
      <w:r>
        <w:rPr/>
        <w:t>in</w:t>
      </w:r>
      <w:r>
        <w:rPr>
          <w:spacing w:val="-13"/>
        </w:rPr>
        <w:t> </w:t>
      </w:r>
      <w:r>
        <w:rPr/>
        <w:t>fast track cases were</w:t>
      </w:r>
      <w:r>
        <w:rPr>
          <w:spacing w:val="-2"/>
        </w:rPr>
        <w:t> </w:t>
      </w:r>
      <w:r>
        <w:rPr/>
        <w:t>less</w:t>
      </w:r>
      <w:r>
        <w:rPr>
          <w:spacing w:val="-1"/>
        </w:rPr>
        <w:t> </w:t>
      </w:r>
      <w:r>
        <w:rPr/>
        <w:t>likely</w:t>
      </w:r>
      <w:r>
        <w:rPr>
          <w:spacing w:val="-1"/>
        </w:rPr>
        <w:t> </w:t>
      </w:r>
      <w:r>
        <w:rPr/>
        <w:t>to</w:t>
      </w:r>
      <w:r>
        <w:rPr>
          <w:spacing w:val="-2"/>
        </w:rPr>
        <w:t> </w:t>
      </w:r>
      <w:r>
        <w:rPr/>
        <w:t>say</w:t>
      </w:r>
      <w:r>
        <w:rPr>
          <w:spacing w:val="-1"/>
        </w:rPr>
        <w:t> </w:t>
      </w:r>
      <w:r>
        <w:rPr/>
        <w:t>they</w:t>
      </w:r>
      <w:r>
        <w:rPr>
          <w:spacing w:val="-1"/>
        </w:rPr>
        <w:t> </w:t>
      </w:r>
      <w:r>
        <w:rPr/>
        <w:t>would use</w:t>
      </w:r>
      <w:r>
        <w:rPr>
          <w:spacing w:val="-2"/>
        </w:rPr>
        <w:t> </w:t>
      </w:r>
      <w:r>
        <w:rPr/>
        <w:t>Acas conciliation again – 80 per cent said this was the case, compared with 89 per cent of employers in standard track cases and 93 per cent of those in open track cases.</w:t>
      </w:r>
    </w:p>
    <w:p>
      <w:pPr>
        <w:spacing w:after="0" w:line="259" w:lineRule="auto"/>
        <w:jc w:val="both"/>
        <w:sectPr>
          <w:pgSz w:w="11910" w:h="16840"/>
          <w:pgMar w:header="0" w:footer="996" w:top="1340" w:bottom="1180" w:left="460" w:right="320"/>
        </w:sectPr>
      </w:pPr>
    </w:p>
    <w:p>
      <w:pPr>
        <w:pStyle w:val="Heading2"/>
        <w:numPr>
          <w:ilvl w:val="0"/>
          <w:numId w:val="2"/>
        </w:numPr>
        <w:tabs>
          <w:tab w:pos="2058" w:val="left" w:leader="none"/>
        </w:tabs>
        <w:spacing w:line="240" w:lineRule="auto" w:before="81" w:after="0"/>
        <w:ind w:left="1695" w:right="2414" w:hanging="358"/>
        <w:jc w:val="left"/>
      </w:pPr>
      <w:bookmarkStart w:name="_TOC_250000" w:id="243"/>
      <w:bookmarkStart w:name="19. ACAS INDIVIDUAL CONCILIATION 2019 – " w:id="244"/>
      <w:r>
        <w:rPr/>
        <w:t>A</w:t>
      </w:r>
      <w:r>
        <w:rPr/>
        <w:t>CAS INDIVIDUAL CONCILIATION 2019 – CONCLUSIONS</w:t>
      </w:r>
      <w:r>
        <w:rPr>
          <w:spacing w:val="-13"/>
        </w:rPr>
        <w:t> </w:t>
      </w:r>
      <w:r>
        <w:rPr/>
        <w:t>ACROSS</w:t>
      </w:r>
      <w:r>
        <w:rPr>
          <w:spacing w:val="-10"/>
        </w:rPr>
        <w:t> </w:t>
      </w:r>
      <w:r>
        <w:rPr/>
        <w:t>BOTH</w:t>
      </w:r>
      <w:r>
        <w:rPr>
          <w:spacing w:val="-12"/>
        </w:rPr>
        <w:t> </w:t>
      </w:r>
      <w:bookmarkEnd w:id="243"/>
      <w:r>
        <w:rPr/>
        <w:t>EVALUATIONS</w:t>
      </w:r>
    </w:p>
    <w:p>
      <w:pPr>
        <w:pStyle w:val="BodyText"/>
        <w:rPr>
          <w:b/>
          <w:sz w:val="34"/>
        </w:rPr>
      </w:pPr>
    </w:p>
    <w:p>
      <w:pPr>
        <w:pStyle w:val="BodyText"/>
        <w:spacing w:line="259" w:lineRule="auto" w:before="213"/>
        <w:ind w:left="1337" w:right="1471"/>
        <w:jc w:val="both"/>
      </w:pPr>
      <w:r>
        <w:rPr/>
        <w:t>When seeking to draw conclusions across both evaluations, the first thing that stands out is the consistency of findings compared with their previous waves in 2015</w:t>
      </w:r>
      <w:r>
        <w:rPr>
          <w:spacing w:val="-3"/>
        </w:rPr>
        <w:t> </w:t>
      </w:r>
      <w:r>
        <w:rPr/>
        <w:t>and</w:t>
      </w:r>
      <w:r>
        <w:rPr>
          <w:spacing w:val="-3"/>
        </w:rPr>
        <w:t> </w:t>
      </w:r>
      <w:r>
        <w:rPr/>
        <w:t>2016.</w:t>
      </w:r>
      <w:r>
        <w:rPr>
          <w:spacing w:val="-4"/>
        </w:rPr>
        <w:t> </w:t>
      </w:r>
      <w:r>
        <w:rPr/>
        <w:t>Despite</w:t>
      </w:r>
      <w:r>
        <w:rPr>
          <w:spacing w:val="-4"/>
        </w:rPr>
        <w:t> </w:t>
      </w:r>
      <w:r>
        <w:rPr/>
        <w:t>significant</w:t>
      </w:r>
      <w:r>
        <w:rPr>
          <w:spacing w:val="-3"/>
        </w:rPr>
        <w:t> </w:t>
      </w:r>
      <w:r>
        <w:rPr/>
        <w:t>change</w:t>
      </w:r>
      <w:r>
        <w:rPr>
          <w:spacing w:val="-4"/>
        </w:rPr>
        <w:t> </w:t>
      </w:r>
      <w:r>
        <w:rPr/>
        <w:t>to</w:t>
      </w:r>
      <w:r>
        <w:rPr>
          <w:spacing w:val="-4"/>
        </w:rPr>
        <w:t> </w:t>
      </w:r>
      <w:r>
        <w:rPr/>
        <w:t>the</w:t>
      </w:r>
      <w:r>
        <w:rPr>
          <w:spacing w:val="-4"/>
        </w:rPr>
        <w:t> </w:t>
      </w:r>
      <w:r>
        <w:rPr/>
        <w:t>legal</w:t>
      </w:r>
      <w:r>
        <w:rPr>
          <w:spacing w:val="-1"/>
        </w:rPr>
        <w:t> </w:t>
      </w:r>
      <w:r>
        <w:rPr/>
        <w:t>and</w:t>
      </w:r>
      <w:r>
        <w:rPr>
          <w:spacing w:val="-5"/>
        </w:rPr>
        <w:t> </w:t>
      </w:r>
      <w:r>
        <w:rPr/>
        <w:t>policy</w:t>
      </w:r>
      <w:r>
        <w:rPr>
          <w:spacing w:val="-4"/>
        </w:rPr>
        <w:t> </w:t>
      </w:r>
      <w:r>
        <w:rPr/>
        <w:t>background,</w:t>
      </w:r>
      <w:r>
        <w:rPr>
          <w:spacing w:val="-4"/>
        </w:rPr>
        <w:t> </w:t>
      </w:r>
      <w:r>
        <w:rPr/>
        <w:t>the findings</w:t>
      </w:r>
      <w:r>
        <w:rPr>
          <w:spacing w:val="-4"/>
        </w:rPr>
        <w:t> </w:t>
      </w:r>
      <w:r>
        <w:rPr/>
        <w:t>show</w:t>
      </w:r>
      <w:r>
        <w:rPr>
          <w:spacing w:val="-1"/>
        </w:rPr>
        <w:t> </w:t>
      </w:r>
      <w:r>
        <w:rPr/>
        <w:t>a consistent</w:t>
      </w:r>
      <w:r>
        <w:rPr>
          <w:spacing w:val="-2"/>
        </w:rPr>
        <w:t> </w:t>
      </w:r>
      <w:r>
        <w:rPr/>
        <w:t>user</w:t>
      </w:r>
      <w:r>
        <w:rPr>
          <w:spacing w:val="-2"/>
        </w:rPr>
        <w:t> </w:t>
      </w:r>
      <w:r>
        <w:rPr/>
        <w:t>profile</w:t>
      </w:r>
      <w:r>
        <w:rPr>
          <w:spacing w:val="-4"/>
        </w:rPr>
        <w:t> </w:t>
      </w:r>
      <w:r>
        <w:rPr/>
        <w:t>and</w:t>
      </w:r>
      <w:r>
        <w:rPr>
          <w:spacing w:val="-3"/>
        </w:rPr>
        <w:t> </w:t>
      </w:r>
      <w:r>
        <w:rPr/>
        <w:t>similar</w:t>
      </w:r>
      <w:r>
        <w:rPr>
          <w:spacing w:val="-4"/>
        </w:rPr>
        <w:t> </w:t>
      </w:r>
      <w:r>
        <w:rPr/>
        <w:t>key</w:t>
      </w:r>
      <w:r>
        <w:rPr>
          <w:spacing w:val="-1"/>
        </w:rPr>
        <w:t> </w:t>
      </w:r>
      <w:r>
        <w:rPr/>
        <w:t>metrics,</w:t>
      </w:r>
      <w:r>
        <w:rPr>
          <w:spacing w:val="-1"/>
        </w:rPr>
        <w:t> </w:t>
      </w:r>
      <w:r>
        <w:rPr/>
        <w:t>such</w:t>
      </w:r>
      <w:r>
        <w:rPr>
          <w:spacing w:val="-2"/>
        </w:rPr>
        <w:t> </w:t>
      </w:r>
      <w:r>
        <w:rPr/>
        <w:t>as</w:t>
      </w:r>
      <w:r>
        <w:rPr>
          <w:spacing w:val="-1"/>
        </w:rPr>
        <w:t> </w:t>
      </w:r>
      <w:r>
        <w:rPr/>
        <w:t>the</w:t>
      </w:r>
      <w:r>
        <w:rPr>
          <w:spacing w:val="-4"/>
        </w:rPr>
        <w:t> </w:t>
      </w:r>
      <w:r>
        <w:rPr/>
        <w:t>rate</w:t>
      </w:r>
      <w:r>
        <w:rPr>
          <w:spacing w:val="-2"/>
        </w:rPr>
        <w:t> </w:t>
      </w:r>
      <w:r>
        <w:rPr/>
        <w:t>of settlements</w:t>
      </w:r>
      <w:r>
        <w:rPr>
          <w:spacing w:val="-2"/>
        </w:rPr>
        <w:t> </w:t>
      </w:r>
      <w:r>
        <w:rPr/>
        <w:t>achieved</w:t>
      </w:r>
      <w:r>
        <w:rPr>
          <w:spacing w:val="-1"/>
        </w:rPr>
        <w:t> </w:t>
      </w:r>
      <w:r>
        <w:rPr/>
        <w:t>through</w:t>
      </w:r>
      <w:r>
        <w:rPr>
          <w:spacing w:val="-1"/>
        </w:rPr>
        <w:t> </w:t>
      </w:r>
      <w:r>
        <w:rPr/>
        <w:t>conciliation.</w:t>
      </w:r>
      <w:r>
        <w:rPr>
          <w:spacing w:val="-2"/>
        </w:rPr>
        <w:t> </w:t>
      </w:r>
      <w:r>
        <w:rPr/>
        <w:t>Similarly,</w:t>
      </w:r>
      <w:r>
        <w:rPr>
          <w:spacing w:val="-2"/>
        </w:rPr>
        <w:t> </w:t>
      </w:r>
      <w:r>
        <w:rPr/>
        <w:t>the</w:t>
      </w:r>
      <w:r>
        <w:rPr>
          <w:spacing w:val="-3"/>
        </w:rPr>
        <w:t> </w:t>
      </w:r>
      <w:r>
        <w:rPr/>
        <w:t>Acas service</w:t>
      </w:r>
      <w:r>
        <w:rPr>
          <w:spacing w:val="-1"/>
        </w:rPr>
        <w:t> </w:t>
      </w:r>
      <w:r>
        <w:rPr/>
        <w:t>continues</w:t>
      </w:r>
      <w:r>
        <w:rPr>
          <w:spacing w:val="-2"/>
        </w:rPr>
        <w:t> </w:t>
      </w:r>
      <w:r>
        <w:rPr/>
        <w:t>to achieve high satisfaction ratings across EC and post-ET1 conciliation for all audiences – claimants, employers and representatives of each. More broadly, participants in conciliation recognise the important role Acas plays in bringing the two</w:t>
      </w:r>
      <w:r>
        <w:rPr>
          <w:spacing w:val="-11"/>
        </w:rPr>
        <w:t> </w:t>
      </w:r>
      <w:r>
        <w:rPr/>
        <w:t>sides</w:t>
      </w:r>
      <w:r>
        <w:rPr>
          <w:spacing w:val="-9"/>
        </w:rPr>
        <w:t> </w:t>
      </w:r>
      <w:r>
        <w:rPr/>
        <w:t>of</w:t>
      </w:r>
      <w:r>
        <w:rPr>
          <w:spacing w:val="-8"/>
        </w:rPr>
        <w:t> </w:t>
      </w:r>
      <w:r>
        <w:rPr/>
        <w:t>a</w:t>
      </w:r>
      <w:r>
        <w:rPr>
          <w:spacing w:val="-10"/>
        </w:rPr>
        <w:t> </w:t>
      </w:r>
      <w:r>
        <w:rPr/>
        <w:t>dispute</w:t>
      </w:r>
      <w:r>
        <w:rPr>
          <w:spacing w:val="-12"/>
        </w:rPr>
        <w:t> </w:t>
      </w:r>
      <w:r>
        <w:rPr/>
        <w:t>together,</w:t>
      </w:r>
      <w:r>
        <w:rPr>
          <w:spacing w:val="-8"/>
        </w:rPr>
        <w:t> </w:t>
      </w:r>
      <w:r>
        <w:rPr/>
        <w:t>regardless</w:t>
      </w:r>
      <w:r>
        <w:rPr>
          <w:spacing w:val="-9"/>
        </w:rPr>
        <w:t> </w:t>
      </w:r>
      <w:r>
        <w:rPr/>
        <w:t>of</w:t>
      </w:r>
      <w:r>
        <w:rPr>
          <w:spacing w:val="-8"/>
        </w:rPr>
        <w:t> </w:t>
      </w:r>
      <w:r>
        <w:rPr/>
        <w:t>whether</w:t>
      </w:r>
      <w:r>
        <w:rPr>
          <w:spacing w:val="-9"/>
        </w:rPr>
        <w:t> </w:t>
      </w:r>
      <w:r>
        <w:rPr/>
        <w:t>a</w:t>
      </w:r>
      <w:r>
        <w:rPr>
          <w:spacing w:val="-8"/>
        </w:rPr>
        <w:t> </w:t>
      </w:r>
      <w:r>
        <w:rPr/>
        <w:t>settlement</w:t>
      </w:r>
      <w:r>
        <w:rPr>
          <w:spacing w:val="-10"/>
        </w:rPr>
        <w:t> </w:t>
      </w:r>
      <w:r>
        <w:rPr/>
        <w:t>is</w:t>
      </w:r>
      <w:r>
        <w:rPr>
          <w:spacing w:val="-11"/>
        </w:rPr>
        <w:t> </w:t>
      </w:r>
      <w:r>
        <w:rPr/>
        <w:t>reached,</w:t>
      </w:r>
      <w:r>
        <w:rPr>
          <w:spacing w:val="-11"/>
        </w:rPr>
        <w:t> </w:t>
      </w:r>
      <w:r>
        <w:rPr/>
        <w:t>and are highly likely to use the service again in the future should the need arise.</w:t>
      </w:r>
    </w:p>
    <w:p>
      <w:pPr>
        <w:pStyle w:val="BodyText"/>
        <w:spacing w:line="256" w:lineRule="auto" w:before="156"/>
        <w:ind w:left="1338" w:right="1474"/>
        <w:jc w:val="both"/>
      </w:pPr>
      <w:r>
        <w:rPr/>
        <w:t>This short chapter seeks to expand on some of these points and offer some learnings for Acas to consider as the service evolves in the future.</w:t>
      </w:r>
    </w:p>
    <w:p>
      <w:pPr>
        <w:pStyle w:val="BodyText"/>
        <w:spacing w:line="259" w:lineRule="auto" w:before="164"/>
        <w:ind w:left="1338" w:right="1470"/>
        <w:jc w:val="both"/>
      </w:pPr>
      <w:r>
        <w:rPr/>
        <w:t>Before</w:t>
      </w:r>
      <w:r>
        <w:rPr>
          <w:spacing w:val="-11"/>
        </w:rPr>
        <w:t> </w:t>
      </w:r>
      <w:r>
        <w:rPr/>
        <w:t>assessing</w:t>
      </w:r>
      <w:r>
        <w:rPr>
          <w:spacing w:val="-10"/>
        </w:rPr>
        <w:t> </w:t>
      </w:r>
      <w:r>
        <w:rPr/>
        <w:t>the</w:t>
      </w:r>
      <w:r>
        <w:rPr>
          <w:spacing w:val="-11"/>
        </w:rPr>
        <w:t> </w:t>
      </w:r>
      <w:r>
        <w:rPr/>
        <w:t>service</w:t>
      </w:r>
      <w:r>
        <w:rPr>
          <w:spacing w:val="-11"/>
        </w:rPr>
        <w:t> </w:t>
      </w:r>
      <w:r>
        <w:rPr/>
        <w:t>provided</w:t>
      </w:r>
      <w:r>
        <w:rPr>
          <w:spacing w:val="-10"/>
        </w:rPr>
        <w:t> </w:t>
      </w:r>
      <w:r>
        <w:rPr/>
        <w:t>by</w:t>
      </w:r>
      <w:r>
        <w:rPr>
          <w:spacing w:val="-11"/>
        </w:rPr>
        <w:t> </w:t>
      </w:r>
      <w:r>
        <w:rPr/>
        <w:t>Acas</w:t>
      </w:r>
      <w:r>
        <w:rPr>
          <w:spacing w:val="-11"/>
        </w:rPr>
        <w:t> </w:t>
      </w:r>
      <w:r>
        <w:rPr/>
        <w:t>and</w:t>
      </w:r>
      <w:r>
        <w:rPr>
          <w:spacing w:val="-10"/>
        </w:rPr>
        <w:t> </w:t>
      </w:r>
      <w:r>
        <w:rPr/>
        <w:t>its</w:t>
      </w:r>
      <w:r>
        <w:rPr>
          <w:spacing w:val="-11"/>
        </w:rPr>
        <w:t> </w:t>
      </w:r>
      <w:r>
        <w:rPr/>
        <w:t>role</w:t>
      </w:r>
      <w:r>
        <w:rPr>
          <w:spacing w:val="-11"/>
        </w:rPr>
        <w:t> </w:t>
      </w:r>
      <w:r>
        <w:rPr/>
        <w:t>in</w:t>
      </w:r>
      <w:r>
        <w:rPr>
          <w:spacing w:val="-9"/>
        </w:rPr>
        <w:t> </w:t>
      </w:r>
      <w:r>
        <w:rPr/>
        <w:t>delivering</w:t>
      </w:r>
      <w:r>
        <w:rPr>
          <w:spacing w:val="-10"/>
        </w:rPr>
        <w:t> </w:t>
      </w:r>
      <w:r>
        <w:rPr/>
        <w:t>settlements in more detail, it is important to acknowledge that whilst the demographic and firmographic profile of claimants and employers involved in disputes is largely unchanged</w:t>
      </w:r>
      <w:r>
        <w:rPr>
          <w:spacing w:val="-18"/>
        </w:rPr>
        <w:t> </w:t>
      </w:r>
      <w:r>
        <w:rPr/>
        <w:t>from</w:t>
      </w:r>
      <w:r>
        <w:rPr>
          <w:spacing w:val="-18"/>
        </w:rPr>
        <w:t> </w:t>
      </w:r>
      <w:r>
        <w:rPr/>
        <w:t>past</w:t>
      </w:r>
      <w:r>
        <w:rPr>
          <w:spacing w:val="-17"/>
        </w:rPr>
        <w:t> </w:t>
      </w:r>
      <w:r>
        <w:rPr/>
        <w:t>waves,</w:t>
      </w:r>
      <w:r>
        <w:rPr>
          <w:spacing w:val="-18"/>
        </w:rPr>
        <w:t> </w:t>
      </w:r>
      <w:r>
        <w:rPr>
          <w:b/>
        </w:rPr>
        <w:t>the</w:t>
      </w:r>
      <w:r>
        <w:rPr>
          <w:b/>
          <w:spacing w:val="-17"/>
        </w:rPr>
        <w:t> </w:t>
      </w:r>
      <w:r>
        <w:rPr>
          <w:b/>
        </w:rPr>
        <w:t>proportion</w:t>
      </w:r>
      <w:r>
        <w:rPr>
          <w:b/>
          <w:spacing w:val="-17"/>
        </w:rPr>
        <w:t> </w:t>
      </w:r>
      <w:r>
        <w:rPr>
          <w:b/>
        </w:rPr>
        <w:t>of</w:t>
      </w:r>
      <w:r>
        <w:rPr>
          <w:b/>
          <w:spacing w:val="-17"/>
        </w:rPr>
        <w:t> </w:t>
      </w:r>
      <w:r>
        <w:rPr>
          <w:b/>
        </w:rPr>
        <w:t>claimants</w:t>
      </w:r>
      <w:r>
        <w:rPr>
          <w:b/>
          <w:spacing w:val="-15"/>
        </w:rPr>
        <w:t> </w:t>
      </w:r>
      <w:r>
        <w:rPr>
          <w:b/>
        </w:rPr>
        <w:t>and</w:t>
      </w:r>
      <w:r>
        <w:rPr>
          <w:b/>
          <w:spacing w:val="-17"/>
        </w:rPr>
        <w:t> </w:t>
      </w:r>
      <w:r>
        <w:rPr>
          <w:b/>
        </w:rPr>
        <w:t>employers</w:t>
      </w:r>
      <w:r>
        <w:rPr>
          <w:b/>
          <w:spacing w:val="-18"/>
        </w:rPr>
        <w:t> </w:t>
      </w:r>
      <w:r>
        <w:rPr>
          <w:b/>
        </w:rPr>
        <w:t>using representatives</w:t>
      </w:r>
      <w:r>
        <w:rPr>
          <w:b/>
          <w:spacing w:val="-6"/>
        </w:rPr>
        <w:t> </w:t>
      </w:r>
      <w:r>
        <w:rPr>
          <w:b/>
        </w:rPr>
        <w:t>in</w:t>
      </w:r>
      <w:r>
        <w:rPr>
          <w:b/>
          <w:spacing w:val="-6"/>
        </w:rPr>
        <w:t> </w:t>
      </w:r>
      <w:r>
        <w:rPr>
          <w:b/>
        </w:rPr>
        <w:t>disputes</w:t>
      </w:r>
      <w:r>
        <w:rPr>
          <w:b/>
          <w:spacing w:val="-6"/>
        </w:rPr>
        <w:t> </w:t>
      </w:r>
      <w:r>
        <w:rPr>
          <w:b/>
        </w:rPr>
        <w:t>has</w:t>
      </w:r>
      <w:r>
        <w:rPr>
          <w:b/>
          <w:spacing w:val="-8"/>
        </w:rPr>
        <w:t> </w:t>
      </w:r>
      <w:r>
        <w:rPr>
          <w:b/>
        </w:rPr>
        <w:t>changed</w:t>
      </w:r>
      <w:r>
        <w:rPr>
          <w:b/>
          <w:spacing w:val="-7"/>
        </w:rPr>
        <w:t> </w:t>
      </w:r>
      <w:r>
        <w:rPr>
          <w:b/>
        </w:rPr>
        <w:t>markedly</w:t>
      </w:r>
      <w:r>
        <w:rPr/>
        <w:t>.</w:t>
      </w:r>
      <w:r>
        <w:rPr>
          <w:spacing w:val="-8"/>
        </w:rPr>
        <w:t> </w:t>
      </w:r>
      <w:r>
        <w:rPr/>
        <w:t>For</w:t>
      </w:r>
      <w:r>
        <w:rPr>
          <w:spacing w:val="-8"/>
        </w:rPr>
        <w:t> </w:t>
      </w:r>
      <w:r>
        <w:rPr/>
        <w:t>example,</w:t>
      </w:r>
      <w:r>
        <w:rPr>
          <w:spacing w:val="-8"/>
        </w:rPr>
        <w:t> </w:t>
      </w:r>
      <w:r>
        <w:rPr/>
        <w:t>in</w:t>
      </w:r>
      <w:r>
        <w:rPr>
          <w:spacing w:val="-6"/>
        </w:rPr>
        <w:t> </w:t>
      </w:r>
      <w:r>
        <w:rPr/>
        <w:t>post-ET1 conciliation the proportion of claimants and employers using representation has fallen sharply, though it remains much larger than at the EC stage. A key factor behind</w:t>
      </w:r>
      <w:r>
        <w:rPr>
          <w:spacing w:val="-7"/>
        </w:rPr>
        <w:t> </w:t>
      </w:r>
      <w:r>
        <w:rPr/>
        <w:t>this</w:t>
      </w:r>
      <w:r>
        <w:rPr>
          <w:spacing w:val="-9"/>
        </w:rPr>
        <w:t> </w:t>
      </w:r>
      <w:r>
        <w:rPr/>
        <w:t>appears</w:t>
      </w:r>
      <w:r>
        <w:rPr>
          <w:spacing w:val="-9"/>
        </w:rPr>
        <w:t> </w:t>
      </w:r>
      <w:r>
        <w:rPr/>
        <w:t>to</w:t>
      </w:r>
      <w:r>
        <w:rPr>
          <w:spacing w:val="-9"/>
        </w:rPr>
        <w:t> </w:t>
      </w:r>
      <w:r>
        <w:rPr/>
        <w:t>be</w:t>
      </w:r>
      <w:r>
        <w:rPr>
          <w:spacing w:val="-9"/>
        </w:rPr>
        <w:t> </w:t>
      </w:r>
      <w:r>
        <w:rPr/>
        <w:t>an</w:t>
      </w:r>
      <w:r>
        <w:rPr>
          <w:spacing w:val="-7"/>
        </w:rPr>
        <w:t> </w:t>
      </w:r>
      <w:r>
        <w:rPr/>
        <w:t>increase</w:t>
      </w:r>
      <w:r>
        <w:rPr>
          <w:spacing w:val="-9"/>
        </w:rPr>
        <w:t> </w:t>
      </w:r>
      <w:r>
        <w:rPr/>
        <w:t>in</w:t>
      </w:r>
      <w:r>
        <w:rPr>
          <w:spacing w:val="-7"/>
        </w:rPr>
        <w:t> </w:t>
      </w:r>
      <w:r>
        <w:rPr/>
        <w:t>the</w:t>
      </w:r>
      <w:r>
        <w:rPr>
          <w:spacing w:val="-9"/>
        </w:rPr>
        <w:t> </w:t>
      </w:r>
      <w:r>
        <w:rPr/>
        <w:t>proportion</w:t>
      </w:r>
      <w:r>
        <w:rPr>
          <w:spacing w:val="-7"/>
        </w:rPr>
        <w:t> </w:t>
      </w:r>
      <w:r>
        <w:rPr/>
        <w:t>of</w:t>
      </w:r>
      <w:r>
        <w:rPr>
          <w:spacing w:val="-6"/>
        </w:rPr>
        <w:t> </w:t>
      </w:r>
      <w:r>
        <w:rPr/>
        <w:t>fast</w:t>
      </w:r>
      <w:r>
        <w:rPr>
          <w:spacing w:val="-7"/>
        </w:rPr>
        <w:t> </w:t>
      </w:r>
      <w:r>
        <w:rPr/>
        <w:t>track</w:t>
      </w:r>
      <w:r>
        <w:rPr>
          <w:spacing w:val="-6"/>
        </w:rPr>
        <w:t> </w:t>
      </w:r>
      <w:r>
        <w:rPr/>
        <w:t>cases</w:t>
      </w:r>
      <w:r>
        <w:rPr>
          <w:spacing w:val="-6"/>
        </w:rPr>
        <w:t> </w:t>
      </w:r>
      <w:r>
        <w:rPr/>
        <w:t>reaching this</w:t>
      </w:r>
      <w:r>
        <w:rPr>
          <w:spacing w:val="-16"/>
        </w:rPr>
        <w:t> </w:t>
      </w:r>
      <w:r>
        <w:rPr/>
        <w:t>stage</w:t>
      </w:r>
      <w:r>
        <w:rPr>
          <w:spacing w:val="-16"/>
        </w:rPr>
        <w:t> </w:t>
      </w:r>
      <w:r>
        <w:rPr/>
        <w:t>compared</w:t>
      </w:r>
      <w:r>
        <w:rPr>
          <w:spacing w:val="-15"/>
        </w:rPr>
        <w:t> </w:t>
      </w:r>
      <w:r>
        <w:rPr/>
        <w:t>with</w:t>
      </w:r>
      <w:r>
        <w:rPr>
          <w:spacing w:val="-14"/>
        </w:rPr>
        <w:t> </w:t>
      </w:r>
      <w:r>
        <w:rPr/>
        <w:t>2016</w:t>
      </w:r>
      <w:r>
        <w:rPr>
          <w:spacing w:val="-14"/>
        </w:rPr>
        <w:t> </w:t>
      </w:r>
      <w:r>
        <w:rPr/>
        <w:t>(when</w:t>
      </w:r>
      <w:r>
        <w:rPr>
          <w:spacing w:val="-14"/>
        </w:rPr>
        <w:t> </w:t>
      </w:r>
      <w:r>
        <w:rPr/>
        <w:t>ET</w:t>
      </w:r>
      <w:r>
        <w:rPr>
          <w:spacing w:val="-16"/>
        </w:rPr>
        <w:t> </w:t>
      </w:r>
      <w:r>
        <w:rPr/>
        <w:t>fees</w:t>
      </w:r>
      <w:r>
        <w:rPr>
          <w:spacing w:val="-16"/>
        </w:rPr>
        <w:t> </w:t>
      </w:r>
      <w:r>
        <w:rPr/>
        <w:t>were</w:t>
      </w:r>
      <w:r>
        <w:rPr>
          <w:spacing w:val="-16"/>
        </w:rPr>
        <w:t> </w:t>
      </w:r>
      <w:r>
        <w:rPr/>
        <w:t>in</w:t>
      </w:r>
      <w:r>
        <w:rPr>
          <w:spacing w:val="-14"/>
        </w:rPr>
        <w:t> </w:t>
      </w:r>
      <w:r>
        <w:rPr/>
        <w:t>force);</w:t>
      </w:r>
      <w:r>
        <w:rPr>
          <w:spacing w:val="-14"/>
        </w:rPr>
        <w:t> </w:t>
      </w:r>
      <w:r>
        <w:rPr/>
        <w:t>as</w:t>
      </w:r>
      <w:r>
        <w:rPr>
          <w:spacing w:val="-16"/>
        </w:rPr>
        <w:t> </w:t>
      </w:r>
      <w:r>
        <w:rPr/>
        <w:t>parties</w:t>
      </w:r>
      <w:r>
        <w:rPr>
          <w:spacing w:val="-16"/>
        </w:rPr>
        <w:t> </w:t>
      </w:r>
      <w:r>
        <w:rPr/>
        <w:t>in</w:t>
      </w:r>
      <w:r>
        <w:rPr>
          <w:spacing w:val="-14"/>
        </w:rPr>
        <w:t> </w:t>
      </w:r>
      <w:r>
        <w:rPr/>
        <w:t>fast</w:t>
      </w:r>
      <w:r>
        <w:rPr>
          <w:spacing w:val="-14"/>
        </w:rPr>
        <w:t> </w:t>
      </w:r>
      <w:r>
        <w:rPr/>
        <w:t>track cases are less likely to use representatives. Such evolutions in the Acas service user base should be considered carefully when planning future service provision, as the motivations and needs of different audiences are not always aligned, and their perception of the service provided is not always the same. Put simply, the needs and expectations of representatives can sometimes differ from unrepresented claimants and employers and this should be factored into the conciliator approach.</w:t>
      </w:r>
    </w:p>
    <w:p>
      <w:pPr>
        <w:pStyle w:val="BodyText"/>
        <w:spacing w:line="259" w:lineRule="auto" w:before="157"/>
        <w:ind w:left="1338" w:right="1471"/>
        <w:jc w:val="both"/>
      </w:pPr>
      <w:r>
        <w:rPr/>
        <w:t>Nuances in needs and perceptions also exist within audience too. For example, claimant representatives are generally less experienced in dealing with disputes than those representing employers; the former are more likely than the latter to be</w:t>
      </w:r>
      <w:r>
        <w:rPr>
          <w:spacing w:val="-18"/>
        </w:rPr>
        <w:t> </w:t>
      </w:r>
      <w:r>
        <w:rPr/>
        <w:t>family</w:t>
      </w:r>
      <w:r>
        <w:rPr>
          <w:spacing w:val="-18"/>
        </w:rPr>
        <w:t> </w:t>
      </w:r>
      <w:r>
        <w:rPr/>
        <w:t>members</w:t>
      </w:r>
      <w:r>
        <w:rPr>
          <w:spacing w:val="-16"/>
        </w:rPr>
        <w:t> </w:t>
      </w:r>
      <w:r>
        <w:rPr/>
        <w:t>or</w:t>
      </w:r>
      <w:r>
        <w:rPr>
          <w:spacing w:val="-16"/>
        </w:rPr>
        <w:t> </w:t>
      </w:r>
      <w:r>
        <w:rPr/>
        <w:t>friends</w:t>
      </w:r>
      <w:r>
        <w:rPr>
          <w:spacing w:val="-16"/>
        </w:rPr>
        <w:t> </w:t>
      </w:r>
      <w:r>
        <w:rPr/>
        <w:t>rather</w:t>
      </w:r>
      <w:r>
        <w:rPr>
          <w:spacing w:val="-18"/>
        </w:rPr>
        <w:t> </w:t>
      </w:r>
      <w:r>
        <w:rPr/>
        <w:t>than</w:t>
      </w:r>
      <w:r>
        <w:rPr>
          <w:spacing w:val="-15"/>
        </w:rPr>
        <w:t> </w:t>
      </w:r>
      <w:r>
        <w:rPr/>
        <w:t>professionals</w:t>
      </w:r>
      <w:r>
        <w:rPr>
          <w:spacing w:val="-17"/>
        </w:rPr>
        <w:t> </w:t>
      </w:r>
      <w:r>
        <w:rPr/>
        <w:t>and</w:t>
      </w:r>
      <w:r>
        <w:rPr>
          <w:spacing w:val="-17"/>
        </w:rPr>
        <w:t> </w:t>
      </w:r>
      <w:r>
        <w:rPr/>
        <w:t>so</w:t>
      </w:r>
      <w:r>
        <w:rPr>
          <w:spacing w:val="-16"/>
        </w:rPr>
        <w:t> </w:t>
      </w:r>
      <w:r>
        <w:rPr/>
        <w:t>they</w:t>
      </w:r>
      <w:r>
        <w:rPr>
          <w:spacing w:val="-18"/>
        </w:rPr>
        <w:t> </w:t>
      </w:r>
      <w:r>
        <w:rPr/>
        <w:t>may</w:t>
      </w:r>
      <w:r>
        <w:rPr>
          <w:spacing w:val="-15"/>
        </w:rPr>
        <w:t> </w:t>
      </w:r>
      <w:r>
        <w:rPr/>
        <w:t>sometimes require more support from conciliators. Meanwhile, within the unrepresented claimant universe, BAME survey participants are more likely to say they were involved</w:t>
      </w:r>
      <w:r>
        <w:rPr>
          <w:spacing w:val="-12"/>
        </w:rPr>
        <w:t> </w:t>
      </w:r>
      <w:r>
        <w:rPr/>
        <w:t>in</w:t>
      </w:r>
      <w:r>
        <w:rPr>
          <w:spacing w:val="-12"/>
        </w:rPr>
        <w:t> </w:t>
      </w:r>
      <w:r>
        <w:rPr/>
        <w:t>more</w:t>
      </w:r>
      <w:r>
        <w:rPr>
          <w:spacing w:val="-11"/>
        </w:rPr>
        <w:t> </w:t>
      </w:r>
      <w:r>
        <w:rPr/>
        <w:t>challenging</w:t>
      </w:r>
      <w:r>
        <w:rPr>
          <w:spacing w:val="-12"/>
        </w:rPr>
        <w:t> </w:t>
      </w:r>
      <w:r>
        <w:rPr/>
        <w:t>open</w:t>
      </w:r>
      <w:r>
        <w:rPr>
          <w:spacing w:val="-9"/>
        </w:rPr>
        <w:t> </w:t>
      </w:r>
      <w:r>
        <w:rPr/>
        <w:t>track</w:t>
      </w:r>
      <w:r>
        <w:rPr>
          <w:spacing w:val="-11"/>
        </w:rPr>
        <w:t> </w:t>
      </w:r>
      <w:r>
        <w:rPr/>
        <w:t>cases</w:t>
      </w:r>
      <w:r>
        <w:rPr>
          <w:spacing w:val="-11"/>
        </w:rPr>
        <w:t> </w:t>
      </w:r>
      <w:r>
        <w:rPr/>
        <w:t>than</w:t>
      </w:r>
      <w:r>
        <w:rPr>
          <w:spacing w:val="-12"/>
        </w:rPr>
        <w:t> </w:t>
      </w:r>
      <w:r>
        <w:rPr/>
        <w:t>those</w:t>
      </w:r>
      <w:r>
        <w:rPr>
          <w:spacing w:val="-11"/>
        </w:rPr>
        <w:t> </w:t>
      </w:r>
      <w:r>
        <w:rPr/>
        <w:t>from</w:t>
      </w:r>
      <w:r>
        <w:rPr>
          <w:spacing w:val="-10"/>
        </w:rPr>
        <w:t> </w:t>
      </w:r>
      <w:r>
        <w:rPr/>
        <w:t>White</w:t>
      </w:r>
      <w:r>
        <w:rPr>
          <w:spacing w:val="-14"/>
        </w:rPr>
        <w:t> </w:t>
      </w:r>
      <w:r>
        <w:rPr/>
        <w:t>backgrounds. While there can be no ‘one size fits all’ approach to planning service provision for different audiences within the user base, it is useful to be aware of some of the complexity involved, which is outlined in further detail in the above report.</w:t>
      </w:r>
    </w:p>
    <w:p>
      <w:pPr>
        <w:spacing w:line="259" w:lineRule="auto" w:before="156"/>
        <w:ind w:left="1338" w:right="1470" w:firstLine="0"/>
        <w:jc w:val="both"/>
        <w:rPr>
          <w:sz w:val="20"/>
        </w:rPr>
      </w:pPr>
      <w:r>
        <w:rPr>
          <w:sz w:val="20"/>
        </w:rPr>
        <w:t>Turning to the service provided by Acas, </w:t>
      </w:r>
      <w:r>
        <w:rPr>
          <w:b/>
          <w:sz w:val="20"/>
        </w:rPr>
        <w:t>both evaluations continue to show a positive relationship between participation in Acas conciliation services and achieving a settlement</w:t>
      </w:r>
      <w:r>
        <w:rPr>
          <w:sz w:val="20"/>
        </w:rPr>
        <w:t>. There is a correlation between the stages of conciliation,</w:t>
      </w:r>
      <w:r>
        <w:rPr>
          <w:spacing w:val="-1"/>
          <w:sz w:val="20"/>
        </w:rPr>
        <w:t> </w:t>
      </w:r>
      <w:r>
        <w:rPr>
          <w:sz w:val="20"/>
        </w:rPr>
        <w:t>with those reaching the</w:t>
      </w:r>
      <w:r>
        <w:rPr>
          <w:spacing w:val="-2"/>
          <w:sz w:val="20"/>
        </w:rPr>
        <w:t> </w:t>
      </w:r>
      <w:r>
        <w:rPr>
          <w:sz w:val="20"/>
        </w:rPr>
        <w:t>ET</w:t>
      </w:r>
      <w:r>
        <w:rPr>
          <w:spacing w:val="-1"/>
          <w:sz w:val="20"/>
        </w:rPr>
        <w:t> </w:t>
      </w:r>
      <w:r>
        <w:rPr>
          <w:sz w:val="20"/>
        </w:rPr>
        <w:t>phase more</w:t>
      </w:r>
      <w:r>
        <w:rPr>
          <w:spacing w:val="-2"/>
          <w:sz w:val="20"/>
        </w:rPr>
        <w:t> </w:t>
      </w:r>
      <w:r>
        <w:rPr>
          <w:sz w:val="20"/>
        </w:rPr>
        <w:t>likely</w:t>
      </w:r>
      <w:r>
        <w:rPr>
          <w:spacing w:val="-1"/>
          <w:sz w:val="20"/>
        </w:rPr>
        <w:t> </w:t>
      </w:r>
      <w:r>
        <w:rPr>
          <w:sz w:val="20"/>
        </w:rPr>
        <w:t>to</w:t>
      </w:r>
      <w:r>
        <w:rPr>
          <w:spacing w:val="-2"/>
          <w:sz w:val="20"/>
        </w:rPr>
        <w:t> </w:t>
      </w:r>
      <w:r>
        <w:rPr>
          <w:sz w:val="20"/>
        </w:rPr>
        <w:t>take part in post-ET1 conciliation</w:t>
      </w:r>
      <w:r>
        <w:rPr>
          <w:spacing w:val="-9"/>
          <w:sz w:val="20"/>
        </w:rPr>
        <w:t> </w:t>
      </w:r>
      <w:r>
        <w:rPr>
          <w:sz w:val="20"/>
        </w:rPr>
        <w:t>if</w:t>
      </w:r>
      <w:r>
        <w:rPr>
          <w:spacing w:val="-8"/>
          <w:sz w:val="20"/>
        </w:rPr>
        <w:t> </w:t>
      </w:r>
      <w:r>
        <w:rPr>
          <w:sz w:val="20"/>
        </w:rPr>
        <w:t>they</w:t>
      </w:r>
      <w:r>
        <w:rPr>
          <w:spacing w:val="-8"/>
          <w:sz w:val="20"/>
        </w:rPr>
        <w:t> </w:t>
      </w:r>
      <w:r>
        <w:rPr>
          <w:sz w:val="20"/>
        </w:rPr>
        <w:t>have</w:t>
      </w:r>
      <w:r>
        <w:rPr>
          <w:spacing w:val="-7"/>
          <w:sz w:val="20"/>
        </w:rPr>
        <w:t> </w:t>
      </w:r>
      <w:r>
        <w:rPr>
          <w:sz w:val="20"/>
        </w:rPr>
        <w:t>previously</w:t>
      </w:r>
      <w:r>
        <w:rPr>
          <w:spacing w:val="-8"/>
          <w:sz w:val="20"/>
        </w:rPr>
        <w:t> </w:t>
      </w:r>
      <w:r>
        <w:rPr>
          <w:sz w:val="20"/>
        </w:rPr>
        <w:t>taken</w:t>
      </w:r>
      <w:r>
        <w:rPr>
          <w:spacing w:val="-7"/>
          <w:sz w:val="20"/>
        </w:rPr>
        <w:t> </w:t>
      </w:r>
      <w:r>
        <w:rPr>
          <w:sz w:val="20"/>
        </w:rPr>
        <w:t>part</w:t>
      </w:r>
      <w:r>
        <w:rPr>
          <w:spacing w:val="-7"/>
          <w:sz w:val="20"/>
        </w:rPr>
        <w:t> </w:t>
      </w:r>
      <w:r>
        <w:rPr>
          <w:sz w:val="20"/>
        </w:rPr>
        <w:t>in</w:t>
      </w:r>
      <w:r>
        <w:rPr>
          <w:spacing w:val="-9"/>
          <w:sz w:val="20"/>
        </w:rPr>
        <w:t> </w:t>
      </w:r>
      <w:r>
        <w:rPr>
          <w:sz w:val="20"/>
        </w:rPr>
        <w:t>EC,</w:t>
      </w:r>
      <w:r>
        <w:rPr>
          <w:spacing w:val="-6"/>
          <w:sz w:val="20"/>
        </w:rPr>
        <w:t> </w:t>
      </w:r>
      <w:r>
        <w:rPr>
          <w:sz w:val="20"/>
        </w:rPr>
        <w:t>even</w:t>
      </w:r>
      <w:r>
        <w:rPr>
          <w:spacing w:val="-7"/>
          <w:sz w:val="20"/>
        </w:rPr>
        <w:t> </w:t>
      </w:r>
      <w:r>
        <w:rPr>
          <w:sz w:val="20"/>
        </w:rPr>
        <w:t>though</w:t>
      </w:r>
      <w:r>
        <w:rPr>
          <w:spacing w:val="-7"/>
          <w:sz w:val="20"/>
        </w:rPr>
        <w:t> </w:t>
      </w:r>
      <w:r>
        <w:rPr>
          <w:sz w:val="20"/>
        </w:rPr>
        <w:t>a</w:t>
      </w:r>
      <w:r>
        <w:rPr>
          <w:spacing w:val="-8"/>
          <w:sz w:val="20"/>
        </w:rPr>
        <w:t> </w:t>
      </w:r>
      <w:r>
        <w:rPr>
          <w:sz w:val="20"/>
        </w:rPr>
        <w:t>settlement</w:t>
      </w:r>
      <w:r>
        <w:rPr>
          <w:spacing w:val="-7"/>
          <w:sz w:val="20"/>
        </w:rPr>
        <w:t> </w:t>
      </w:r>
      <w:r>
        <w:rPr>
          <w:sz w:val="20"/>
        </w:rPr>
        <w:t>was not</w:t>
      </w:r>
      <w:r>
        <w:rPr>
          <w:spacing w:val="79"/>
          <w:sz w:val="20"/>
        </w:rPr>
        <w:t> </w:t>
      </w:r>
      <w:r>
        <w:rPr>
          <w:sz w:val="20"/>
        </w:rPr>
        <w:t>reached</w:t>
      </w:r>
      <w:r>
        <w:rPr>
          <w:spacing w:val="79"/>
          <w:sz w:val="20"/>
        </w:rPr>
        <w:t> </w:t>
      </w:r>
      <w:r>
        <w:rPr>
          <w:sz w:val="20"/>
        </w:rPr>
        <w:t>at</w:t>
      </w:r>
      <w:r>
        <w:rPr>
          <w:spacing w:val="80"/>
          <w:sz w:val="20"/>
        </w:rPr>
        <w:t> </w:t>
      </w:r>
      <w:r>
        <w:rPr>
          <w:sz w:val="20"/>
        </w:rPr>
        <w:t>that</w:t>
      </w:r>
      <w:r>
        <w:rPr>
          <w:spacing w:val="80"/>
          <w:sz w:val="20"/>
        </w:rPr>
        <w:t> </w:t>
      </w:r>
      <w:r>
        <w:rPr>
          <w:sz w:val="20"/>
        </w:rPr>
        <w:t>earlier</w:t>
      </w:r>
      <w:r>
        <w:rPr>
          <w:spacing w:val="77"/>
          <w:sz w:val="20"/>
        </w:rPr>
        <w:t> </w:t>
      </w:r>
      <w:r>
        <w:rPr>
          <w:sz w:val="20"/>
        </w:rPr>
        <w:t>point.</w:t>
      </w:r>
      <w:r>
        <w:rPr>
          <w:spacing w:val="78"/>
          <w:sz w:val="20"/>
        </w:rPr>
        <w:t> </w:t>
      </w:r>
      <w:r>
        <w:rPr>
          <w:sz w:val="20"/>
        </w:rPr>
        <w:t>These</w:t>
      </w:r>
      <w:r>
        <w:rPr>
          <w:spacing w:val="79"/>
          <w:sz w:val="20"/>
        </w:rPr>
        <w:t> </w:t>
      </w:r>
      <w:r>
        <w:rPr>
          <w:sz w:val="20"/>
        </w:rPr>
        <w:t>positive</w:t>
      </w:r>
      <w:r>
        <w:rPr>
          <w:spacing w:val="77"/>
          <w:sz w:val="20"/>
        </w:rPr>
        <w:t> </w:t>
      </w:r>
      <w:r>
        <w:rPr>
          <w:sz w:val="20"/>
        </w:rPr>
        <w:t>relationships</w:t>
      </w:r>
      <w:r>
        <w:rPr>
          <w:spacing w:val="78"/>
          <w:sz w:val="20"/>
        </w:rPr>
        <w:t> </w:t>
      </w:r>
      <w:r>
        <w:rPr>
          <w:sz w:val="20"/>
        </w:rPr>
        <w:t>highlight</w:t>
      </w:r>
      <w:r>
        <w:rPr>
          <w:spacing w:val="79"/>
          <w:sz w:val="20"/>
        </w:rPr>
        <w:t> </w:t>
      </w:r>
      <w:r>
        <w:rPr>
          <w:sz w:val="20"/>
        </w:rPr>
        <w:t>the</w:t>
      </w:r>
    </w:p>
    <w:p>
      <w:pPr>
        <w:spacing w:after="0" w:line="259" w:lineRule="auto"/>
        <w:jc w:val="both"/>
        <w:rPr>
          <w:sz w:val="20"/>
        </w:rPr>
        <w:sectPr>
          <w:pgSz w:w="11910" w:h="16840"/>
          <w:pgMar w:header="0" w:footer="996" w:top="1340" w:bottom="1180" w:left="460" w:right="320"/>
        </w:sectPr>
      </w:pPr>
    </w:p>
    <w:p>
      <w:pPr>
        <w:pStyle w:val="BodyText"/>
        <w:spacing w:line="256" w:lineRule="auto" w:before="82"/>
        <w:ind w:left="1337" w:right="1473"/>
        <w:jc w:val="both"/>
      </w:pPr>
      <w:r>
        <w:rPr/>
        <w:t>importance of encouraging claimants, employers and representatives into conciliation as early as possible in the process.</w:t>
      </w:r>
    </w:p>
    <w:p>
      <w:pPr>
        <w:pStyle w:val="BodyText"/>
        <w:spacing w:line="259" w:lineRule="auto" w:before="164"/>
        <w:ind w:left="1337" w:right="1472"/>
        <w:jc w:val="both"/>
      </w:pPr>
      <w:r>
        <w:rPr/>
        <w:t>Service users’ motivations are another important aspect to resolving disputes: typically, representatives appear more open to settling a dispute than claimants and</w:t>
      </w:r>
      <w:r>
        <w:rPr>
          <w:spacing w:val="-18"/>
        </w:rPr>
        <w:t> </w:t>
      </w:r>
      <w:r>
        <w:rPr/>
        <w:t>employers.</w:t>
      </w:r>
      <w:r>
        <w:rPr>
          <w:spacing w:val="-18"/>
        </w:rPr>
        <w:t> </w:t>
      </w:r>
      <w:r>
        <w:rPr/>
        <w:t>They</w:t>
      </w:r>
      <w:r>
        <w:rPr>
          <w:spacing w:val="-17"/>
        </w:rPr>
        <w:t> </w:t>
      </w:r>
      <w:r>
        <w:rPr/>
        <w:t>are</w:t>
      </w:r>
      <w:r>
        <w:rPr>
          <w:spacing w:val="-18"/>
        </w:rPr>
        <w:t> </w:t>
      </w:r>
      <w:r>
        <w:rPr/>
        <w:t>more</w:t>
      </w:r>
      <w:r>
        <w:rPr>
          <w:spacing w:val="-17"/>
        </w:rPr>
        <w:t> </w:t>
      </w:r>
      <w:r>
        <w:rPr/>
        <w:t>likely</w:t>
      </w:r>
      <w:r>
        <w:rPr>
          <w:spacing w:val="-18"/>
        </w:rPr>
        <w:t> </w:t>
      </w:r>
      <w:r>
        <w:rPr/>
        <w:t>to</w:t>
      </w:r>
      <w:r>
        <w:rPr>
          <w:spacing w:val="-18"/>
        </w:rPr>
        <w:t> </w:t>
      </w:r>
      <w:r>
        <w:rPr/>
        <w:t>enter</w:t>
      </w:r>
      <w:r>
        <w:rPr>
          <w:spacing w:val="-17"/>
        </w:rPr>
        <w:t> </w:t>
      </w:r>
      <w:r>
        <w:rPr/>
        <w:t>EC</w:t>
      </w:r>
      <w:r>
        <w:rPr>
          <w:spacing w:val="-18"/>
        </w:rPr>
        <w:t> </w:t>
      </w:r>
      <w:r>
        <w:rPr/>
        <w:t>with</w:t>
      </w:r>
      <w:r>
        <w:rPr>
          <w:spacing w:val="-17"/>
        </w:rPr>
        <w:t> </w:t>
      </w:r>
      <w:r>
        <w:rPr/>
        <w:t>negotiation,</w:t>
      </w:r>
      <w:r>
        <w:rPr>
          <w:spacing w:val="-18"/>
        </w:rPr>
        <w:t> </w:t>
      </w:r>
      <w:r>
        <w:rPr/>
        <w:t>rather</w:t>
      </w:r>
      <w:r>
        <w:rPr>
          <w:spacing w:val="-17"/>
        </w:rPr>
        <w:t> </w:t>
      </w:r>
      <w:r>
        <w:rPr/>
        <w:t>than</w:t>
      </w:r>
      <w:r>
        <w:rPr>
          <w:spacing w:val="-18"/>
        </w:rPr>
        <w:t> </w:t>
      </w:r>
      <w:r>
        <w:rPr/>
        <w:t>solely reaching tribunal, as an explicit aim and more likely to reach a settlement at the post-ET1 stage. Motivations also vary by track, with claimant-side participants in fast and standard cases more likely to submit the EC notification form to see if a settlement can</w:t>
      </w:r>
      <w:r>
        <w:rPr>
          <w:spacing w:val="-2"/>
        </w:rPr>
        <w:t> </w:t>
      </w:r>
      <w:r>
        <w:rPr/>
        <w:t>be</w:t>
      </w:r>
      <w:r>
        <w:rPr>
          <w:spacing w:val="-2"/>
        </w:rPr>
        <w:t> </w:t>
      </w:r>
      <w:r>
        <w:rPr/>
        <w:t>reached,</w:t>
      </w:r>
      <w:r>
        <w:rPr>
          <w:spacing w:val="-1"/>
        </w:rPr>
        <w:t> </w:t>
      </w:r>
      <w:r>
        <w:rPr/>
        <w:t>without</w:t>
      </w:r>
      <w:r>
        <w:rPr>
          <w:spacing w:val="-2"/>
        </w:rPr>
        <w:t> </w:t>
      </w:r>
      <w:r>
        <w:rPr/>
        <w:t>any</w:t>
      </w:r>
      <w:r>
        <w:rPr>
          <w:spacing w:val="-4"/>
        </w:rPr>
        <w:t> </w:t>
      </w:r>
      <w:r>
        <w:rPr/>
        <w:t>intention</w:t>
      </w:r>
      <w:r>
        <w:rPr>
          <w:spacing w:val="-2"/>
        </w:rPr>
        <w:t> </w:t>
      </w:r>
      <w:r>
        <w:rPr/>
        <w:t>of</w:t>
      </w:r>
      <w:r>
        <w:rPr>
          <w:spacing w:val="-1"/>
        </w:rPr>
        <w:t> </w:t>
      </w:r>
      <w:r>
        <w:rPr/>
        <w:t>proceeding</w:t>
      </w:r>
      <w:r>
        <w:rPr>
          <w:spacing w:val="-3"/>
        </w:rPr>
        <w:t> </w:t>
      </w:r>
      <w:r>
        <w:rPr/>
        <w:t>to</w:t>
      </w:r>
      <w:r>
        <w:rPr>
          <w:spacing w:val="-4"/>
        </w:rPr>
        <w:t> </w:t>
      </w:r>
      <w:r>
        <w:rPr/>
        <w:t>a tribunal,</w:t>
      </w:r>
      <w:r>
        <w:rPr>
          <w:spacing w:val="-4"/>
        </w:rPr>
        <w:t> </w:t>
      </w:r>
      <w:r>
        <w:rPr/>
        <w:t>than those in open track cases. Therefore, the details of the case and motivations of participants at the outset can play a significant role in the outcome and should be noted by conciliators early on.</w:t>
      </w:r>
    </w:p>
    <w:p>
      <w:pPr>
        <w:pStyle w:val="BodyText"/>
        <w:spacing w:line="259" w:lineRule="auto" w:before="158"/>
        <w:ind w:left="1337" w:right="1472"/>
        <w:jc w:val="both"/>
      </w:pPr>
      <w:r>
        <w:rPr/>
        <w:t>However, there is consistent evidence across both surveys (now and in 2015/6) that </w:t>
      </w:r>
      <w:r>
        <w:rPr>
          <w:b/>
        </w:rPr>
        <w:t>the service provided by Acas has a significant role to play in driving positive outcomes</w:t>
      </w:r>
      <w:r>
        <w:rPr/>
        <w:t>. In addition to the fact that participation in EC or post-ET1 conciliation can lead to settlements, regression analysis at both the EC and post- ET1 stages highlight that agreeing ‘Acas involvement was important in helping move parties closer towards resolving the case’ is a key driver of settlements among</w:t>
      </w:r>
      <w:r>
        <w:rPr>
          <w:spacing w:val="-4"/>
        </w:rPr>
        <w:t> </w:t>
      </w:r>
      <w:r>
        <w:rPr/>
        <w:t>claimants</w:t>
      </w:r>
      <w:r>
        <w:rPr>
          <w:spacing w:val="-5"/>
        </w:rPr>
        <w:t> </w:t>
      </w:r>
      <w:r>
        <w:rPr/>
        <w:t>and</w:t>
      </w:r>
      <w:r>
        <w:rPr>
          <w:spacing w:val="-3"/>
        </w:rPr>
        <w:t> </w:t>
      </w:r>
      <w:r>
        <w:rPr/>
        <w:t>employers.</w:t>
      </w:r>
      <w:r>
        <w:rPr>
          <w:spacing w:val="-5"/>
        </w:rPr>
        <w:t> </w:t>
      </w:r>
      <w:r>
        <w:rPr/>
        <w:t>Other</w:t>
      </w:r>
      <w:r>
        <w:rPr>
          <w:spacing w:val="-5"/>
        </w:rPr>
        <w:t> </w:t>
      </w:r>
      <w:r>
        <w:rPr/>
        <w:t>important</w:t>
      </w:r>
      <w:r>
        <w:rPr>
          <w:spacing w:val="-4"/>
        </w:rPr>
        <w:t> </w:t>
      </w:r>
      <w:r>
        <w:rPr/>
        <w:t>parts</w:t>
      </w:r>
      <w:r>
        <w:rPr>
          <w:spacing w:val="-5"/>
        </w:rPr>
        <w:t> </w:t>
      </w:r>
      <w:r>
        <w:rPr/>
        <w:t>of</w:t>
      </w:r>
      <w:r>
        <w:rPr>
          <w:spacing w:val="-2"/>
        </w:rPr>
        <w:t> </w:t>
      </w:r>
      <w:r>
        <w:rPr/>
        <w:t>the</w:t>
      </w:r>
      <w:r>
        <w:rPr>
          <w:spacing w:val="-5"/>
        </w:rPr>
        <w:t> </w:t>
      </w:r>
      <w:r>
        <w:rPr/>
        <w:t>service</w:t>
      </w:r>
      <w:r>
        <w:rPr>
          <w:spacing w:val="-3"/>
        </w:rPr>
        <w:t> </w:t>
      </w:r>
      <w:r>
        <w:rPr/>
        <w:t>include:</w:t>
      </w:r>
      <w:r>
        <w:rPr>
          <w:spacing w:val="-3"/>
        </w:rPr>
        <w:t> </w:t>
      </w:r>
      <w:r>
        <w:rPr/>
        <w:t>the quality of information provided at the EC form submission stage, which is a key driver of settlements among claimants at EC; and conciliator availability, which is important for employers at both the EC and ET stage. More explicitly, at the EC stage around eight in ten of those settling agreed that Acas’ involvement was a factor</w:t>
      </w:r>
      <w:r>
        <w:rPr>
          <w:spacing w:val="-1"/>
        </w:rPr>
        <w:t> </w:t>
      </w:r>
      <w:r>
        <w:rPr/>
        <w:t>in the</w:t>
      </w:r>
      <w:r>
        <w:rPr>
          <w:spacing w:val="-1"/>
        </w:rPr>
        <w:t> </w:t>
      </w:r>
      <w:r>
        <w:rPr/>
        <w:t>decision to</w:t>
      </w:r>
      <w:r>
        <w:rPr>
          <w:spacing w:val="-1"/>
        </w:rPr>
        <w:t> </w:t>
      </w:r>
      <w:r>
        <w:rPr/>
        <w:t>resolve</w:t>
      </w:r>
      <w:r>
        <w:rPr>
          <w:spacing w:val="-1"/>
        </w:rPr>
        <w:t> </w:t>
      </w:r>
      <w:r>
        <w:rPr/>
        <w:t>the case</w:t>
      </w:r>
      <w:r>
        <w:rPr>
          <w:spacing w:val="-1"/>
        </w:rPr>
        <w:t> </w:t>
      </w:r>
      <w:r>
        <w:rPr/>
        <w:t>(one</w:t>
      </w:r>
      <w:r>
        <w:rPr>
          <w:spacing w:val="-1"/>
        </w:rPr>
        <w:t> </w:t>
      </w:r>
      <w:r>
        <w:rPr/>
        <w:t>in ten disagreed), while</w:t>
      </w:r>
      <w:r>
        <w:rPr>
          <w:spacing w:val="-1"/>
        </w:rPr>
        <w:t> </w:t>
      </w:r>
      <w:r>
        <w:rPr/>
        <w:t>in post-ET1 conciliation half agreed (one in three disagreed).</w:t>
      </w:r>
    </w:p>
    <w:p>
      <w:pPr>
        <w:pStyle w:val="BodyText"/>
        <w:spacing w:line="259" w:lineRule="auto" w:before="156"/>
        <w:ind w:left="1338" w:right="1473"/>
        <w:jc w:val="both"/>
      </w:pPr>
      <w:r>
        <w:rPr/>
        <w:t>Of course, there are barriers to achieving a settlement that are not always within Acas’ control. Across both surveys, the lack of a willingness of the other side to negotiate is often cited as a key reason a settlement did not take place whilst the employer-side commonly indicates a lack of a willingness to settle because they believe they did nothing wrong.</w:t>
      </w:r>
    </w:p>
    <w:p>
      <w:pPr>
        <w:pStyle w:val="BodyText"/>
        <w:spacing w:line="259" w:lineRule="auto" w:before="161"/>
        <w:ind w:left="1338" w:right="1474"/>
        <w:jc w:val="both"/>
      </w:pPr>
      <w:r>
        <w:rPr/>
        <w:t>The</w:t>
      </w:r>
      <w:r>
        <w:rPr>
          <w:spacing w:val="-11"/>
        </w:rPr>
        <w:t> </w:t>
      </w:r>
      <w:r>
        <w:rPr/>
        <w:t>evaluations</w:t>
      </w:r>
      <w:r>
        <w:rPr>
          <w:spacing w:val="-11"/>
        </w:rPr>
        <w:t> </w:t>
      </w:r>
      <w:r>
        <w:rPr/>
        <w:t>reconfirm</w:t>
      </w:r>
      <w:r>
        <w:rPr>
          <w:spacing w:val="-9"/>
        </w:rPr>
        <w:t> </w:t>
      </w:r>
      <w:r>
        <w:rPr/>
        <w:t>that</w:t>
      </w:r>
      <w:r>
        <w:rPr>
          <w:spacing w:val="-9"/>
        </w:rPr>
        <w:t> </w:t>
      </w:r>
      <w:r>
        <w:rPr>
          <w:b/>
        </w:rPr>
        <w:t>the</w:t>
      </w:r>
      <w:r>
        <w:rPr>
          <w:b/>
          <w:spacing w:val="-11"/>
        </w:rPr>
        <w:t> </w:t>
      </w:r>
      <w:r>
        <w:rPr>
          <w:b/>
        </w:rPr>
        <w:t>service</w:t>
      </w:r>
      <w:r>
        <w:rPr>
          <w:b/>
          <w:spacing w:val="-8"/>
        </w:rPr>
        <w:t> </w:t>
      </w:r>
      <w:r>
        <w:rPr>
          <w:b/>
        </w:rPr>
        <w:t>provided</w:t>
      </w:r>
      <w:r>
        <w:rPr>
          <w:b/>
          <w:spacing w:val="-10"/>
        </w:rPr>
        <w:t> </w:t>
      </w:r>
      <w:r>
        <w:rPr>
          <w:b/>
        </w:rPr>
        <w:t>by</w:t>
      </w:r>
      <w:r>
        <w:rPr>
          <w:b/>
          <w:spacing w:val="-8"/>
        </w:rPr>
        <w:t> </w:t>
      </w:r>
      <w:r>
        <w:rPr>
          <w:b/>
        </w:rPr>
        <w:t>Acas</w:t>
      </w:r>
      <w:r>
        <w:rPr>
          <w:b/>
          <w:spacing w:val="-9"/>
        </w:rPr>
        <w:t> </w:t>
      </w:r>
      <w:r>
        <w:rPr>
          <w:b/>
        </w:rPr>
        <w:t>has</w:t>
      </w:r>
      <w:r>
        <w:rPr>
          <w:b/>
          <w:spacing w:val="-9"/>
        </w:rPr>
        <w:t> </w:t>
      </w:r>
      <w:r>
        <w:rPr>
          <w:b/>
        </w:rPr>
        <w:t>an</w:t>
      </w:r>
      <w:r>
        <w:rPr>
          <w:b/>
          <w:spacing w:val="-8"/>
        </w:rPr>
        <w:t> </w:t>
      </w:r>
      <w:r>
        <w:rPr>
          <w:b/>
        </w:rPr>
        <w:t>important role</w:t>
      </w:r>
      <w:r>
        <w:rPr>
          <w:b/>
          <w:spacing w:val="-9"/>
        </w:rPr>
        <w:t> </w:t>
      </w:r>
      <w:r>
        <w:rPr>
          <w:b/>
        </w:rPr>
        <w:t>in</w:t>
      </w:r>
      <w:r>
        <w:rPr>
          <w:b/>
          <w:spacing w:val="-9"/>
        </w:rPr>
        <w:t> </w:t>
      </w:r>
      <w:r>
        <w:rPr>
          <w:b/>
        </w:rPr>
        <w:t>preventing</w:t>
      </w:r>
      <w:r>
        <w:rPr>
          <w:b/>
          <w:spacing w:val="-9"/>
        </w:rPr>
        <w:t> </w:t>
      </w:r>
      <w:r>
        <w:rPr>
          <w:b/>
        </w:rPr>
        <w:t>employment</w:t>
      </w:r>
      <w:r>
        <w:rPr>
          <w:b/>
          <w:spacing w:val="-9"/>
        </w:rPr>
        <w:t> </w:t>
      </w:r>
      <w:r>
        <w:rPr>
          <w:b/>
        </w:rPr>
        <w:t>disputes</w:t>
      </w:r>
      <w:r>
        <w:rPr>
          <w:b/>
          <w:spacing w:val="-10"/>
        </w:rPr>
        <w:t> </w:t>
      </w:r>
      <w:r>
        <w:rPr>
          <w:b/>
        </w:rPr>
        <w:t>from</w:t>
      </w:r>
      <w:r>
        <w:rPr>
          <w:b/>
          <w:spacing w:val="-11"/>
        </w:rPr>
        <w:t> </w:t>
      </w:r>
      <w:r>
        <w:rPr>
          <w:b/>
        </w:rPr>
        <w:t>developing</w:t>
      </w:r>
      <w:r>
        <w:rPr>
          <w:b/>
          <w:spacing w:val="-9"/>
        </w:rPr>
        <w:t> </w:t>
      </w:r>
      <w:r>
        <w:rPr>
          <w:b/>
        </w:rPr>
        <w:t>further</w:t>
      </w:r>
      <w:r>
        <w:rPr/>
        <w:t>.</w:t>
      </w:r>
      <w:r>
        <w:rPr>
          <w:spacing w:val="-9"/>
        </w:rPr>
        <w:t> </w:t>
      </w:r>
      <w:r>
        <w:rPr/>
        <w:t>They</w:t>
      </w:r>
      <w:r>
        <w:rPr>
          <w:spacing w:val="-9"/>
        </w:rPr>
        <w:t> </w:t>
      </w:r>
      <w:r>
        <w:rPr/>
        <w:t>also paint</w:t>
      </w:r>
      <w:r>
        <w:rPr>
          <w:spacing w:val="-6"/>
        </w:rPr>
        <w:t> </w:t>
      </w:r>
      <w:r>
        <w:rPr/>
        <w:t>a</w:t>
      </w:r>
      <w:r>
        <w:rPr>
          <w:spacing w:val="-6"/>
        </w:rPr>
        <w:t> </w:t>
      </w:r>
      <w:r>
        <w:rPr/>
        <w:t>positive</w:t>
      </w:r>
      <w:r>
        <w:rPr>
          <w:spacing w:val="-8"/>
        </w:rPr>
        <w:t> </w:t>
      </w:r>
      <w:r>
        <w:rPr/>
        <w:t>picture</w:t>
      </w:r>
      <w:r>
        <w:rPr>
          <w:spacing w:val="-5"/>
        </w:rPr>
        <w:t> </w:t>
      </w:r>
      <w:r>
        <w:rPr/>
        <w:t>of</w:t>
      </w:r>
      <w:r>
        <w:rPr>
          <w:spacing w:val="-5"/>
        </w:rPr>
        <w:t> </w:t>
      </w:r>
      <w:r>
        <w:rPr/>
        <w:t>service</w:t>
      </w:r>
      <w:r>
        <w:rPr>
          <w:spacing w:val="-5"/>
        </w:rPr>
        <w:t> </w:t>
      </w:r>
      <w:r>
        <w:rPr/>
        <w:t>satisfaction</w:t>
      </w:r>
      <w:r>
        <w:rPr>
          <w:spacing w:val="-5"/>
        </w:rPr>
        <w:t> </w:t>
      </w:r>
      <w:r>
        <w:rPr/>
        <w:t>among</w:t>
      </w:r>
      <w:r>
        <w:rPr>
          <w:spacing w:val="-6"/>
        </w:rPr>
        <w:t> </w:t>
      </w:r>
      <w:r>
        <w:rPr/>
        <w:t>all</w:t>
      </w:r>
      <w:r>
        <w:rPr>
          <w:spacing w:val="-4"/>
        </w:rPr>
        <w:t> </w:t>
      </w:r>
      <w:r>
        <w:rPr/>
        <w:t>audiences.</w:t>
      </w:r>
      <w:r>
        <w:rPr>
          <w:spacing w:val="-7"/>
        </w:rPr>
        <w:t> </w:t>
      </w:r>
      <w:r>
        <w:rPr/>
        <w:t>At</w:t>
      </w:r>
      <w:r>
        <w:rPr>
          <w:spacing w:val="-1"/>
        </w:rPr>
        <w:t> </w:t>
      </w:r>
      <w:r>
        <w:rPr/>
        <w:t>both</w:t>
      </w:r>
      <w:r>
        <w:rPr>
          <w:spacing w:val="-5"/>
        </w:rPr>
        <w:t> </w:t>
      </w:r>
      <w:r>
        <w:rPr/>
        <w:t>EC</w:t>
      </w:r>
      <w:r>
        <w:rPr>
          <w:spacing w:val="-4"/>
        </w:rPr>
        <w:t> </w:t>
      </w:r>
      <w:r>
        <w:rPr/>
        <w:t>and post-ET1 stages and across all audiences, eight in ten service users are satisfied with the service provided. This figure is a slight decline for employers compared with</w:t>
      </w:r>
      <w:r>
        <w:rPr>
          <w:spacing w:val="-13"/>
        </w:rPr>
        <w:t> </w:t>
      </w:r>
      <w:r>
        <w:rPr/>
        <w:t>previous</w:t>
      </w:r>
      <w:r>
        <w:rPr>
          <w:spacing w:val="-14"/>
        </w:rPr>
        <w:t> </w:t>
      </w:r>
      <w:r>
        <w:rPr/>
        <w:t>waves</w:t>
      </w:r>
      <w:r>
        <w:rPr>
          <w:spacing w:val="-12"/>
        </w:rPr>
        <w:t> </w:t>
      </w:r>
      <w:r>
        <w:rPr/>
        <w:t>of</w:t>
      </w:r>
      <w:r>
        <w:rPr>
          <w:spacing w:val="-12"/>
        </w:rPr>
        <w:t> </w:t>
      </w:r>
      <w:r>
        <w:rPr/>
        <w:t>research</w:t>
      </w:r>
      <w:r>
        <w:rPr>
          <w:spacing w:val="-13"/>
        </w:rPr>
        <w:t> </w:t>
      </w:r>
      <w:r>
        <w:rPr/>
        <w:t>(down</w:t>
      </w:r>
      <w:r>
        <w:rPr>
          <w:spacing w:val="-13"/>
        </w:rPr>
        <w:t> </w:t>
      </w:r>
      <w:r>
        <w:rPr/>
        <w:t>six</w:t>
      </w:r>
      <w:r>
        <w:rPr>
          <w:spacing w:val="-14"/>
        </w:rPr>
        <w:t> </w:t>
      </w:r>
      <w:r>
        <w:rPr/>
        <w:t>points</w:t>
      </w:r>
      <w:r>
        <w:rPr>
          <w:spacing w:val="-14"/>
        </w:rPr>
        <w:t> </w:t>
      </w:r>
      <w:r>
        <w:rPr/>
        <w:t>at</w:t>
      </w:r>
      <w:r>
        <w:rPr>
          <w:spacing w:val="-13"/>
        </w:rPr>
        <w:t> </w:t>
      </w:r>
      <w:r>
        <w:rPr/>
        <w:t>EC</w:t>
      </w:r>
      <w:r>
        <w:rPr>
          <w:spacing w:val="-14"/>
        </w:rPr>
        <w:t> </w:t>
      </w:r>
      <w:r>
        <w:rPr/>
        <w:t>and</w:t>
      </w:r>
      <w:r>
        <w:rPr>
          <w:spacing w:val="-13"/>
        </w:rPr>
        <w:t> </w:t>
      </w:r>
      <w:r>
        <w:rPr/>
        <w:t>five</w:t>
      </w:r>
      <w:r>
        <w:rPr>
          <w:spacing w:val="-15"/>
        </w:rPr>
        <w:t> </w:t>
      </w:r>
      <w:r>
        <w:rPr/>
        <w:t>points</w:t>
      </w:r>
      <w:r>
        <w:rPr>
          <w:spacing w:val="-14"/>
        </w:rPr>
        <w:t> </w:t>
      </w:r>
      <w:r>
        <w:rPr/>
        <w:t>at</w:t>
      </w:r>
      <w:r>
        <w:rPr>
          <w:spacing w:val="-13"/>
        </w:rPr>
        <w:t> </w:t>
      </w:r>
      <w:r>
        <w:rPr/>
        <w:t>post-ET1) but</w:t>
      </w:r>
      <w:r>
        <w:rPr>
          <w:spacing w:val="-2"/>
        </w:rPr>
        <w:t> </w:t>
      </w:r>
      <w:r>
        <w:rPr/>
        <w:t>it</w:t>
      </w:r>
      <w:r>
        <w:rPr>
          <w:spacing w:val="-2"/>
        </w:rPr>
        <w:t> </w:t>
      </w:r>
      <w:r>
        <w:rPr/>
        <w:t>remains</w:t>
      </w:r>
      <w:r>
        <w:rPr>
          <w:spacing w:val="-4"/>
        </w:rPr>
        <w:t> </w:t>
      </w:r>
      <w:r>
        <w:rPr/>
        <w:t>the</w:t>
      </w:r>
      <w:r>
        <w:rPr>
          <w:spacing w:val="-2"/>
        </w:rPr>
        <w:t> </w:t>
      </w:r>
      <w:r>
        <w:rPr/>
        <w:t>case that</w:t>
      </w:r>
      <w:r>
        <w:rPr>
          <w:spacing w:val="-2"/>
        </w:rPr>
        <w:t> </w:t>
      </w:r>
      <w:r>
        <w:rPr/>
        <w:t>service</w:t>
      </w:r>
      <w:r>
        <w:rPr>
          <w:spacing w:val="-2"/>
        </w:rPr>
        <w:t> </w:t>
      </w:r>
      <w:r>
        <w:rPr/>
        <w:t>satisfaction</w:t>
      </w:r>
      <w:r>
        <w:rPr>
          <w:spacing w:val="-2"/>
        </w:rPr>
        <w:t> </w:t>
      </w:r>
      <w:r>
        <w:rPr/>
        <w:t>is</w:t>
      </w:r>
      <w:r>
        <w:rPr>
          <w:spacing w:val="-4"/>
        </w:rPr>
        <w:t> </w:t>
      </w:r>
      <w:r>
        <w:rPr/>
        <w:t>high.</w:t>
      </w:r>
      <w:r>
        <w:rPr>
          <w:spacing w:val="-4"/>
        </w:rPr>
        <w:t> </w:t>
      </w:r>
      <w:r>
        <w:rPr/>
        <w:t>The</w:t>
      </w:r>
      <w:r>
        <w:rPr>
          <w:spacing w:val="-2"/>
        </w:rPr>
        <w:t> </w:t>
      </w:r>
      <w:r>
        <w:rPr/>
        <w:t>full report details</w:t>
      </w:r>
      <w:r>
        <w:rPr>
          <w:spacing w:val="-4"/>
        </w:rPr>
        <w:t> </w:t>
      </w:r>
      <w:r>
        <w:rPr/>
        <w:t>how these satisfaction scores vary by subgroup.</w:t>
      </w:r>
    </w:p>
    <w:p>
      <w:pPr>
        <w:pStyle w:val="BodyText"/>
        <w:spacing w:line="256" w:lineRule="auto" w:before="158"/>
        <w:ind w:left="1338" w:right="1473"/>
        <w:jc w:val="both"/>
      </w:pPr>
      <w:r>
        <w:rPr/>
        <w:t>There are three priorities when considering how service evaluation scores can be secured and improved: to maintain and prioritise those areas that drive high satisfaction</w:t>
      </w:r>
      <w:r>
        <w:rPr>
          <w:spacing w:val="-14"/>
        </w:rPr>
        <w:t> </w:t>
      </w:r>
      <w:r>
        <w:rPr/>
        <w:t>scores,</w:t>
      </w:r>
      <w:r>
        <w:rPr>
          <w:spacing w:val="-15"/>
        </w:rPr>
        <w:t> </w:t>
      </w:r>
      <w:r>
        <w:rPr/>
        <w:t>to</w:t>
      </w:r>
      <w:r>
        <w:rPr>
          <w:spacing w:val="-16"/>
        </w:rPr>
        <w:t> </w:t>
      </w:r>
      <w:r>
        <w:rPr/>
        <w:t>address</w:t>
      </w:r>
      <w:r>
        <w:rPr>
          <w:spacing w:val="-15"/>
        </w:rPr>
        <w:t> </w:t>
      </w:r>
      <w:r>
        <w:rPr/>
        <w:t>audiences</w:t>
      </w:r>
      <w:r>
        <w:rPr>
          <w:spacing w:val="-15"/>
        </w:rPr>
        <w:t> </w:t>
      </w:r>
      <w:r>
        <w:rPr/>
        <w:t>where</w:t>
      </w:r>
      <w:r>
        <w:rPr>
          <w:spacing w:val="-13"/>
        </w:rPr>
        <w:t> </w:t>
      </w:r>
      <w:r>
        <w:rPr/>
        <w:t>satisfaction</w:t>
      </w:r>
      <w:r>
        <w:rPr>
          <w:spacing w:val="-14"/>
        </w:rPr>
        <w:t> </w:t>
      </w:r>
      <w:r>
        <w:rPr/>
        <w:t>scores</w:t>
      </w:r>
      <w:r>
        <w:rPr>
          <w:spacing w:val="-15"/>
        </w:rPr>
        <w:t> </w:t>
      </w:r>
      <w:r>
        <w:rPr/>
        <w:t>are</w:t>
      </w:r>
      <w:r>
        <w:rPr>
          <w:spacing w:val="-16"/>
        </w:rPr>
        <w:t> </w:t>
      </w:r>
      <w:r>
        <w:rPr/>
        <w:t>weaker,</w:t>
      </w:r>
      <w:r>
        <w:rPr>
          <w:spacing w:val="-15"/>
        </w:rPr>
        <w:t> </w:t>
      </w:r>
      <w:r>
        <w:rPr/>
        <w:t>and to tailor the service to different audience needs where appropriate to do so.</w:t>
      </w:r>
    </w:p>
    <w:p>
      <w:pPr>
        <w:pStyle w:val="BodyText"/>
        <w:spacing w:line="259" w:lineRule="auto" w:before="167"/>
        <w:ind w:left="1338" w:right="1472"/>
        <w:jc w:val="both"/>
      </w:pPr>
      <w:r>
        <w:rPr/>
        <w:t>Before exploring these priorities in greater detail, it is important to note that satisfaction with the service is directly affected by the outcome of the case: those settling their case at EC and post-ET1 tend to be more satisfied with the service provided than those who do not. One reading of this relationship is that focusing solely</w:t>
      </w:r>
      <w:r>
        <w:rPr>
          <w:spacing w:val="-18"/>
        </w:rPr>
        <w:t> </w:t>
      </w:r>
      <w:r>
        <w:rPr/>
        <w:t>on</w:t>
      </w:r>
      <w:r>
        <w:rPr>
          <w:spacing w:val="-18"/>
        </w:rPr>
        <w:t> </w:t>
      </w:r>
      <w:r>
        <w:rPr/>
        <w:t>settling</w:t>
      </w:r>
      <w:r>
        <w:rPr>
          <w:spacing w:val="-17"/>
        </w:rPr>
        <w:t> </w:t>
      </w:r>
      <w:r>
        <w:rPr/>
        <w:t>cases</w:t>
      </w:r>
      <w:r>
        <w:rPr>
          <w:spacing w:val="-16"/>
        </w:rPr>
        <w:t> </w:t>
      </w:r>
      <w:r>
        <w:rPr/>
        <w:t>would</w:t>
      </w:r>
      <w:r>
        <w:rPr>
          <w:spacing w:val="-17"/>
        </w:rPr>
        <w:t> </w:t>
      </w:r>
      <w:r>
        <w:rPr/>
        <w:t>increase</w:t>
      </w:r>
      <w:r>
        <w:rPr>
          <w:spacing w:val="-17"/>
        </w:rPr>
        <w:t> </w:t>
      </w:r>
      <w:r>
        <w:rPr/>
        <w:t>service</w:t>
      </w:r>
      <w:r>
        <w:rPr>
          <w:spacing w:val="-17"/>
        </w:rPr>
        <w:t> </w:t>
      </w:r>
      <w:r>
        <w:rPr/>
        <w:t>satisfaction</w:t>
      </w:r>
      <w:r>
        <w:rPr>
          <w:spacing w:val="-17"/>
        </w:rPr>
        <w:t> </w:t>
      </w:r>
      <w:r>
        <w:rPr/>
        <w:t>scores</w:t>
      </w:r>
      <w:r>
        <w:rPr>
          <w:spacing w:val="-17"/>
        </w:rPr>
        <w:t> </w:t>
      </w:r>
      <w:r>
        <w:rPr/>
        <w:t>further</w:t>
      </w:r>
      <w:r>
        <w:rPr>
          <w:spacing w:val="-18"/>
        </w:rPr>
        <w:t> </w:t>
      </w:r>
      <w:r>
        <w:rPr/>
        <w:t>–</w:t>
      </w:r>
      <w:r>
        <w:rPr>
          <w:spacing w:val="-18"/>
        </w:rPr>
        <w:t> </w:t>
      </w:r>
      <w:r>
        <w:rPr/>
        <w:t>however the data reveals this</w:t>
      </w:r>
      <w:r>
        <w:rPr>
          <w:spacing w:val="-1"/>
        </w:rPr>
        <w:t> </w:t>
      </w:r>
      <w:r>
        <w:rPr/>
        <w:t>is a circular relationship, where the service provided by Acas can</w:t>
      </w:r>
      <w:r>
        <w:rPr>
          <w:spacing w:val="19"/>
        </w:rPr>
        <w:t> </w:t>
      </w:r>
      <w:r>
        <w:rPr/>
        <w:t>influence</w:t>
      </w:r>
      <w:r>
        <w:rPr>
          <w:spacing w:val="17"/>
        </w:rPr>
        <w:t> </w:t>
      </w:r>
      <w:r>
        <w:rPr/>
        <w:t>the</w:t>
      </w:r>
      <w:r>
        <w:rPr>
          <w:spacing w:val="19"/>
        </w:rPr>
        <w:t> </w:t>
      </w:r>
      <w:r>
        <w:rPr/>
        <w:t>outcome.</w:t>
      </w:r>
      <w:r>
        <w:rPr>
          <w:spacing w:val="20"/>
        </w:rPr>
        <w:t> </w:t>
      </w:r>
      <w:r>
        <w:rPr/>
        <w:t>Therefore,</w:t>
      </w:r>
      <w:r>
        <w:rPr>
          <w:spacing w:val="17"/>
        </w:rPr>
        <w:t> </w:t>
      </w:r>
      <w:r>
        <w:rPr/>
        <w:t>the</w:t>
      </w:r>
      <w:r>
        <w:rPr>
          <w:spacing w:val="19"/>
        </w:rPr>
        <w:t> </w:t>
      </w:r>
      <w:r>
        <w:rPr/>
        <w:t>steps</w:t>
      </w:r>
      <w:r>
        <w:rPr>
          <w:spacing w:val="17"/>
        </w:rPr>
        <w:t> </w:t>
      </w:r>
      <w:r>
        <w:rPr/>
        <w:t>Acas</w:t>
      </w:r>
      <w:r>
        <w:rPr>
          <w:spacing w:val="17"/>
        </w:rPr>
        <w:t> </w:t>
      </w:r>
      <w:r>
        <w:rPr/>
        <w:t>can</w:t>
      </w:r>
      <w:r>
        <w:rPr>
          <w:spacing w:val="21"/>
        </w:rPr>
        <w:t> </w:t>
      </w:r>
      <w:r>
        <w:rPr/>
        <w:t>take</w:t>
      </w:r>
      <w:r>
        <w:rPr>
          <w:spacing w:val="19"/>
        </w:rPr>
        <w:t> </w:t>
      </w:r>
      <w:r>
        <w:rPr/>
        <w:t>in</w:t>
      </w:r>
      <w:r>
        <w:rPr>
          <w:spacing w:val="19"/>
        </w:rPr>
        <w:t> </w:t>
      </w:r>
      <w:r>
        <w:rPr/>
        <w:t>improving</w:t>
      </w:r>
      <w:r>
        <w:rPr>
          <w:spacing w:val="19"/>
        </w:rPr>
        <w:t> </w:t>
      </w:r>
      <w:r>
        <w:rPr>
          <w:spacing w:val="-5"/>
        </w:rPr>
        <w:t>the</w:t>
      </w:r>
    </w:p>
    <w:p>
      <w:pPr>
        <w:spacing w:after="0" w:line="259" w:lineRule="auto"/>
        <w:jc w:val="both"/>
        <w:sectPr>
          <w:pgSz w:w="11910" w:h="16840"/>
          <w:pgMar w:header="0" w:footer="996" w:top="1340" w:bottom="1180" w:left="460" w:right="320"/>
        </w:sectPr>
      </w:pPr>
    </w:p>
    <w:p>
      <w:pPr>
        <w:pStyle w:val="BodyText"/>
        <w:spacing w:line="259" w:lineRule="auto" w:before="82"/>
        <w:ind w:left="1337" w:right="1473"/>
        <w:jc w:val="both"/>
      </w:pPr>
      <w:r>
        <w:rPr/>
        <w:t>service</w:t>
      </w:r>
      <w:r>
        <w:rPr>
          <w:spacing w:val="-10"/>
        </w:rPr>
        <w:t> </w:t>
      </w:r>
      <w:r>
        <w:rPr/>
        <w:t>it</w:t>
      </w:r>
      <w:r>
        <w:rPr>
          <w:spacing w:val="-9"/>
        </w:rPr>
        <w:t> </w:t>
      </w:r>
      <w:r>
        <w:rPr/>
        <w:t>provides</w:t>
      </w:r>
      <w:r>
        <w:rPr>
          <w:spacing w:val="-9"/>
        </w:rPr>
        <w:t> </w:t>
      </w:r>
      <w:r>
        <w:rPr/>
        <w:t>will</w:t>
      </w:r>
      <w:r>
        <w:rPr>
          <w:spacing w:val="-10"/>
        </w:rPr>
        <w:t> </w:t>
      </w:r>
      <w:r>
        <w:rPr/>
        <w:t>help</w:t>
      </w:r>
      <w:r>
        <w:rPr>
          <w:spacing w:val="-9"/>
        </w:rPr>
        <w:t> </w:t>
      </w:r>
      <w:r>
        <w:rPr/>
        <w:t>drive</w:t>
      </w:r>
      <w:r>
        <w:rPr>
          <w:spacing w:val="-10"/>
        </w:rPr>
        <w:t> </w:t>
      </w:r>
      <w:r>
        <w:rPr/>
        <w:t>positive</w:t>
      </w:r>
      <w:r>
        <w:rPr>
          <w:spacing w:val="-10"/>
        </w:rPr>
        <w:t> </w:t>
      </w:r>
      <w:r>
        <w:rPr/>
        <w:t>outcomes,</w:t>
      </w:r>
      <w:r>
        <w:rPr>
          <w:spacing w:val="-10"/>
        </w:rPr>
        <w:t> </w:t>
      </w:r>
      <w:r>
        <w:rPr/>
        <w:t>which</w:t>
      </w:r>
      <w:r>
        <w:rPr>
          <w:spacing w:val="-11"/>
        </w:rPr>
        <w:t> </w:t>
      </w:r>
      <w:r>
        <w:rPr/>
        <w:t>in</w:t>
      </w:r>
      <w:r>
        <w:rPr>
          <w:spacing w:val="-9"/>
        </w:rPr>
        <w:t> </w:t>
      </w:r>
      <w:r>
        <w:rPr/>
        <w:t>turn</w:t>
      </w:r>
      <w:r>
        <w:rPr>
          <w:spacing w:val="-10"/>
        </w:rPr>
        <w:t> </w:t>
      </w:r>
      <w:r>
        <w:rPr/>
        <w:t>frame</w:t>
      </w:r>
      <w:r>
        <w:rPr>
          <w:spacing w:val="-10"/>
        </w:rPr>
        <w:t> </w:t>
      </w:r>
      <w:r>
        <w:rPr/>
        <w:t>how</w:t>
      </w:r>
      <w:r>
        <w:rPr>
          <w:spacing w:val="-10"/>
        </w:rPr>
        <w:t> </w:t>
      </w:r>
      <w:r>
        <w:rPr/>
        <w:t>some participants view the service they received.</w:t>
      </w:r>
    </w:p>
    <w:p>
      <w:pPr>
        <w:pStyle w:val="BodyText"/>
        <w:spacing w:line="259" w:lineRule="auto" w:before="160"/>
        <w:ind w:left="1337" w:right="1471"/>
        <w:jc w:val="both"/>
      </w:pPr>
      <w:r>
        <w:rPr/>
        <w:t>The EC evaluation highlights some priorities: among claimants, a key driver of satisfaction is agreement that ‘the information provided by Acas at the EC form submission stage helped claimants understand how the EC process worked’</w:t>
      </w:r>
      <w:hyperlink w:history="true" w:anchor="_bookmark89">
        <w:r>
          <w:rPr>
            <w:position w:val="7"/>
            <w:sz w:val="13"/>
          </w:rPr>
          <w:t>39</w:t>
        </w:r>
      </w:hyperlink>
      <w:r>
        <w:rPr/>
        <w:t>. Similarly, claimants who agreed that EC sounded suitable to their case when they discussed</w:t>
      </w:r>
      <w:r>
        <w:rPr>
          <w:spacing w:val="-6"/>
        </w:rPr>
        <w:t> </w:t>
      </w:r>
      <w:r>
        <w:rPr/>
        <w:t>it</w:t>
      </w:r>
      <w:r>
        <w:rPr>
          <w:spacing w:val="-5"/>
        </w:rPr>
        <w:t> </w:t>
      </w:r>
      <w:r>
        <w:rPr/>
        <w:t>with</w:t>
      </w:r>
      <w:r>
        <w:rPr>
          <w:spacing w:val="-6"/>
        </w:rPr>
        <w:t> </w:t>
      </w:r>
      <w:r>
        <w:rPr/>
        <w:t>the</w:t>
      </w:r>
      <w:r>
        <w:rPr>
          <w:spacing w:val="-7"/>
        </w:rPr>
        <w:t> </w:t>
      </w:r>
      <w:r>
        <w:rPr/>
        <w:t>ECSO</w:t>
      </w:r>
      <w:r>
        <w:rPr>
          <w:spacing w:val="-6"/>
        </w:rPr>
        <w:t> </w:t>
      </w:r>
      <w:r>
        <w:rPr/>
        <w:t>were</w:t>
      </w:r>
      <w:r>
        <w:rPr>
          <w:spacing w:val="-6"/>
        </w:rPr>
        <w:t> </w:t>
      </w:r>
      <w:r>
        <w:rPr/>
        <w:t>also</w:t>
      </w:r>
      <w:r>
        <w:rPr>
          <w:spacing w:val="-6"/>
        </w:rPr>
        <w:t> </w:t>
      </w:r>
      <w:r>
        <w:rPr/>
        <w:t>more</w:t>
      </w:r>
      <w:r>
        <w:rPr>
          <w:spacing w:val="-6"/>
        </w:rPr>
        <w:t> </w:t>
      </w:r>
      <w:r>
        <w:rPr/>
        <w:t>likely</w:t>
      </w:r>
      <w:r>
        <w:rPr>
          <w:spacing w:val="-5"/>
        </w:rPr>
        <w:t> </w:t>
      </w:r>
      <w:r>
        <w:rPr/>
        <w:t>to</w:t>
      </w:r>
      <w:r>
        <w:rPr>
          <w:spacing w:val="-6"/>
        </w:rPr>
        <w:t> </w:t>
      </w:r>
      <w:r>
        <w:rPr/>
        <w:t>give</w:t>
      </w:r>
      <w:r>
        <w:rPr>
          <w:spacing w:val="-6"/>
        </w:rPr>
        <w:t> </w:t>
      </w:r>
      <w:r>
        <w:rPr/>
        <w:t>higher</w:t>
      </w:r>
      <w:r>
        <w:rPr>
          <w:spacing w:val="-6"/>
        </w:rPr>
        <w:t> </w:t>
      </w:r>
      <w:r>
        <w:rPr/>
        <w:t>satisfaction</w:t>
      </w:r>
      <w:r>
        <w:rPr>
          <w:spacing w:val="-5"/>
        </w:rPr>
        <w:t> </w:t>
      </w:r>
      <w:r>
        <w:rPr/>
        <w:t>scores. For employers, the availability of conciliators and method of contact (telephone) drive</w:t>
      </w:r>
      <w:r>
        <w:rPr>
          <w:spacing w:val="-2"/>
        </w:rPr>
        <w:t> </w:t>
      </w:r>
      <w:r>
        <w:rPr/>
        <w:t>positive</w:t>
      </w:r>
      <w:r>
        <w:rPr>
          <w:spacing w:val="-2"/>
        </w:rPr>
        <w:t> </w:t>
      </w:r>
      <w:r>
        <w:rPr/>
        <w:t>satisfaction</w:t>
      </w:r>
      <w:r>
        <w:rPr>
          <w:spacing w:val="-1"/>
        </w:rPr>
        <w:t> </w:t>
      </w:r>
      <w:r>
        <w:rPr/>
        <w:t>scores.</w:t>
      </w:r>
      <w:r>
        <w:rPr>
          <w:spacing w:val="-3"/>
        </w:rPr>
        <w:t> </w:t>
      </w:r>
      <w:r>
        <w:rPr/>
        <w:t>These</w:t>
      </w:r>
      <w:r>
        <w:rPr>
          <w:spacing w:val="-2"/>
        </w:rPr>
        <w:t> </w:t>
      </w:r>
      <w:r>
        <w:rPr/>
        <w:t>findings</w:t>
      </w:r>
      <w:r>
        <w:rPr>
          <w:spacing w:val="-2"/>
        </w:rPr>
        <w:t> </w:t>
      </w:r>
      <w:r>
        <w:rPr/>
        <w:t>show</w:t>
      </w:r>
      <w:r>
        <w:rPr>
          <w:spacing w:val="-3"/>
        </w:rPr>
        <w:t> </w:t>
      </w:r>
      <w:r>
        <w:rPr/>
        <w:t>that</w:t>
      </w:r>
      <w:r>
        <w:rPr>
          <w:spacing w:val="-3"/>
        </w:rPr>
        <w:t> </w:t>
      </w:r>
      <w:r>
        <w:rPr/>
        <w:t>for</w:t>
      </w:r>
      <w:r>
        <w:rPr>
          <w:spacing w:val="-2"/>
        </w:rPr>
        <w:t> </w:t>
      </w:r>
      <w:r>
        <w:rPr/>
        <w:t>claimants</w:t>
      </w:r>
      <w:r>
        <w:rPr>
          <w:spacing w:val="-2"/>
        </w:rPr>
        <w:t> </w:t>
      </w:r>
      <w:r>
        <w:rPr/>
        <w:t>providing clear information at the early stages of conciliation is among the most important steps to take,</w:t>
      </w:r>
      <w:hyperlink w:history="true" w:anchor="_bookmark90">
        <w:r>
          <w:rPr>
            <w:position w:val="7"/>
            <w:sz w:val="13"/>
          </w:rPr>
          <w:t>40</w:t>
        </w:r>
      </w:hyperlink>
      <w:r>
        <w:rPr>
          <w:spacing w:val="31"/>
          <w:position w:val="7"/>
          <w:sz w:val="13"/>
        </w:rPr>
        <w:t> </w:t>
      </w:r>
      <w:r>
        <w:rPr/>
        <w:t>while for employers ensuring conciliators are available when they are needed throughout the process is key.</w:t>
      </w:r>
    </w:p>
    <w:p>
      <w:pPr>
        <w:pStyle w:val="BodyText"/>
        <w:spacing w:line="259" w:lineRule="auto" w:before="158"/>
        <w:ind w:left="1337" w:right="1473"/>
        <w:jc w:val="both"/>
      </w:pPr>
      <w:r>
        <w:rPr/>
        <w:t>Agreement that ‘Acas involvement was important in helping move parties closer towards</w:t>
      </w:r>
      <w:r>
        <w:rPr>
          <w:spacing w:val="-11"/>
        </w:rPr>
        <w:t> </w:t>
      </w:r>
      <w:r>
        <w:rPr/>
        <w:t>resolving</w:t>
      </w:r>
      <w:r>
        <w:rPr>
          <w:spacing w:val="-11"/>
        </w:rPr>
        <w:t> </w:t>
      </w:r>
      <w:r>
        <w:rPr/>
        <w:t>the</w:t>
      </w:r>
      <w:r>
        <w:rPr>
          <w:spacing w:val="-12"/>
        </w:rPr>
        <w:t> </w:t>
      </w:r>
      <w:r>
        <w:rPr/>
        <w:t>case’</w:t>
      </w:r>
      <w:r>
        <w:rPr>
          <w:spacing w:val="-11"/>
        </w:rPr>
        <w:t> </w:t>
      </w:r>
      <w:r>
        <w:rPr/>
        <w:t>was</w:t>
      </w:r>
      <w:r>
        <w:rPr>
          <w:spacing w:val="-13"/>
        </w:rPr>
        <w:t> </w:t>
      </w:r>
      <w:r>
        <w:rPr/>
        <w:t>also</w:t>
      </w:r>
      <w:r>
        <w:rPr>
          <w:spacing w:val="-12"/>
        </w:rPr>
        <w:t> </w:t>
      </w:r>
      <w:r>
        <w:rPr/>
        <w:t>a</w:t>
      </w:r>
      <w:r>
        <w:rPr>
          <w:spacing w:val="-12"/>
        </w:rPr>
        <w:t> </w:t>
      </w:r>
      <w:r>
        <w:rPr/>
        <w:t>key</w:t>
      </w:r>
      <w:r>
        <w:rPr>
          <w:spacing w:val="-12"/>
        </w:rPr>
        <w:t> </w:t>
      </w:r>
      <w:r>
        <w:rPr/>
        <w:t>driver</w:t>
      </w:r>
      <w:r>
        <w:rPr>
          <w:spacing w:val="-12"/>
        </w:rPr>
        <w:t> </w:t>
      </w:r>
      <w:r>
        <w:rPr/>
        <w:t>of</w:t>
      </w:r>
      <w:r>
        <w:rPr>
          <w:spacing w:val="-11"/>
        </w:rPr>
        <w:t> </w:t>
      </w:r>
      <w:r>
        <w:rPr/>
        <w:t>satisfaction</w:t>
      </w:r>
      <w:r>
        <w:rPr>
          <w:spacing w:val="-11"/>
        </w:rPr>
        <w:t> </w:t>
      </w:r>
      <w:r>
        <w:rPr/>
        <w:t>with</w:t>
      </w:r>
      <w:r>
        <w:rPr>
          <w:spacing w:val="-12"/>
        </w:rPr>
        <w:t> </w:t>
      </w:r>
      <w:r>
        <w:rPr/>
        <w:t>the</w:t>
      </w:r>
      <w:r>
        <w:rPr>
          <w:spacing w:val="-12"/>
        </w:rPr>
        <w:t> </w:t>
      </w:r>
      <w:r>
        <w:rPr/>
        <w:t>service</w:t>
      </w:r>
      <w:r>
        <w:rPr>
          <w:spacing w:val="-12"/>
        </w:rPr>
        <w:t> </w:t>
      </w:r>
      <w:r>
        <w:rPr/>
        <w:t>for both</w:t>
      </w:r>
      <w:r>
        <w:rPr>
          <w:spacing w:val="-9"/>
        </w:rPr>
        <w:t> </w:t>
      </w:r>
      <w:r>
        <w:rPr/>
        <w:t>audiences.</w:t>
      </w:r>
      <w:r>
        <w:rPr>
          <w:spacing w:val="-9"/>
        </w:rPr>
        <w:t> </w:t>
      </w:r>
      <w:r>
        <w:rPr/>
        <w:t>This</w:t>
      </w:r>
      <w:r>
        <w:rPr>
          <w:spacing w:val="-9"/>
        </w:rPr>
        <w:t> </w:t>
      </w:r>
      <w:r>
        <w:rPr/>
        <w:t>means</w:t>
      </w:r>
      <w:r>
        <w:rPr>
          <w:spacing w:val="-9"/>
        </w:rPr>
        <w:t> </w:t>
      </w:r>
      <w:r>
        <w:rPr/>
        <w:t>that</w:t>
      </w:r>
      <w:r>
        <w:rPr>
          <w:spacing w:val="-9"/>
        </w:rPr>
        <w:t> </w:t>
      </w:r>
      <w:r>
        <w:rPr/>
        <w:t>although</w:t>
      </w:r>
      <w:r>
        <w:rPr>
          <w:spacing w:val="-9"/>
        </w:rPr>
        <w:t> </w:t>
      </w:r>
      <w:r>
        <w:rPr/>
        <w:t>specific</w:t>
      </w:r>
      <w:r>
        <w:rPr>
          <w:spacing w:val="-9"/>
        </w:rPr>
        <w:t> </w:t>
      </w:r>
      <w:r>
        <w:rPr/>
        <w:t>elements</w:t>
      </w:r>
      <w:r>
        <w:rPr>
          <w:spacing w:val="-9"/>
        </w:rPr>
        <w:t> </w:t>
      </w:r>
      <w:r>
        <w:rPr/>
        <w:t>of</w:t>
      </w:r>
      <w:r>
        <w:rPr>
          <w:spacing w:val="-9"/>
        </w:rPr>
        <w:t> </w:t>
      </w:r>
      <w:r>
        <w:rPr/>
        <w:t>the</w:t>
      </w:r>
      <w:r>
        <w:rPr>
          <w:spacing w:val="-10"/>
        </w:rPr>
        <w:t> </w:t>
      </w:r>
      <w:r>
        <w:rPr/>
        <w:t>service</w:t>
      </w:r>
      <w:r>
        <w:rPr>
          <w:spacing w:val="-10"/>
        </w:rPr>
        <w:t> </w:t>
      </w:r>
      <w:r>
        <w:rPr/>
        <w:t>and</w:t>
      </w:r>
      <w:r>
        <w:rPr>
          <w:spacing w:val="-9"/>
        </w:rPr>
        <w:t> </w:t>
      </w:r>
      <w:r>
        <w:rPr/>
        <w:t>how it is delivered matter, the skill of the conciliator in bringing the two sides together during</w:t>
      </w:r>
      <w:r>
        <w:rPr>
          <w:spacing w:val="-16"/>
        </w:rPr>
        <w:t> </w:t>
      </w:r>
      <w:r>
        <w:rPr/>
        <w:t>the</w:t>
      </w:r>
      <w:r>
        <w:rPr>
          <w:spacing w:val="-15"/>
        </w:rPr>
        <w:t> </w:t>
      </w:r>
      <w:r>
        <w:rPr/>
        <w:t>conciliation</w:t>
      </w:r>
      <w:r>
        <w:rPr>
          <w:spacing w:val="-14"/>
        </w:rPr>
        <w:t> </w:t>
      </w:r>
      <w:r>
        <w:rPr/>
        <w:t>process</w:t>
      </w:r>
      <w:r>
        <w:rPr>
          <w:spacing w:val="-14"/>
        </w:rPr>
        <w:t> </w:t>
      </w:r>
      <w:r>
        <w:rPr/>
        <w:t>itself</w:t>
      </w:r>
      <w:r>
        <w:rPr>
          <w:spacing w:val="-14"/>
        </w:rPr>
        <w:t> </w:t>
      </w:r>
      <w:r>
        <w:rPr/>
        <w:t>(and</w:t>
      </w:r>
      <w:r>
        <w:rPr>
          <w:spacing w:val="-15"/>
        </w:rPr>
        <w:t> </w:t>
      </w:r>
      <w:r>
        <w:rPr/>
        <w:t>be</w:t>
      </w:r>
      <w:r>
        <w:rPr>
          <w:spacing w:val="-15"/>
        </w:rPr>
        <w:t> </w:t>
      </w:r>
      <w:r>
        <w:rPr/>
        <w:t>seen</w:t>
      </w:r>
      <w:r>
        <w:rPr>
          <w:spacing w:val="-14"/>
        </w:rPr>
        <w:t> </w:t>
      </w:r>
      <w:r>
        <w:rPr/>
        <w:t>to</w:t>
      </w:r>
      <w:r>
        <w:rPr>
          <w:spacing w:val="-16"/>
        </w:rPr>
        <w:t> </w:t>
      </w:r>
      <w:r>
        <w:rPr/>
        <w:t>do</w:t>
      </w:r>
      <w:r>
        <w:rPr>
          <w:spacing w:val="-14"/>
        </w:rPr>
        <w:t> </w:t>
      </w:r>
      <w:r>
        <w:rPr/>
        <w:t>so)</w:t>
      </w:r>
      <w:r>
        <w:rPr>
          <w:spacing w:val="-15"/>
        </w:rPr>
        <w:t> </w:t>
      </w:r>
      <w:r>
        <w:rPr/>
        <w:t>is</w:t>
      </w:r>
      <w:r>
        <w:rPr>
          <w:spacing w:val="-14"/>
        </w:rPr>
        <w:t> </w:t>
      </w:r>
      <w:r>
        <w:rPr/>
        <w:t>also</w:t>
      </w:r>
      <w:r>
        <w:rPr>
          <w:spacing w:val="-14"/>
        </w:rPr>
        <w:t> </w:t>
      </w:r>
      <w:r>
        <w:rPr/>
        <w:t>highly</w:t>
      </w:r>
      <w:r>
        <w:rPr>
          <w:spacing w:val="-13"/>
        </w:rPr>
        <w:t> </w:t>
      </w:r>
      <w:r>
        <w:rPr>
          <w:spacing w:val="-2"/>
        </w:rPr>
        <w:t>important.</w:t>
      </w:r>
    </w:p>
    <w:p>
      <w:pPr>
        <w:pStyle w:val="BodyText"/>
        <w:spacing w:before="7"/>
        <w:rPr>
          <w:sz w:val="19"/>
        </w:rPr>
      </w:pPr>
    </w:p>
    <w:p>
      <w:pPr>
        <w:pStyle w:val="Heading3"/>
      </w:pPr>
      <w:r>
        <w:rPr/>
        <w:t>Early</w:t>
      </w:r>
      <w:r>
        <w:rPr>
          <w:spacing w:val="-4"/>
        </w:rPr>
        <w:t> </w:t>
      </w:r>
      <w:r>
        <w:rPr>
          <w:spacing w:val="-2"/>
        </w:rPr>
        <w:t>Conciliation</w:t>
      </w:r>
    </w:p>
    <w:p>
      <w:pPr>
        <w:pStyle w:val="BodyText"/>
        <w:spacing w:line="259" w:lineRule="auto" w:before="180"/>
        <w:ind w:left="1337" w:right="1472"/>
        <w:jc w:val="both"/>
      </w:pPr>
      <w:r>
        <w:rPr/>
        <w:t>Across EC, a pattern of strongly positive findings emerges. Among both the claimant and employer-side clear majorities agree that the conciliators were available when needed, were even-handed and offered the right level of contact. Claimant and employer-side participants in conciliation are also much more likely to rate the conciliator as ‘good’ rather than ‘poor’ on a host of service attributes. An exception was seen over the extent to which service users felt that their conciliator</w:t>
      </w:r>
      <w:r>
        <w:rPr>
          <w:spacing w:val="-1"/>
        </w:rPr>
        <w:t> </w:t>
      </w:r>
      <w:r>
        <w:rPr/>
        <w:t>‘explained</w:t>
      </w:r>
      <w:r>
        <w:rPr>
          <w:spacing w:val="-1"/>
        </w:rPr>
        <w:t> </w:t>
      </w:r>
      <w:r>
        <w:rPr/>
        <w:t>the</w:t>
      </w:r>
      <w:r>
        <w:rPr>
          <w:spacing w:val="-1"/>
        </w:rPr>
        <w:t> </w:t>
      </w:r>
      <w:r>
        <w:rPr/>
        <w:t>employment law as</w:t>
      </w:r>
      <w:r>
        <w:rPr>
          <w:spacing w:val="-2"/>
        </w:rPr>
        <w:t> </w:t>
      </w:r>
      <w:r>
        <w:rPr/>
        <w:t>it applied</w:t>
      </w:r>
      <w:r>
        <w:rPr>
          <w:spacing w:val="-1"/>
        </w:rPr>
        <w:t> </w:t>
      </w:r>
      <w:r>
        <w:rPr/>
        <w:t>to</w:t>
      </w:r>
      <w:r>
        <w:rPr>
          <w:spacing w:val="-1"/>
        </w:rPr>
        <w:t> </w:t>
      </w:r>
      <w:r>
        <w:rPr/>
        <w:t>my problem’,</w:t>
      </w:r>
      <w:r>
        <w:rPr>
          <w:spacing w:val="-1"/>
        </w:rPr>
        <w:t> </w:t>
      </w:r>
      <w:r>
        <w:rPr/>
        <w:t>where</w:t>
      </w:r>
      <w:r>
        <w:rPr>
          <w:spacing w:val="-1"/>
        </w:rPr>
        <w:t> </w:t>
      </w:r>
      <w:r>
        <w:rPr/>
        <w:t>the proportion saying ‘good’ fell significantly – however this finding is not repeated at post-ET1, nor is it a key driver of EC outcome or satisfaction with the service. Therefore, it does not appear to be a great cause for concern other than to make sure this happens where appropriate.</w:t>
      </w:r>
    </w:p>
    <w:p>
      <w:pPr>
        <w:pStyle w:val="BodyText"/>
        <w:spacing w:line="259" w:lineRule="auto" w:before="156"/>
        <w:ind w:left="1337" w:right="1472"/>
        <w:jc w:val="both"/>
      </w:pPr>
      <w:r>
        <w:rPr/>
        <w:t>Another</w:t>
      </w:r>
      <w:r>
        <w:rPr>
          <w:spacing w:val="-9"/>
        </w:rPr>
        <w:t> </w:t>
      </w:r>
      <w:r>
        <w:rPr/>
        <w:t>key</w:t>
      </w:r>
      <w:r>
        <w:rPr>
          <w:spacing w:val="-9"/>
        </w:rPr>
        <w:t> </w:t>
      </w:r>
      <w:r>
        <w:rPr/>
        <w:t>trend</w:t>
      </w:r>
      <w:r>
        <w:rPr>
          <w:spacing w:val="-9"/>
        </w:rPr>
        <w:t> </w:t>
      </w:r>
      <w:r>
        <w:rPr/>
        <w:t>observed</w:t>
      </w:r>
      <w:r>
        <w:rPr>
          <w:spacing w:val="-8"/>
        </w:rPr>
        <w:t> </w:t>
      </w:r>
      <w:r>
        <w:rPr/>
        <w:t>is</w:t>
      </w:r>
      <w:r>
        <w:rPr>
          <w:spacing w:val="-8"/>
        </w:rPr>
        <w:t> </w:t>
      </w:r>
      <w:r>
        <w:rPr>
          <w:b/>
        </w:rPr>
        <w:t>the</w:t>
      </w:r>
      <w:r>
        <w:rPr>
          <w:b/>
          <w:spacing w:val="-10"/>
        </w:rPr>
        <w:t> </w:t>
      </w:r>
      <w:r>
        <w:rPr>
          <w:b/>
        </w:rPr>
        <w:t>growth</w:t>
      </w:r>
      <w:r>
        <w:rPr>
          <w:b/>
          <w:spacing w:val="-8"/>
        </w:rPr>
        <w:t> </w:t>
      </w:r>
      <w:r>
        <w:rPr>
          <w:b/>
        </w:rPr>
        <w:t>in</w:t>
      </w:r>
      <w:r>
        <w:rPr>
          <w:b/>
          <w:spacing w:val="-10"/>
        </w:rPr>
        <w:t> </w:t>
      </w:r>
      <w:r>
        <w:rPr>
          <w:b/>
        </w:rPr>
        <w:t>importance</w:t>
      </w:r>
      <w:r>
        <w:rPr>
          <w:b/>
          <w:spacing w:val="-10"/>
        </w:rPr>
        <w:t> </w:t>
      </w:r>
      <w:r>
        <w:rPr>
          <w:b/>
        </w:rPr>
        <w:t>of</w:t>
      </w:r>
      <w:r>
        <w:rPr>
          <w:b/>
          <w:spacing w:val="-9"/>
        </w:rPr>
        <w:t> </w:t>
      </w:r>
      <w:r>
        <w:rPr>
          <w:b/>
        </w:rPr>
        <w:t>email</w:t>
      </w:r>
      <w:r>
        <w:rPr>
          <w:b/>
          <w:spacing w:val="-10"/>
        </w:rPr>
        <w:t> </w:t>
      </w:r>
      <w:r>
        <w:rPr>
          <w:b/>
        </w:rPr>
        <w:t>as</w:t>
      </w:r>
      <w:r>
        <w:rPr>
          <w:b/>
          <w:spacing w:val="-9"/>
        </w:rPr>
        <w:t> </w:t>
      </w:r>
      <w:r>
        <w:rPr>
          <w:b/>
        </w:rPr>
        <w:t>a</w:t>
      </w:r>
      <w:r>
        <w:rPr>
          <w:b/>
          <w:spacing w:val="-9"/>
        </w:rPr>
        <w:t> </w:t>
      </w:r>
      <w:r>
        <w:rPr>
          <w:b/>
        </w:rPr>
        <w:t>method of</w:t>
      </w:r>
      <w:r>
        <w:rPr>
          <w:b/>
          <w:spacing w:val="-10"/>
        </w:rPr>
        <w:t> </w:t>
      </w:r>
      <w:r>
        <w:rPr>
          <w:b/>
        </w:rPr>
        <w:t>communication</w:t>
      </w:r>
      <w:r>
        <w:rPr/>
        <w:t>.</w:t>
      </w:r>
      <w:r>
        <w:rPr>
          <w:spacing w:val="40"/>
        </w:rPr>
        <w:t> </w:t>
      </w:r>
      <w:r>
        <w:rPr/>
        <w:t>Both</w:t>
      </w:r>
      <w:r>
        <w:rPr>
          <w:spacing w:val="-10"/>
        </w:rPr>
        <w:t> </w:t>
      </w:r>
      <w:r>
        <w:rPr/>
        <w:t>claimant</w:t>
      </w:r>
      <w:r>
        <w:rPr>
          <w:spacing w:val="-10"/>
        </w:rPr>
        <w:t> </w:t>
      </w:r>
      <w:r>
        <w:rPr/>
        <w:t>and</w:t>
      </w:r>
      <w:r>
        <w:rPr>
          <w:spacing w:val="-10"/>
        </w:rPr>
        <w:t> </w:t>
      </w:r>
      <w:r>
        <w:rPr/>
        <w:t>employer-side</w:t>
      </w:r>
      <w:r>
        <w:rPr>
          <w:spacing w:val="-11"/>
        </w:rPr>
        <w:t> </w:t>
      </w:r>
      <w:r>
        <w:rPr/>
        <w:t>participants</w:t>
      </w:r>
      <w:r>
        <w:rPr>
          <w:spacing w:val="-10"/>
        </w:rPr>
        <w:t> </w:t>
      </w:r>
      <w:r>
        <w:rPr/>
        <w:t>are</w:t>
      </w:r>
      <w:r>
        <w:rPr>
          <w:spacing w:val="-11"/>
        </w:rPr>
        <w:t> </w:t>
      </w:r>
      <w:r>
        <w:rPr/>
        <w:t>more</w:t>
      </w:r>
      <w:r>
        <w:rPr>
          <w:spacing w:val="-10"/>
        </w:rPr>
        <w:t> </w:t>
      </w:r>
      <w:r>
        <w:rPr/>
        <w:t>likely to recall using it as their main means of communicating with conciliators, which is a change from previous evaluations. Yet at the same time, telephone is still the main method used in most cases. Regression analysis suggests that there is a relationship between use of email and an increased likelihood of reaching a settlement among employers – yet the relationship is weaker than others and the correlation</w:t>
      </w:r>
      <w:r>
        <w:rPr>
          <w:spacing w:val="-4"/>
        </w:rPr>
        <w:t> </w:t>
      </w:r>
      <w:r>
        <w:rPr/>
        <w:t>may</w:t>
      </w:r>
      <w:r>
        <w:rPr>
          <w:spacing w:val="-4"/>
        </w:rPr>
        <w:t> </w:t>
      </w:r>
      <w:r>
        <w:rPr/>
        <w:t>be</w:t>
      </w:r>
      <w:r>
        <w:rPr>
          <w:spacing w:val="-5"/>
        </w:rPr>
        <w:t> </w:t>
      </w:r>
      <w:r>
        <w:rPr/>
        <w:t>influenced</w:t>
      </w:r>
      <w:r>
        <w:rPr>
          <w:spacing w:val="-4"/>
        </w:rPr>
        <w:t> </w:t>
      </w:r>
      <w:r>
        <w:rPr/>
        <w:t>by</w:t>
      </w:r>
      <w:r>
        <w:rPr>
          <w:spacing w:val="-5"/>
        </w:rPr>
        <w:t> </w:t>
      </w:r>
      <w:r>
        <w:rPr/>
        <w:t>other</w:t>
      </w:r>
      <w:r>
        <w:rPr>
          <w:spacing w:val="-5"/>
        </w:rPr>
        <w:t> </w:t>
      </w:r>
      <w:r>
        <w:rPr/>
        <w:t>factors</w:t>
      </w:r>
      <w:r>
        <w:rPr>
          <w:spacing w:val="-6"/>
        </w:rPr>
        <w:t> </w:t>
      </w:r>
      <w:r>
        <w:rPr/>
        <w:t>that</w:t>
      </w:r>
      <w:r>
        <w:rPr>
          <w:spacing w:val="-4"/>
        </w:rPr>
        <w:t> </w:t>
      </w:r>
      <w:r>
        <w:rPr/>
        <w:t>also</w:t>
      </w:r>
      <w:r>
        <w:rPr>
          <w:spacing w:val="-5"/>
        </w:rPr>
        <w:t> </w:t>
      </w:r>
      <w:r>
        <w:rPr/>
        <w:t>influence</w:t>
      </w:r>
      <w:r>
        <w:rPr>
          <w:spacing w:val="-5"/>
        </w:rPr>
        <w:t> </w:t>
      </w:r>
      <w:r>
        <w:rPr/>
        <w:t>the</w:t>
      </w:r>
      <w:r>
        <w:rPr>
          <w:spacing w:val="-6"/>
        </w:rPr>
        <w:t> </w:t>
      </w:r>
      <w:r>
        <w:rPr/>
        <w:t>use</w:t>
      </w:r>
      <w:r>
        <w:rPr>
          <w:spacing w:val="-5"/>
        </w:rPr>
        <w:t> </w:t>
      </w:r>
      <w:r>
        <w:rPr/>
        <w:t>of</w:t>
      </w:r>
      <w:r>
        <w:rPr>
          <w:spacing w:val="-4"/>
        </w:rPr>
        <w:t> </w:t>
      </w:r>
      <w:r>
        <w:rPr/>
        <w:t>email. This should also be balanced with the fact that for employers, phone contact is most</w:t>
      </w:r>
      <w:r>
        <w:rPr>
          <w:spacing w:val="-10"/>
        </w:rPr>
        <w:t> </w:t>
      </w:r>
      <w:r>
        <w:rPr/>
        <w:t>strongly</w:t>
      </w:r>
      <w:r>
        <w:rPr>
          <w:spacing w:val="-10"/>
        </w:rPr>
        <w:t> </w:t>
      </w:r>
      <w:r>
        <w:rPr/>
        <w:t>associated</w:t>
      </w:r>
      <w:r>
        <w:rPr>
          <w:spacing w:val="-10"/>
        </w:rPr>
        <w:t> </w:t>
      </w:r>
      <w:r>
        <w:rPr/>
        <w:t>with</w:t>
      </w:r>
      <w:r>
        <w:rPr>
          <w:spacing w:val="-11"/>
        </w:rPr>
        <w:t> </w:t>
      </w:r>
      <w:r>
        <w:rPr/>
        <w:t>higher</w:t>
      </w:r>
      <w:r>
        <w:rPr>
          <w:spacing w:val="-11"/>
        </w:rPr>
        <w:t> </w:t>
      </w:r>
      <w:r>
        <w:rPr/>
        <w:t>service</w:t>
      </w:r>
      <w:r>
        <w:rPr>
          <w:spacing w:val="-11"/>
        </w:rPr>
        <w:t> </w:t>
      </w:r>
      <w:r>
        <w:rPr/>
        <w:t>satisfaction.</w:t>
      </w:r>
      <w:r>
        <w:rPr>
          <w:spacing w:val="-10"/>
        </w:rPr>
        <w:t> </w:t>
      </w:r>
      <w:r>
        <w:rPr/>
        <w:t>These</w:t>
      </w:r>
      <w:r>
        <w:rPr>
          <w:spacing w:val="-11"/>
        </w:rPr>
        <w:t> </w:t>
      </w:r>
      <w:r>
        <w:rPr/>
        <w:t>findings</w:t>
      </w:r>
      <w:r>
        <w:rPr>
          <w:spacing w:val="-10"/>
        </w:rPr>
        <w:t> </w:t>
      </w:r>
      <w:r>
        <w:rPr/>
        <w:t>reflect</w:t>
      </w:r>
      <w:r>
        <w:rPr>
          <w:spacing w:val="-10"/>
        </w:rPr>
        <w:t> </w:t>
      </w:r>
      <w:r>
        <w:rPr/>
        <w:t>the fact that communication with service users needs to be tailored to individual circumstances: majorities of all audiences (claimants, employers and representatives) use both telephone and email at different points in the process, so improving service satisfaction will be about ensuring they are used at the right time and the right amount.</w:t>
      </w:r>
    </w:p>
    <w:p>
      <w:pPr>
        <w:pStyle w:val="BodyText"/>
        <w:spacing w:line="259" w:lineRule="auto" w:before="157"/>
        <w:ind w:left="1337" w:right="1471"/>
        <w:jc w:val="both"/>
      </w:pPr>
      <w:r>
        <w:rPr/>
        <w:t>There</w:t>
      </w:r>
      <w:r>
        <w:rPr>
          <w:spacing w:val="-1"/>
        </w:rPr>
        <w:t> </w:t>
      </w:r>
      <w:r>
        <w:rPr/>
        <w:t>are</w:t>
      </w:r>
      <w:r>
        <w:rPr>
          <w:spacing w:val="-1"/>
        </w:rPr>
        <w:t> </w:t>
      </w:r>
      <w:r>
        <w:rPr/>
        <w:t>some</w:t>
      </w:r>
      <w:r>
        <w:rPr>
          <w:spacing w:val="-1"/>
        </w:rPr>
        <w:t> </w:t>
      </w:r>
      <w:r>
        <w:rPr/>
        <w:t>key</w:t>
      </w:r>
      <w:r>
        <w:rPr>
          <w:spacing w:val="-2"/>
        </w:rPr>
        <w:t> </w:t>
      </w:r>
      <w:r>
        <w:rPr/>
        <w:t>differences</w:t>
      </w:r>
      <w:r>
        <w:rPr>
          <w:spacing w:val="-1"/>
        </w:rPr>
        <w:t> </w:t>
      </w:r>
      <w:r>
        <w:rPr/>
        <w:t>between</w:t>
      </w:r>
      <w:r>
        <w:rPr>
          <w:spacing w:val="-1"/>
        </w:rPr>
        <w:t> </w:t>
      </w:r>
      <w:r>
        <w:rPr/>
        <w:t>service</w:t>
      </w:r>
      <w:r>
        <w:rPr>
          <w:spacing w:val="-1"/>
        </w:rPr>
        <w:t> </w:t>
      </w:r>
      <w:r>
        <w:rPr/>
        <w:t>user</w:t>
      </w:r>
      <w:r>
        <w:rPr>
          <w:spacing w:val="-2"/>
        </w:rPr>
        <w:t> </w:t>
      </w:r>
      <w:r>
        <w:rPr/>
        <w:t>types</w:t>
      </w:r>
      <w:r>
        <w:rPr>
          <w:spacing w:val="-1"/>
        </w:rPr>
        <w:t> </w:t>
      </w:r>
      <w:r>
        <w:rPr/>
        <w:t>that</w:t>
      </w:r>
      <w:r>
        <w:rPr>
          <w:spacing w:val="-2"/>
        </w:rPr>
        <w:t> </w:t>
      </w:r>
      <w:r>
        <w:rPr/>
        <w:t>suggest</w:t>
      </w:r>
      <w:r>
        <w:rPr>
          <w:spacing w:val="-2"/>
        </w:rPr>
        <w:t> </w:t>
      </w:r>
      <w:r>
        <w:rPr/>
        <w:t>ways</w:t>
      </w:r>
      <w:r>
        <w:rPr>
          <w:spacing w:val="-2"/>
        </w:rPr>
        <w:t> </w:t>
      </w:r>
      <w:r>
        <w:rPr/>
        <w:t>the service could be tailored. Representatives are more likely that others</w:t>
      </w:r>
      <w:r>
        <w:rPr>
          <w:spacing w:val="-1"/>
        </w:rPr>
        <w:t> </w:t>
      </w:r>
      <w:r>
        <w:rPr/>
        <w:t>to use email as</w:t>
      </w:r>
      <w:r>
        <w:rPr>
          <w:spacing w:val="-4"/>
        </w:rPr>
        <w:t> </w:t>
      </w:r>
      <w:r>
        <w:rPr/>
        <w:t>their</w:t>
      </w:r>
      <w:r>
        <w:rPr>
          <w:spacing w:val="-5"/>
        </w:rPr>
        <w:t> </w:t>
      </w:r>
      <w:r>
        <w:rPr/>
        <w:t>main</w:t>
      </w:r>
      <w:r>
        <w:rPr>
          <w:spacing w:val="-4"/>
        </w:rPr>
        <w:t> </w:t>
      </w:r>
      <w:r>
        <w:rPr/>
        <w:t>method</w:t>
      </w:r>
      <w:r>
        <w:rPr>
          <w:spacing w:val="-4"/>
        </w:rPr>
        <w:t> </w:t>
      </w:r>
      <w:r>
        <w:rPr/>
        <w:t>of</w:t>
      </w:r>
      <w:r>
        <w:rPr>
          <w:spacing w:val="-5"/>
        </w:rPr>
        <w:t> </w:t>
      </w:r>
      <w:r>
        <w:rPr/>
        <w:t>communication</w:t>
      </w:r>
      <w:r>
        <w:rPr>
          <w:spacing w:val="-4"/>
        </w:rPr>
        <w:t> </w:t>
      </w:r>
      <w:r>
        <w:rPr/>
        <w:t>–</w:t>
      </w:r>
      <w:r>
        <w:rPr>
          <w:spacing w:val="-4"/>
        </w:rPr>
        <w:t> </w:t>
      </w:r>
      <w:r>
        <w:rPr/>
        <w:t>this</w:t>
      </w:r>
      <w:r>
        <w:rPr>
          <w:spacing w:val="-4"/>
        </w:rPr>
        <w:t> </w:t>
      </w:r>
      <w:r>
        <w:rPr/>
        <w:t>is</w:t>
      </w:r>
      <w:r>
        <w:rPr>
          <w:spacing w:val="-4"/>
        </w:rPr>
        <w:t> </w:t>
      </w:r>
      <w:r>
        <w:rPr/>
        <w:t>particularly</w:t>
      </w:r>
      <w:r>
        <w:rPr>
          <w:spacing w:val="-4"/>
        </w:rPr>
        <w:t> </w:t>
      </w:r>
      <w:r>
        <w:rPr/>
        <w:t>true</w:t>
      </w:r>
      <w:r>
        <w:rPr>
          <w:spacing w:val="-5"/>
        </w:rPr>
        <w:t> </w:t>
      </w:r>
      <w:r>
        <w:rPr/>
        <w:t>among</w:t>
      </w:r>
      <w:r>
        <w:rPr>
          <w:spacing w:val="-4"/>
        </w:rPr>
        <w:t> </w:t>
      </w:r>
      <w:r>
        <w:rPr/>
        <w:t>employer representatives, perhaps reflecting that they are more likely than claimant representatives</w:t>
      </w:r>
      <w:r>
        <w:rPr>
          <w:spacing w:val="-3"/>
        </w:rPr>
        <w:t> </w:t>
      </w:r>
      <w:r>
        <w:rPr/>
        <w:t>to</w:t>
      </w:r>
      <w:r>
        <w:rPr>
          <w:spacing w:val="-3"/>
        </w:rPr>
        <w:t> </w:t>
      </w:r>
      <w:r>
        <w:rPr/>
        <w:t>be</w:t>
      </w:r>
      <w:r>
        <w:rPr>
          <w:spacing w:val="-2"/>
        </w:rPr>
        <w:t> </w:t>
      </w:r>
      <w:r>
        <w:rPr/>
        <w:t>legal</w:t>
      </w:r>
      <w:r>
        <w:rPr>
          <w:spacing w:val="-4"/>
        </w:rPr>
        <w:t> </w:t>
      </w:r>
      <w:r>
        <w:rPr/>
        <w:t>or</w:t>
      </w:r>
      <w:r>
        <w:rPr>
          <w:spacing w:val="-2"/>
        </w:rPr>
        <w:t> </w:t>
      </w:r>
      <w:r>
        <w:rPr/>
        <w:t>trade</w:t>
      </w:r>
      <w:r>
        <w:rPr>
          <w:spacing w:val="-2"/>
        </w:rPr>
        <w:t> </w:t>
      </w:r>
      <w:r>
        <w:rPr/>
        <w:t>union</w:t>
      </w:r>
      <w:r>
        <w:rPr>
          <w:spacing w:val="-2"/>
        </w:rPr>
        <w:t> </w:t>
      </w:r>
      <w:r>
        <w:rPr/>
        <w:t>professionals.</w:t>
      </w:r>
      <w:r>
        <w:rPr>
          <w:spacing w:val="-1"/>
        </w:rPr>
        <w:t> </w:t>
      </w:r>
      <w:r>
        <w:rPr/>
        <w:t>Unrepresented</w:t>
      </w:r>
      <w:r>
        <w:rPr>
          <w:spacing w:val="-2"/>
        </w:rPr>
        <w:t> claimants,</w:t>
      </w:r>
    </w:p>
    <w:p>
      <w:pPr>
        <w:spacing w:after="0" w:line="259" w:lineRule="auto"/>
        <w:jc w:val="both"/>
        <w:sectPr>
          <w:pgSz w:w="11910" w:h="16840"/>
          <w:pgMar w:header="0" w:footer="996" w:top="1340" w:bottom="1180" w:left="460" w:right="320"/>
        </w:sectPr>
      </w:pPr>
    </w:p>
    <w:p>
      <w:pPr>
        <w:pStyle w:val="BodyText"/>
        <w:spacing w:line="259" w:lineRule="auto" w:before="82"/>
        <w:ind w:left="1337" w:right="1473"/>
        <w:jc w:val="both"/>
      </w:pPr>
      <w:r>
        <w:rPr/>
        <w:t>especially those in open track cases, are the most likely to say they would have wanted</w:t>
      </w:r>
      <w:r>
        <w:rPr>
          <w:spacing w:val="-8"/>
        </w:rPr>
        <w:t> </w:t>
      </w:r>
      <w:r>
        <w:rPr/>
        <w:t>more</w:t>
      </w:r>
      <w:r>
        <w:rPr>
          <w:spacing w:val="-7"/>
        </w:rPr>
        <w:t> </w:t>
      </w:r>
      <w:r>
        <w:rPr/>
        <w:t>contact</w:t>
      </w:r>
      <w:r>
        <w:rPr>
          <w:spacing w:val="-8"/>
        </w:rPr>
        <w:t> </w:t>
      </w:r>
      <w:r>
        <w:rPr/>
        <w:t>from</w:t>
      </w:r>
      <w:r>
        <w:rPr>
          <w:spacing w:val="-7"/>
        </w:rPr>
        <w:t> </w:t>
      </w:r>
      <w:r>
        <w:rPr/>
        <w:t>the</w:t>
      </w:r>
      <w:r>
        <w:rPr>
          <w:spacing w:val="-8"/>
        </w:rPr>
        <w:t> </w:t>
      </w:r>
      <w:r>
        <w:rPr/>
        <w:t>conciliators</w:t>
      </w:r>
      <w:r>
        <w:rPr>
          <w:spacing w:val="-7"/>
        </w:rPr>
        <w:t> </w:t>
      </w:r>
      <w:r>
        <w:rPr/>
        <w:t>–</w:t>
      </w:r>
      <w:r>
        <w:rPr>
          <w:spacing w:val="-7"/>
        </w:rPr>
        <w:t> </w:t>
      </w:r>
      <w:r>
        <w:rPr/>
        <w:t>although</w:t>
      </w:r>
      <w:r>
        <w:rPr>
          <w:spacing w:val="-7"/>
        </w:rPr>
        <w:t> </w:t>
      </w:r>
      <w:r>
        <w:rPr/>
        <w:t>clear</w:t>
      </w:r>
      <w:r>
        <w:rPr>
          <w:spacing w:val="-7"/>
        </w:rPr>
        <w:t> </w:t>
      </w:r>
      <w:r>
        <w:rPr/>
        <w:t>majorities</w:t>
      </w:r>
      <w:r>
        <w:rPr>
          <w:spacing w:val="-7"/>
        </w:rPr>
        <w:t> </w:t>
      </w:r>
      <w:r>
        <w:rPr/>
        <w:t>of</w:t>
      </w:r>
      <w:r>
        <w:rPr>
          <w:spacing w:val="-6"/>
        </w:rPr>
        <w:t> </w:t>
      </w:r>
      <w:r>
        <w:rPr/>
        <w:t>all</w:t>
      </w:r>
      <w:r>
        <w:rPr>
          <w:spacing w:val="-8"/>
        </w:rPr>
        <w:t> </w:t>
      </w:r>
      <w:r>
        <w:rPr/>
        <w:t>groups were happy with the level of contact. These points reinforce that, although the overall service is generally very well-received, the exact nature and frequency of communication could be tailored further to individual circumstances.</w:t>
      </w:r>
    </w:p>
    <w:p>
      <w:pPr>
        <w:pStyle w:val="BodyText"/>
        <w:spacing w:line="259" w:lineRule="auto" w:before="158"/>
        <w:ind w:left="1337" w:right="1472"/>
        <w:jc w:val="both"/>
      </w:pPr>
      <w:r>
        <w:rPr/>
        <w:t>Another important aspect of the data from these evaluations covers </w:t>
      </w:r>
      <w:r>
        <w:rPr>
          <w:b/>
        </w:rPr>
        <w:t>the use of multiple</w:t>
      </w:r>
      <w:r>
        <w:rPr>
          <w:b/>
          <w:spacing w:val="-1"/>
        </w:rPr>
        <w:t> </w:t>
      </w:r>
      <w:r>
        <w:rPr>
          <w:b/>
        </w:rPr>
        <w:t>conciliators </w:t>
      </w:r>
      <w:r>
        <w:rPr/>
        <w:t>as</w:t>
      </w:r>
      <w:r>
        <w:rPr>
          <w:spacing w:val="-1"/>
        </w:rPr>
        <w:t> </w:t>
      </w:r>
      <w:r>
        <w:rPr/>
        <w:t>this is a</w:t>
      </w:r>
      <w:r>
        <w:rPr>
          <w:spacing w:val="-1"/>
        </w:rPr>
        <w:t> </w:t>
      </w:r>
      <w:r>
        <w:rPr/>
        <w:t>key</w:t>
      </w:r>
      <w:r>
        <w:rPr>
          <w:spacing w:val="-1"/>
        </w:rPr>
        <w:t> </w:t>
      </w:r>
      <w:r>
        <w:rPr/>
        <w:t>area</w:t>
      </w:r>
      <w:r>
        <w:rPr>
          <w:spacing w:val="-1"/>
        </w:rPr>
        <w:t> </w:t>
      </w:r>
      <w:r>
        <w:rPr/>
        <w:t>of development</w:t>
      </w:r>
      <w:r>
        <w:rPr>
          <w:spacing w:val="-1"/>
        </w:rPr>
        <w:t> </w:t>
      </w:r>
      <w:r>
        <w:rPr/>
        <w:t>for</w:t>
      </w:r>
      <w:r>
        <w:rPr>
          <w:spacing w:val="-1"/>
        </w:rPr>
        <w:t> </w:t>
      </w:r>
      <w:r>
        <w:rPr/>
        <w:t>the service. At</w:t>
      </w:r>
      <w:r>
        <w:rPr>
          <w:spacing w:val="-1"/>
        </w:rPr>
        <w:t> </w:t>
      </w:r>
      <w:r>
        <w:rPr/>
        <w:t>the time</w:t>
      </w:r>
      <w:r>
        <w:rPr>
          <w:spacing w:val="-6"/>
        </w:rPr>
        <w:t> </w:t>
      </w:r>
      <w:r>
        <w:rPr/>
        <w:t>of</w:t>
      </w:r>
      <w:r>
        <w:rPr>
          <w:spacing w:val="-5"/>
        </w:rPr>
        <w:t> </w:t>
      </w:r>
      <w:r>
        <w:rPr/>
        <w:t>the</w:t>
      </w:r>
      <w:r>
        <w:rPr>
          <w:spacing w:val="-6"/>
        </w:rPr>
        <w:t> </w:t>
      </w:r>
      <w:r>
        <w:rPr/>
        <w:t>surveys,</w:t>
      </w:r>
      <w:r>
        <w:rPr>
          <w:spacing w:val="-5"/>
        </w:rPr>
        <w:t> </w:t>
      </w:r>
      <w:r>
        <w:rPr/>
        <w:t>team-based</w:t>
      </w:r>
      <w:r>
        <w:rPr>
          <w:spacing w:val="-5"/>
        </w:rPr>
        <w:t> </w:t>
      </w:r>
      <w:r>
        <w:rPr/>
        <w:t>conciliation</w:t>
      </w:r>
      <w:r>
        <w:rPr>
          <w:spacing w:val="-5"/>
        </w:rPr>
        <w:t> </w:t>
      </w:r>
      <w:r>
        <w:rPr/>
        <w:t>pilots</w:t>
      </w:r>
      <w:r>
        <w:rPr>
          <w:spacing w:val="-5"/>
        </w:rPr>
        <w:t> </w:t>
      </w:r>
      <w:r>
        <w:rPr/>
        <w:t>had</w:t>
      </w:r>
      <w:r>
        <w:rPr>
          <w:spacing w:val="-5"/>
        </w:rPr>
        <w:t> </w:t>
      </w:r>
      <w:r>
        <w:rPr/>
        <w:t>not</w:t>
      </w:r>
      <w:r>
        <w:rPr>
          <w:spacing w:val="-5"/>
        </w:rPr>
        <w:t> </w:t>
      </w:r>
      <w:r>
        <w:rPr/>
        <w:t>begun,</w:t>
      </w:r>
      <w:r>
        <w:rPr>
          <w:spacing w:val="-5"/>
        </w:rPr>
        <w:t> </w:t>
      </w:r>
      <w:r>
        <w:rPr/>
        <w:t>so</w:t>
      </w:r>
      <w:r>
        <w:rPr>
          <w:spacing w:val="-7"/>
        </w:rPr>
        <w:t> </w:t>
      </w:r>
      <w:r>
        <w:rPr/>
        <w:t>sample</w:t>
      </w:r>
      <w:r>
        <w:rPr>
          <w:spacing w:val="-6"/>
        </w:rPr>
        <w:t> </w:t>
      </w:r>
      <w:r>
        <w:rPr/>
        <w:t>sizes are</w:t>
      </w:r>
      <w:r>
        <w:rPr>
          <w:spacing w:val="-5"/>
        </w:rPr>
        <w:t> </w:t>
      </w:r>
      <w:r>
        <w:rPr/>
        <w:t>small</w:t>
      </w:r>
      <w:r>
        <w:rPr>
          <w:spacing w:val="-5"/>
        </w:rPr>
        <w:t> </w:t>
      </w:r>
      <w:r>
        <w:rPr/>
        <w:t>–</w:t>
      </w:r>
      <w:r>
        <w:rPr>
          <w:spacing w:val="-6"/>
        </w:rPr>
        <w:t> </w:t>
      </w:r>
      <w:r>
        <w:rPr/>
        <w:t>92</w:t>
      </w:r>
      <w:r>
        <w:rPr>
          <w:spacing w:val="-4"/>
        </w:rPr>
        <w:t> </w:t>
      </w:r>
      <w:r>
        <w:rPr/>
        <w:t>claimant-side</w:t>
      </w:r>
      <w:r>
        <w:rPr>
          <w:spacing w:val="-5"/>
        </w:rPr>
        <w:t> </w:t>
      </w:r>
      <w:r>
        <w:rPr/>
        <w:t>users</w:t>
      </w:r>
      <w:r>
        <w:rPr>
          <w:spacing w:val="-7"/>
        </w:rPr>
        <w:t> </w:t>
      </w:r>
      <w:r>
        <w:rPr/>
        <w:t>and</w:t>
      </w:r>
      <w:r>
        <w:rPr>
          <w:spacing w:val="-5"/>
        </w:rPr>
        <w:t> </w:t>
      </w:r>
      <w:r>
        <w:rPr/>
        <w:t>96</w:t>
      </w:r>
      <w:r>
        <w:rPr>
          <w:spacing w:val="-4"/>
        </w:rPr>
        <w:t> </w:t>
      </w:r>
      <w:r>
        <w:rPr/>
        <w:t>employer-side</w:t>
      </w:r>
      <w:r>
        <w:rPr>
          <w:spacing w:val="-5"/>
        </w:rPr>
        <w:t> </w:t>
      </w:r>
      <w:r>
        <w:rPr/>
        <w:t>users.</w:t>
      </w:r>
      <w:r>
        <w:rPr>
          <w:spacing w:val="-5"/>
        </w:rPr>
        <w:t> </w:t>
      </w:r>
      <w:r>
        <w:rPr/>
        <w:t>The</w:t>
      </w:r>
      <w:r>
        <w:rPr>
          <w:spacing w:val="-6"/>
        </w:rPr>
        <w:t> </w:t>
      </w:r>
      <w:r>
        <w:rPr/>
        <w:t>data</w:t>
      </w:r>
      <w:r>
        <w:rPr>
          <w:spacing w:val="-5"/>
        </w:rPr>
        <w:t> </w:t>
      </w:r>
      <w:r>
        <w:rPr/>
        <w:t>suggests that these multiple conciliator users experienced a less satisfactory service. For example, across both audiences this group were less satisfied with the timeliness of communication received, more likely to want more communication from conciliators</w:t>
      </w:r>
      <w:r>
        <w:rPr>
          <w:spacing w:val="-1"/>
        </w:rPr>
        <w:t> </w:t>
      </w:r>
      <w:r>
        <w:rPr/>
        <w:t>and</w:t>
      </w:r>
      <w:r>
        <w:rPr>
          <w:spacing w:val="-1"/>
        </w:rPr>
        <w:t> </w:t>
      </w:r>
      <w:r>
        <w:rPr/>
        <w:t>more</w:t>
      </w:r>
      <w:r>
        <w:rPr>
          <w:spacing w:val="-1"/>
        </w:rPr>
        <w:t> </w:t>
      </w:r>
      <w:r>
        <w:rPr/>
        <w:t>likely</w:t>
      </w:r>
      <w:r>
        <w:rPr>
          <w:spacing w:val="-1"/>
        </w:rPr>
        <w:t> </w:t>
      </w:r>
      <w:r>
        <w:rPr/>
        <w:t>to</w:t>
      </w:r>
      <w:r>
        <w:rPr>
          <w:spacing w:val="-1"/>
        </w:rPr>
        <w:t> </w:t>
      </w:r>
      <w:r>
        <w:rPr/>
        <w:t>say</w:t>
      </w:r>
      <w:r>
        <w:rPr>
          <w:spacing w:val="-2"/>
        </w:rPr>
        <w:t> </w:t>
      </w:r>
      <w:r>
        <w:rPr/>
        <w:t>that</w:t>
      </w:r>
      <w:r>
        <w:rPr>
          <w:spacing w:val="-2"/>
        </w:rPr>
        <w:t> </w:t>
      </w:r>
      <w:r>
        <w:rPr/>
        <w:t>they</w:t>
      </w:r>
      <w:r>
        <w:rPr>
          <w:spacing w:val="-2"/>
        </w:rPr>
        <w:t> </w:t>
      </w:r>
      <w:r>
        <w:rPr/>
        <w:t>had</w:t>
      </w:r>
      <w:r>
        <w:rPr>
          <w:spacing w:val="-1"/>
        </w:rPr>
        <w:t> </w:t>
      </w:r>
      <w:r>
        <w:rPr/>
        <w:t>to</w:t>
      </w:r>
      <w:r>
        <w:rPr>
          <w:spacing w:val="-2"/>
        </w:rPr>
        <w:t> </w:t>
      </w:r>
      <w:r>
        <w:rPr/>
        <w:t>initiate</w:t>
      </w:r>
      <w:r>
        <w:rPr>
          <w:spacing w:val="-1"/>
        </w:rPr>
        <w:t> </w:t>
      </w:r>
      <w:r>
        <w:rPr/>
        <w:t>contact</w:t>
      </w:r>
      <w:r>
        <w:rPr>
          <w:spacing w:val="-2"/>
        </w:rPr>
        <w:t> </w:t>
      </w:r>
      <w:r>
        <w:rPr/>
        <w:t>with</w:t>
      </w:r>
      <w:r>
        <w:rPr>
          <w:spacing w:val="-2"/>
        </w:rPr>
        <w:t> </w:t>
      </w:r>
      <w:r>
        <w:rPr/>
        <w:t>Acas</w:t>
      </w:r>
      <w:r>
        <w:rPr>
          <w:spacing w:val="-1"/>
        </w:rPr>
        <w:t> </w:t>
      </w:r>
      <w:r>
        <w:rPr/>
        <w:t>most of</w:t>
      </w:r>
      <w:r>
        <w:rPr>
          <w:spacing w:val="-4"/>
        </w:rPr>
        <w:t> </w:t>
      </w:r>
      <w:r>
        <w:rPr/>
        <w:t>the</w:t>
      </w:r>
      <w:r>
        <w:rPr>
          <w:spacing w:val="-6"/>
        </w:rPr>
        <w:t> </w:t>
      </w:r>
      <w:r>
        <w:rPr/>
        <w:t>time</w:t>
      </w:r>
      <w:r>
        <w:rPr>
          <w:spacing w:val="-5"/>
        </w:rPr>
        <w:t> </w:t>
      </w:r>
      <w:r>
        <w:rPr/>
        <w:t>than</w:t>
      </w:r>
      <w:r>
        <w:rPr>
          <w:spacing w:val="-5"/>
        </w:rPr>
        <w:t> </w:t>
      </w:r>
      <w:r>
        <w:rPr/>
        <w:t>those</w:t>
      </w:r>
      <w:r>
        <w:rPr>
          <w:spacing w:val="-5"/>
        </w:rPr>
        <w:t> </w:t>
      </w:r>
      <w:r>
        <w:rPr/>
        <w:t>in</w:t>
      </w:r>
      <w:r>
        <w:rPr>
          <w:spacing w:val="-4"/>
        </w:rPr>
        <w:t> </w:t>
      </w:r>
      <w:r>
        <w:rPr/>
        <w:t>contact</w:t>
      </w:r>
      <w:r>
        <w:rPr>
          <w:spacing w:val="-5"/>
        </w:rPr>
        <w:t> </w:t>
      </w:r>
      <w:r>
        <w:rPr/>
        <w:t>with</w:t>
      </w:r>
      <w:r>
        <w:rPr>
          <w:spacing w:val="-4"/>
        </w:rPr>
        <w:t> </w:t>
      </w:r>
      <w:r>
        <w:rPr/>
        <w:t>only</w:t>
      </w:r>
      <w:r>
        <w:rPr>
          <w:spacing w:val="-4"/>
        </w:rPr>
        <w:t> </w:t>
      </w:r>
      <w:r>
        <w:rPr/>
        <w:t>one</w:t>
      </w:r>
      <w:r>
        <w:rPr>
          <w:spacing w:val="-6"/>
        </w:rPr>
        <w:t> </w:t>
      </w:r>
      <w:r>
        <w:rPr/>
        <w:t>conciliator.</w:t>
      </w:r>
      <w:r>
        <w:rPr>
          <w:spacing w:val="-4"/>
        </w:rPr>
        <w:t> </w:t>
      </w:r>
      <w:r>
        <w:rPr/>
        <w:t>Satisfaction</w:t>
      </w:r>
      <w:r>
        <w:rPr>
          <w:spacing w:val="-4"/>
        </w:rPr>
        <w:t> </w:t>
      </w:r>
      <w:r>
        <w:rPr/>
        <w:t>overall</w:t>
      </w:r>
      <w:r>
        <w:rPr>
          <w:spacing w:val="-5"/>
        </w:rPr>
        <w:t> </w:t>
      </w:r>
      <w:r>
        <w:rPr/>
        <w:t>was weaker among employer-side participants dealing with more than one conciliator compared with those dealing with just one, although this relationship was not observed for claimants. It is important to note too that satisfaction is high among both single and multiple conciliator users.</w:t>
      </w:r>
    </w:p>
    <w:p>
      <w:pPr>
        <w:pStyle w:val="BodyText"/>
        <w:spacing w:line="259" w:lineRule="auto" w:before="157"/>
        <w:ind w:left="1337" w:right="1474"/>
        <w:jc w:val="both"/>
      </w:pPr>
      <w:r>
        <w:rPr/>
        <w:t>It is important to note that those dealing with multiple conciliators in the survey did</w:t>
      </w:r>
      <w:r>
        <w:rPr>
          <w:spacing w:val="-5"/>
        </w:rPr>
        <w:t> </w:t>
      </w:r>
      <w:r>
        <w:rPr/>
        <w:t>so</w:t>
      </w:r>
      <w:r>
        <w:rPr>
          <w:spacing w:val="-7"/>
        </w:rPr>
        <w:t> </w:t>
      </w:r>
      <w:r>
        <w:rPr/>
        <w:t>for</w:t>
      </w:r>
      <w:r>
        <w:rPr>
          <w:spacing w:val="-7"/>
        </w:rPr>
        <w:t> </w:t>
      </w:r>
      <w:r>
        <w:rPr/>
        <w:t>uncontrolled</w:t>
      </w:r>
      <w:r>
        <w:rPr>
          <w:spacing w:val="-5"/>
        </w:rPr>
        <w:t> </w:t>
      </w:r>
      <w:r>
        <w:rPr/>
        <w:t>and</w:t>
      </w:r>
      <w:r>
        <w:rPr>
          <w:spacing w:val="-7"/>
        </w:rPr>
        <w:t> </w:t>
      </w:r>
      <w:r>
        <w:rPr/>
        <w:t>unexpected</w:t>
      </w:r>
      <w:r>
        <w:rPr>
          <w:spacing w:val="-5"/>
        </w:rPr>
        <w:t> </w:t>
      </w:r>
      <w:r>
        <w:rPr/>
        <w:t>reasons</w:t>
      </w:r>
      <w:r>
        <w:rPr>
          <w:spacing w:val="-5"/>
        </w:rPr>
        <w:t> </w:t>
      </w:r>
      <w:r>
        <w:rPr/>
        <w:t>such</w:t>
      </w:r>
      <w:r>
        <w:rPr>
          <w:spacing w:val="-6"/>
        </w:rPr>
        <w:t> </w:t>
      </w:r>
      <w:r>
        <w:rPr/>
        <w:t>as</w:t>
      </w:r>
      <w:r>
        <w:rPr>
          <w:spacing w:val="-7"/>
        </w:rPr>
        <w:t> </w:t>
      </w:r>
      <w:r>
        <w:rPr/>
        <w:t>cover</w:t>
      </w:r>
      <w:r>
        <w:rPr>
          <w:spacing w:val="-6"/>
        </w:rPr>
        <w:t> </w:t>
      </w:r>
      <w:r>
        <w:rPr/>
        <w:t>for</w:t>
      </w:r>
      <w:r>
        <w:rPr>
          <w:spacing w:val="-7"/>
        </w:rPr>
        <w:t> </w:t>
      </w:r>
      <w:r>
        <w:rPr/>
        <w:t>staff</w:t>
      </w:r>
      <w:r>
        <w:rPr>
          <w:spacing w:val="-6"/>
        </w:rPr>
        <w:t> </w:t>
      </w:r>
      <w:r>
        <w:rPr/>
        <w:t>absence,</w:t>
      </w:r>
      <w:r>
        <w:rPr>
          <w:spacing w:val="-6"/>
        </w:rPr>
        <w:t> </w:t>
      </w:r>
      <w:r>
        <w:rPr/>
        <w:t>so these</w:t>
      </w:r>
      <w:r>
        <w:rPr>
          <w:spacing w:val="-10"/>
        </w:rPr>
        <w:t> </w:t>
      </w:r>
      <w:r>
        <w:rPr/>
        <w:t>findings</w:t>
      </w:r>
      <w:r>
        <w:rPr>
          <w:spacing w:val="-9"/>
        </w:rPr>
        <w:t> </w:t>
      </w:r>
      <w:r>
        <w:rPr/>
        <w:t>cannot</w:t>
      </w:r>
      <w:r>
        <w:rPr>
          <w:spacing w:val="-9"/>
        </w:rPr>
        <w:t> </w:t>
      </w:r>
      <w:r>
        <w:rPr/>
        <w:t>provide</w:t>
      </w:r>
      <w:r>
        <w:rPr>
          <w:spacing w:val="-10"/>
        </w:rPr>
        <w:t> </w:t>
      </w:r>
      <w:r>
        <w:rPr/>
        <w:t>a</w:t>
      </w:r>
      <w:r>
        <w:rPr>
          <w:spacing w:val="-10"/>
        </w:rPr>
        <w:t> </w:t>
      </w:r>
      <w:r>
        <w:rPr/>
        <w:t>definitive</w:t>
      </w:r>
      <w:r>
        <w:rPr>
          <w:spacing w:val="-10"/>
        </w:rPr>
        <w:t> </w:t>
      </w:r>
      <w:r>
        <w:rPr/>
        <w:t>answer</w:t>
      </w:r>
      <w:r>
        <w:rPr>
          <w:spacing w:val="-10"/>
        </w:rPr>
        <w:t> </w:t>
      </w:r>
      <w:r>
        <w:rPr/>
        <w:t>for</w:t>
      </w:r>
      <w:r>
        <w:rPr>
          <w:spacing w:val="-10"/>
        </w:rPr>
        <w:t> </w:t>
      </w:r>
      <w:r>
        <w:rPr/>
        <w:t>the</w:t>
      </w:r>
      <w:r>
        <w:rPr>
          <w:spacing w:val="-10"/>
        </w:rPr>
        <w:t> </w:t>
      </w:r>
      <w:r>
        <w:rPr/>
        <w:t>likely</w:t>
      </w:r>
      <w:r>
        <w:rPr>
          <w:spacing w:val="-9"/>
        </w:rPr>
        <w:t> </w:t>
      </w:r>
      <w:r>
        <w:rPr/>
        <w:t>impact</w:t>
      </w:r>
      <w:r>
        <w:rPr>
          <w:spacing w:val="-9"/>
        </w:rPr>
        <w:t> </w:t>
      </w:r>
      <w:r>
        <w:rPr/>
        <w:t>of</w:t>
      </w:r>
      <w:r>
        <w:rPr>
          <w:spacing w:val="-9"/>
        </w:rPr>
        <w:t> </w:t>
      </w:r>
      <w:r>
        <w:rPr/>
        <w:t>any</w:t>
      </w:r>
      <w:r>
        <w:rPr>
          <w:spacing w:val="-9"/>
        </w:rPr>
        <w:t> </w:t>
      </w:r>
      <w:r>
        <w:rPr/>
        <w:t>future changes</w:t>
      </w:r>
      <w:r>
        <w:rPr>
          <w:spacing w:val="-2"/>
        </w:rPr>
        <w:t> </w:t>
      </w:r>
      <w:r>
        <w:rPr/>
        <w:t>in</w:t>
      </w:r>
      <w:r>
        <w:rPr>
          <w:spacing w:val="-3"/>
        </w:rPr>
        <w:t> </w:t>
      </w:r>
      <w:r>
        <w:rPr/>
        <w:t>Acas’</w:t>
      </w:r>
      <w:r>
        <w:rPr>
          <w:spacing w:val="-2"/>
        </w:rPr>
        <w:t> </w:t>
      </w:r>
      <w:r>
        <w:rPr/>
        <w:t>service</w:t>
      </w:r>
      <w:r>
        <w:rPr>
          <w:spacing w:val="-3"/>
        </w:rPr>
        <w:t> </w:t>
      </w:r>
      <w:r>
        <w:rPr/>
        <w:t>model.</w:t>
      </w:r>
      <w:hyperlink w:history="true" w:anchor="_bookmark91">
        <w:r>
          <w:rPr>
            <w:position w:val="7"/>
            <w:sz w:val="13"/>
          </w:rPr>
          <w:t>41</w:t>
        </w:r>
      </w:hyperlink>
      <w:r>
        <w:rPr>
          <w:spacing w:val="22"/>
          <w:position w:val="7"/>
          <w:sz w:val="13"/>
        </w:rPr>
        <w:t> </w:t>
      </w:r>
      <w:r>
        <w:rPr/>
        <w:t>However</w:t>
      </w:r>
      <w:r>
        <w:rPr>
          <w:spacing w:val="-3"/>
        </w:rPr>
        <w:t> </w:t>
      </w:r>
      <w:r>
        <w:rPr/>
        <w:t>they</w:t>
      </w:r>
      <w:r>
        <w:rPr>
          <w:spacing w:val="-4"/>
        </w:rPr>
        <w:t> </w:t>
      </w:r>
      <w:r>
        <w:rPr/>
        <w:t>do</w:t>
      </w:r>
      <w:r>
        <w:rPr>
          <w:spacing w:val="-3"/>
        </w:rPr>
        <w:t> </w:t>
      </w:r>
      <w:r>
        <w:rPr/>
        <w:t>show</w:t>
      </w:r>
      <w:r>
        <w:rPr>
          <w:spacing w:val="-3"/>
        </w:rPr>
        <w:t> </w:t>
      </w:r>
      <w:r>
        <w:rPr/>
        <w:t>the</w:t>
      </w:r>
      <w:r>
        <w:rPr>
          <w:spacing w:val="-4"/>
        </w:rPr>
        <w:t> </w:t>
      </w:r>
      <w:r>
        <w:rPr/>
        <w:t>importance</w:t>
      </w:r>
      <w:r>
        <w:rPr>
          <w:spacing w:val="-3"/>
        </w:rPr>
        <w:t> </w:t>
      </w:r>
      <w:r>
        <w:rPr/>
        <w:t>of</w:t>
      </w:r>
      <w:r>
        <w:rPr>
          <w:spacing w:val="-2"/>
        </w:rPr>
        <w:t> </w:t>
      </w:r>
      <w:r>
        <w:rPr/>
        <w:t>clearly setting</w:t>
      </w:r>
      <w:r>
        <w:rPr>
          <w:spacing w:val="-2"/>
        </w:rPr>
        <w:t> </w:t>
      </w:r>
      <w:r>
        <w:rPr/>
        <w:t>user</w:t>
      </w:r>
      <w:r>
        <w:rPr>
          <w:spacing w:val="-3"/>
        </w:rPr>
        <w:t> </w:t>
      </w:r>
      <w:r>
        <w:rPr/>
        <w:t>expectations</w:t>
      </w:r>
      <w:r>
        <w:rPr>
          <w:spacing w:val="-2"/>
        </w:rPr>
        <w:t> </w:t>
      </w:r>
      <w:r>
        <w:rPr/>
        <w:t>for</w:t>
      </w:r>
      <w:r>
        <w:rPr>
          <w:spacing w:val="-2"/>
        </w:rPr>
        <w:t> </w:t>
      </w:r>
      <w:r>
        <w:rPr/>
        <w:t>service</w:t>
      </w:r>
      <w:r>
        <w:rPr>
          <w:spacing w:val="-2"/>
        </w:rPr>
        <w:t> </w:t>
      </w:r>
      <w:r>
        <w:rPr/>
        <w:t>delivery</w:t>
      </w:r>
      <w:r>
        <w:rPr>
          <w:spacing w:val="-2"/>
        </w:rPr>
        <w:t> </w:t>
      </w:r>
      <w:r>
        <w:rPr/>
        <w:t>at</w:t>
      </w:r>
      <w:r>
        <w:rPr>
          <w:spacing w:val="-2"/>
        </w:rPr>
        <w:t> </w:t>
      </w:r>
      <w:r>
        <w:rPr/>
        <w:t>the</w:t>
      </w:r>
      <w:r>
        <w:rPr>
          <w:spacing w:val="-2"/>
        </w:rPr>
        <w:t> </w:t>
      </w:r>
      <w:r>
        <w:rPr/>
        <w:t>outset</w:t>
      </w:r>
      <w:r>
        <w:rPr>
          <w:spacing w:val="-2"/>
        </w:rPr>
        <w:t> </w:t>
      </w:r>
      <w:r>
        <w:rPr/>
        <w:t>of</w:t>
      </w:r>
      <w:r>
        <w:rPr>
          <w:spacing w:val="-1"/>
        </w:rPr>
        <w:t> </w:t>
      </w:r>
      <w:r>
        <w:rPr/>
        <w:t>any</w:t>
      </w:r>
      <w:r>
        <w:rPr>
          <w:spacing w:val="-2"/>
        </w:rPr>
        <w:t> </w:t>
      </w:r>
      <w:r>
        <w:rPr/>
        <w:t>new</w:t>
      </w:r>
      <w:r>
        <w:rPr>
          <w:spacing w:val="-1"/>
        </w:rPr>
        <w:t> </w:t>
      </w:r>
      <w:r>
        <w:rPr/>
        <w:t>system</w:t>
      </w:r>
      <w:r>
        <w:rPr>
          <w:spacing w:val="-2"/>
        </w:rPr>
        <w:t> </w:t>
      </w:r>
      <w:r>
        <w:rPr/>
        <w:t>and in tailoring the service to individual needs where possible.</w:t>
      </w:r>
    </w:p>
    <w:p>
      <w:pPr>
        <w:pStyle w:val="BodyText"/>
        <w:spacing w:line="259" w:lineRule="auto" w:before="160"/>
        <w:ind w:left="1337" w:right="1472"/>
        <w:jc w:val="both"/>
      </w:pPr>
      <w:r>
        <w:rPr/>
        <w:t>The survey also shows similar user experiences of the service between claimants from different ethnic backgrounds. The small base size of claimants from Black, Asian</w:t>
      </w:r>
      <w:r>
        <w:rPr>
          <w:spacing w:val="-3"/>
        </w:rPr>
        <w:t> </w:t>
      </w:r>
      <w:r>
        <w:rPr/>
        <w:t>and</w:t>
      </w:r>
      <w:r>
        <w:rPr>
          <w:spacing w:val="-5"/>
        </w:rPr>
        <w:t> </w:t>
      </w:r>
      <w:r>
        <w:rPr/>
        <w:t>minority</w:t>
      </w:r>
      <w:r>
        <w:rPr>
          <w:spacing w:val="-3"/>
        </w:rPr>
        <w:t> </w:t>
      </w:r>
      <w:r>
        <w:rPr/>
        <w:t>ethnic</w:t>
      </w:r>
      <w:r>
        <w:rPr>
          <w:spacing w:val="-3"/>
        </w:rPr>
        <w:t> </w:t>
      </w:r>
      <w:r>
        <w:rPr/>
        <w:t>(BAME)</w:t>
      </w:r>
      <w:r>
        <w:rPr>
          <w:spacing w:val="-3"/>
        </w:rPr>
        <w:t> </w:t>
      </w:r>
      <w:r>
        <w:rPr/>
        <w:t>backgrounds</w:t>
      </w:r>
      <w:r>
        <w:rPr>
          <w:spacing w:val="-3"/>
        </w:rPr>
        <w:t> </w:t>
      </w:r>
      <w:r>
        <w:rPr/>
        <w:t>means</w:t>
      </w:r>
      <w:r>
        <w:rPr>
          <w:spacing w:val="-4"/>
        </w:rPr>
        <w:t> </w:t>
      </w:r>
      <w:r>
        <w:rPr/>
        <w:t>the</w:t>
      </w:r>
      <w:r>
        <w:rPr>
          <w:spacing w:val="-4"/>
        </w:rPr>
        <w:t> </w:t>
      </w:r>
      <w:r>
        <w:rPr/>
        <w:t>scope</w:t>
      </w:r>
      <w:r>
        <w:rPr>
          <w:spacing w:val="-5"/>
        </w:rPr>
        <w:t> </w:t>
      </w:r>
      <w:r>
        <w:rPr/>
        <w:t>of</w:t>
      </w:r>
      <w:r>
        <w:rPr>
          <w:spacing w:val="-4"/>
        </w:rPr>
        <w:t> </w:t>
      </w:r>
      <w:r>
        <w:rPr/>
        <w:t>this</w:t>
      </w:r>
      <w:r>
        <w:rPr>
          <w:spacing w:val="-3"/>
        </w:rPr>
        <w:t> </w:t>
      </w:r>
      <w:r>
        <w:rPr/>
        <w:t>analysis</w:t>
      </w:r>
      <w:r>
        <w:rPr>
          <w:spacing w:val="-3"/>
        </w:rPr>
        <w:t> </w:t>
      </w:r>
      <w:r>
        <w:rPr/>
        <w:t>is limited; but the data shows no significant differences between this group and claimants from White ethnic backgrounds on key metrics including even- handedness</w:t>
      </w:r>
      <w:r>
        <w:rPr>
          <w:spacing w:val="-9"/>
        </w:rPr>
        <w:t> </w:t>
      </w:r>
      <w:r>
        <w:rPr/>
        <w:t>of</w:t>
      </w:r>
      <w:r>
        <w:rPr>
          <w:spacing w:val="-8"/>
        </w:rPr>
        <w:t> </w:t>
      </w:r>
      <w:r>
        <w:rPr/>
        <w:t>the</w:t>
      </w:r>
      <w:r>
        <w:rPr>
          <w:spacing w:val="-9"/>
        </w:rPr>
        <w:t> </w:t>
      </w:r>
      <w:r>
        <w:rPr/>
        <w:t>conciliator,</w:t>
      </w:r>
      <w:r>
        <w:rPr>
          <w:spacing w:val="-8"/>
        </w:rPr>
        <w:t> </w:t>
      </w:r>
      <w:r>
        <w:rPr/>
        <w:t>satisfaction</w:t>
      </w:r>
      <w:r>
        <w:rPr>
          <w:spacing w:val="-8"/>
        </w:rPr>
        <w:t> </w:t>
      </w:r>
      <w:r>
        <w:rPr/>
        <w:t>with</w:t>
      </w:r>
      <w:r>
        <w:rPr>
          <w:spacing w:val="-9"/>
        </w:rPr>
        <w:t> </w:t>
      </w:r>
      <w:r>
        <w:rPr/>
        <w:t>the</w:t>
      </w:r>
      <w:r>
        <w:rPr>
          <w:spacing w:val="-9"/>
        </w:rPr>
        <w:t> </w:t>
      </w:r>
      <w:r>
        <w:rPr/>
        <w:t>service</w:t>
      </w:r>
      <w:r>
        <w:rPr>
          <w:spacing w:val="-9"/>
        </w:rPr>
        <w:t> </w:t>
      </w:r>
      <w:r>
        <w:rPr/>
        <w:t>overall</w:t>
      </w:r>
      <w:r>
        <w:rPr>
          <w:spacing w:val="-9"/>
        </w:rPr>
        <w:t> </w:t>
      </w:r>
      <w:r>
        <w:rPr/>
        <w:t>and</w:t>
      </w:r>
      <w:r>
        <w:rPr>
          <w:spacing w:val="-8"/>
        </w:rPr>
        <w:t> </w:t>
      </w:r>
      <w:r>
        <w:rPr/>
        <w:t>likelihood</w:t>
      </w:r>
      <w:r>
        <w:rPr>
          <w:spacing w:val="-8"/>
        </w:rPr>
        <w:t> </w:t>
      </w:r>
      <w:r>
        <w:rPr/>
        <w:t>to use</w:t>
      </w:r>
      <w:r>
        <w:rPr>
          <w:spacing w:val="-15"/>
        </w:rPr>
        <w:t> </w:t>
      </w:r>
      <w:r>
        <w:rPr/>
        <w:t>Conciliation</w:t>
      </w:r>
      <w:r>
        <w:rPr>
          <w:spacing w:val="-14"/>
        </w:rPr>
        <w:t> </w:t>
      </w:r>
      <w:r>
        <w:rPr/>
        <w:t>again.</w:t>
      </w:r>
      <w:r>
        <w:rPr>
          <w:spacing w:val="-14"/>
        </w:rPr>
        <w:t> </w:t>
      </w:r>
      <w:r>
        <w:rPr/>
        <w:t>There</w:t>
      </w:r>
      <w:r>
        <w:rPr>
          <w:spacing w:val="-15"/>
        </w:rPr>
        <w:t> </w:t>
      </w:r>
      <w:r>
        <w:rPr/>
        <w:t>is</w:t>
      </w:r>
      <w:r>
        <w:rPr>
          <w:spacing w:val="-14"/>
        </w:rPr>
        <w:t> </w:t>
      </w:r>
      <w:r>
        <w:rPr/>
        <w:t>however</w:t>
      </w:r>
      <w:r>
        <w:rPr>
          <w:spacing w:val="-14"/>
        </w:rPr>
        <w:t> </w:t>
      </w:r>
      <w:r>
        <w:rPr/>
        <w:t>a</w:t>
      </w:r>
      <w:r>
        <w:rPr>
          <w:spacing w:val="-14"/>
        </w:rPr>
        <w:t> </w:t>
      </w:r>
      <w:r>
        <w:rPr/>
        <w:t>difference</w:t>
      </w:r>
      <w:r>
        <w:rPr>
          <w:spacing w:val="-15"/>
        </w:rPr>
        <w:t> </w:t>
      </w:r>
      <w:r>
        <w:rPr/>
        <w:t>between</w:t>
      </w:r>
      <w:r>
        <w:rPr>
          <w:spacing w:val="-14"/>
        </w:rPr>
        <w:t> </w:t>
      </w:r>
      <w:r>
        <w:rPr/>
        <w:t>these</w:t>
      </w:r>
      <w:r>
        <w:rPr>
          <w:spacing w:val="-15"/>
        </w:rPr>
        <w:t> </w:t>
      </w:r>
      <w:r>
        <w:rPr/>
        <w:t>groups</w:t>
      </w:r>
      <w:r>
        <w:rPr>
          <w:spacing w:val="-14"/>
        </w:rPr>
        <w:t> </w:t>
      </w:r>
      <w:r>
        <w:rPr/>
        <w:t>on</w:t>
      </w:r>
      <w:r>
        <w:rPr>
          <w:spacing w:val="-14"/>
        </w:rPr>
        <w:t> </w:t>
      </w:r>
      <w:r>
        <w:rPr/>
        <w:t>case type</w:t>
      </w:r>
      <w:r>
        <w:rPr>
          <w:spacing w:val="-16"/>
        </w:rPr>
        <w:t> </w:t>
      </w:r>
      <w:r>
        <w:rPr/>
        <w:t>–</w:t>
      </w:r>
      <w:r>
        <w:rPr>
          <w:spacing w:val="-15"/>
        </w:rPr>
        <w:t> </w:t>
      </w:r>
      <w:r>
        <w:rPr/>
        <w:t>BAME</w:t>
      </w:r>
      <w:r>
        <w:rPr>
          <w:spacing w:val="-15"/>
        </w:rPr>
        <w:t> </w:t>
      </w:r>
      <w:r>
        <w:rPr/>
        <w:t>participants</w:t>
      </w:r>
      <w:r>
        <w:rPr>
          <w:spacing w:val="-15"/>
        </w:rPr>
        <w:t> </w:t>
      </w:r>
      <w:r>
        <w:rPr/>
        <w:t>are</w:t>
      </w:r>
      <w:r>
        <w:rPr>
          <w:spacing w:val="-16"/>
        </w:rPr>
        <w:t> </w:t>
      </w:r>
      <w:r>
        <w:rPr/>
        <w:t>more</w:t>
      </w:r>
      <w:r>
        <w:rPr>
          <w:spacing w:val="-15"/>
        </w:rPr>
        <w:t> </w:t>
      </w:r>
      <w:r>
        <w:rPr/>
        <w:t>likely</w:t>
      </w:r>
      <w:r>
        <w:rPr>
          <w:spacing w:val="-15"/>
        </w:rPr>
        <w:t> </w:t>
      </w:r>
      <w:r>
        <w:rPr/>
        <w:t>than</w:t>
      </w:r>
      <w:r>
        <w:rPr>
          <w:spacing w:val="-15"/>
        </w:rPr>
        <w:t> </w:t>
      </w:r>
      <w:r>
        <w:rPr/>
        <w:t>those</w:t>
      </w:r>
      <w:r>
        <w:rPr>
          <w:spacing w:val="-16"/>
        </w:rPr>
        <w:t> </w:t>
      </w:r>
      <w:r>
        <w:rPr/>
        <w:t>from</w:t>
      </w:r>
      <w:r>
        <w:rPr>
          <w:spacing w:val="-16"/>
        </w:rPr>
        <w:t> </w:t>
      </w:r>
      <w:r>
        <w:rPr/>
        <w:t>White</w:t>
      </w:r>
      <w:r>
        <w:rPr>
          <w:spacing w:val="-16"/>
        </w:rPr>
        <w:t> </w:t>
      </w:r>
      <w:r>
        <w:rPr/>
        <w:t>ethnic</w:t>
      </w:r>
      <w:r>
        <w:rPr>
          <w:spacing w:val="-15"/>
        </w:rPr>
        <w:t> </w:t>
      </w:r>
      <w:r>
        <w:rPr/>
        <w:t>backgrounds to be part of more complicated ‘open track’ disputes.</w:t>
      </w:r>
    </w:p>
    <w:p>
      <w:pPr>
        <w:pStyle w:val="BodyText"/>
        <w:spacing w:before="7"/>
        <w:rPr>
          <w:sz w:val="19"/>
        </w:rPr>
      </w:pPr>
    </w:p>
    <w:p>
      <w:pPr>
        <w:pStyle w:val="Heading3"/>
      </w:pPr>
      <w:r>
        <w:rPr/>
        <w:t>Post-ET1</w:t>
      </w:r>
      <w:r>
        <w:rPr>
          <w:spacing w:val="-7"/>
        </w:rPr>
        <w:t> </w:t>
      </w:r>
      <w:r>
        <w:rPr>
          <w:spacing w:val="-2"/>
        </w:rPr>
        <w:t>conciliation</w:t>
      </w:r>
    </w:p>
    <w:p>
      <w:pPr>
        <w:pStyle w:val="BodyText"/>
        <w:spacing w:line="259" w:lineRule="auto" w:before="178"/>
        <w:ind w:left="1337" w:right="1472"/>
        <w:jc w:val="both"/>
      </w:pPr>
      <w:r>
        <w:rPr/>
        <w:t>In the post-ET stage too, many of the themes above are also observed. </w:t>
      </w:r>
      <w:r>
        <w:rPr>
          <w:b/>
        </w:rPr>
        <w:t>Overall satisfaction among those taking part in conciliation at this stage is high </w:t>
      </w:r>
      <w:r>
        <w:rPr/>
        <w:t>(eight</w:t>
      </w:r>
      <w:r>
        <w:rPr>
          <w:spacing w:val="-10"/>
        </w:rPr>
        <w:t> </w:t>
      </w:r>
      <w:r>
        <w:rPr/>
        <w:t>in</w:t>
      </w:r>
      <w:r>
        <w:rPr>
          <w:spacing w:val="-10"/>
        </w:rPr>
        <w:t> </w:t>
      </w:r>
      <w:r>
        <w:rPr/>
        <w:t>ten)</w:t>
      </w:r>
      <w:r>
        <w:rPr>
          <w:spacing w:val="-10"/>
        </w:rPr>
        <w:t> </w:t>
      </w:r>
      <w:r>
        <w:rPr/>
        <w:t>and</w:t>
      </w:r>
      <w:r>
        <w:rPr>
          <w:spacing w:val="-11"/>
        </w:rPr>
        <w:t> </w:t>
      </w:r>
      <w:r>
        <w:rPr/>
        <w:t>those</w:t>
      </w:r>
      <w:r>
        <w:rPr>
          <w:spacing w:val="-12"/>
        </w:rPr>
        <w:t> </w:t>
      </w:r>
      <w:r>
        <w:rPr/>
        <w:t>participating</w:t>
      </w:r>
      <w:r>
        <w:rPr>
          <w:spacing w:val="-10"/>
        </w:rPr>
        <w:t> </w:t>
      </w:r>
      <w:r>
        <w:rPr/>
        <w:t>in</w:t>
      </w:r>
      <w:r>
        <w:rPr>
          <w:spacing w:val="-10"/>
        </w:rPr>
        <w:t> </w:t>
      </w:r>
      <w:r>
        <w:rPr/>
        <w:t>conciliation</w:t>
      </w:r>
      <w:r>
        <w:rPr>
          <w:spacing w:val="-10"/>
        </w:rPr>
        <w:t> </w:t>
      </w:r>
      <w:r>
        <w:rPr/>
        <w:t>rate</w:t>
      </w:r>
      <w:r>
        <w:rPr>
          <w:spacing w:val="-11"/>
        </w:rPr>
        <w:t> </w:t>
      </w:r>
      <w:r>
        <w:rPr/>
        <w:t>Acas</w:t>
      </w:r>
      <w:r>
        <w:rPr>
          <w:spacing w:val="-10"/>
        </w:rPr>
        <w:t> </w:t>
      </w:r>
      <w:r>
        <w:rPr/>
        <w:t>conciliators</w:t>
      </w:r>
      <w:r>
        <w:rPr>
          <w:spacing w:val="-10"/>
        </w:rPr>
        <w:t> </w:t>
      </w:r>
      <w:r>
        <w:rPr/>
        <w:t>positively across a range of personal attributes. Clear majorities rate conciliators as even- handed, available when needed and say they offered the appropriate amount of communication. Echoing the EC experience, claimants were more likely than representatives and employers to say they wanted more communication with conciliators</w:t>
      </w:r>
      <w:r>
        <w:rPr>
          <w:spacing w:val="-1"/>
        </w:rPr>
        <w:t> </w:t>
      </w:r>
      <w:r>
        <w:rPr/>
        <w:t>(around</w:t>
      </w:r>
      <w:r>
        <w:rPr>
          <w:spacing w:val="-2"/>
        </w:rPr>
        <w:t> </w:t>
      </w:r>
      <w:r>
        <w:rPr/>
        <w:t>four</w:t>
      </w:r>
      <w:r>
        <w:rPr>
          <w:spacing w:val="-1"/>
        </w:rPr>
        <w:t> </w:t>
      </w:r>
      <w:r>
        <w:rPr/>
        <w:t>in ten),</w:t>
      </w:r>
      <w:r>
        <w:rPr>
          <w:spacing w:val="-2"/>
        </w:rPr>
        <w:t> </w:t>
      </w:r>
      <w:r>
        <w:rPr/>
        <w:t>although</w:t>
      </w:r>
      <w:r>
        <w:rPr>
          <w:spacing w:val="-2"/>
        </w:rPr>
        <w:t> </w:t>
      </w:r>
      <w:r>
        <w:rPr/>
        <w:t>this</w:t>
      </w:r>
      <w:r>
        <w:rPr>
          <w:spacing w:val="-2"/>
        </w:rPr>
        <w:t> </w:t>
      </w:r>
      <w:r>
        <w:rPr/>
        <w:t>did</w:t>
      </w:r>
      <w:r>
        <w:rPr>
          <w:spacing w:val="-1"/>
        </w:rPr>
        <w:t> </w:t>
      </w:r>
      <w:r>
        <w:rPr/>
        <w:t>not</w:t>
      </w:r>
      <w:r>
        <w:rPr>
          <w:spacing w:val="-2"/>
        </w:rPr>
        <w:t> </w:t>
      </w:r>
      <w:r>
        <w:rPr/>
        <w:t>differ</w:t>
      </w:r>
      <w:r>
        <w:rPr>
          <w:spacing w:val="-1"/>
        </w:rPr>
        <w:t> </w:t>
      </w:r>
      <w:r>
        <w:rPr/>
        <w:t>by</w:t>
      </w:r>
      <w:r>
        <w:rPr>
          <w:spacing w:val="-2"/>
        </w:rPr>
        <w:t> </w:t>
      </w:r>
      <w:r>
        <w:rPr/>
        <w:t>case</w:t>
      </w:r>
      <w:r>
        <w:rPr>
          <w:spacing w:val="-3"/>
        </w:rPr>
        <w:t> </w:t>
      </w:r>
      <w:r>
        <w:rPr/>
        <w:t>track.</w:t>
      </w:r>
      <w:r>
        <w:rPr>
          <w:spacing w:val="-2"/>
        </w:rPr>
        <w:t> </w:t>
      </w:r>
      <w:r>
        <w:rPr/>
        <w:t>Finally, there are also signs at the post-ET1 stage that those dealing with more than one conciliator experience a slightly inferior service than those in touch with just one, although here there were no differences in overall satisfaction between single and multiple conciliator users.</w:t>
      </w:r>
    </w:p>
    <w:p>
      <w:pPr>
        <w:pStyle w:val="BodyText"/>
        <w:spacing w:line="259" w:lineRule="auto" w:before="158"/>
        <w:ind w:left="1337" w:right="1472"/>
        <w:jc w:val="both"/>
      </w:pPr>
      <w:r>
        <w:rPr/>
        <w:t>Another finding similar to the EC survey is the fact that there are no significant differences in claimant experience by ethnicity. However, this finding should be interpreted</w:t>
      </w:r>
      <w:r>
        <w:rPr>
          <w:spacing w:val="4"/>
        </w:rPr>
        <w:t> </w:t>
      </w:r>
      <w:r>
        <w:rPr/>
        <w:t>carefully</w:t>
      </w:r>
      <w:r>
        <w:rPr>
          <w:spacing w:val="5"/>
        </w:rPr>
        <w:t> </w:t>
      </w:r>
      <w:r>
        <w:rPr/>
        <w:t>as</w:t>
      </w:r>
      <w:r>
        <w:rPr>
          <w:spacing w:val="4"/>
        </w:rPr>
        <w:t> </w:t>
      </w:r>
      <w:r>
        <w:rPr/>
        <w:t>the</w:t>
      </w:r>
      <w:r>
        <w:rPr>
          <w:spacing w:val="3"/>
        </w:rPr>
        <w:t> </w:t>
      </w:r>
      <w:r>
        <w:rPr/>
        <w:t>base</w:t>
      </w:r>
      <w:r>
        <w:rPr>
          <w:spacing w:val="4"/>
        </w:rPr>
        <w:t> </w:t>
      </w:r>
      <w:r>
        <w:rPr/>
        <w:t>size</w:t>
      </w:r>
      <w:r>
        <w:rPr>
          <w:spacing w:val="5"/>
        </w:rPr>
        <w:t> </w:t>
      </w:r>
      <w:r>
        <w:rPr/>
        <w:t>of</w:t>
      </w:r>
      <w:r>
        <w:rPr>
          <w:spacing w:val="4"/>
        </w:rPr>
        <w:t> </w:t>
      </w:r>
      <w:r>
        <w:rPr/>
        <w:t>claimants</w:t>
      </w:r>
      <w:r>
        <w:rPr>
          <w:spacing w:val="3"/>
        </w:rPr>
        <w:t> </w:t>
      </w:r>
      <w:r>
        <w:rPr/>
        <w:t>from</w:t>
      </w:r>
      <w:r>
        <w:rPr>
          <w:spacing w:val="5"/>
        </w:rPr>
        <w:t> </w:t>
      </w:r>
      <w:r>
        <w:rPr/>
        <w:t>BAME</w:t>
      </w:r>
      <w:r>
        <w:rPr>
          <w:spacing w:val="3"/>
        </w:rPr>
        <w:t> </w:t>
      </w:r>
      <w:r>
        <w:rPr/>
        <w:t>backgrounds</w:t>
      </w:r>
      <w:r>
        <w:rPr>
          <w:spacing w:val="4"/>
        </w:rPr>
        <w:t> </w:t>
      </w:r>
      <w:r>
        <w:rPr/>
        <w:t>is</w:t>
      </w:r>
      <w:r>
        <w:rPr>
          <w:spacing w:val="5"/>
        </w:rPr>
        <w:t> </w:t>
      </w:r>
      <w:r>
        <w:rPr>
          <w:spacing w:val="-4"/>
        </w:rPr>
        <w:t>less</w:t>
      </w:r>
    </w:p>
    <w:p>
      <w:pPr>
        <w:spacing w:after="0" w:line="259" w:lineRule="auto"/>
        <w:jc w:val="both"/>
        <w:sectPr>
          <w:pgSz w:w="11910" w:h="16840"/>
          <w:pgMar w:header="0" w:footer="996" w:top="1340" w:bottom="1180" w:left="460" w:right="320"/>
        </w:sectPr>
      </w:pPr>
    </w:p>
    <w:p>
      <w:pPr>
        <w:pStyle w:val="BodyText"/>
        <w:spacing w:line="259" w:lineRule="auto" w:before="82"/>
        <w:ind w:left="1337" w:right="1474"/>
        <w:jc w:val="both"/>
      </w:pPr>
      <w:r>
        <w:rPr/>
        <w:t>than 100 overall, and smaller still when filtering to only those who took part in post-ET conciliation.</w:t>
      </w:r>
    </w:p>
    <w:p>
      <w:pPr>
        <w:spacing w:line="259" w:lineRule="auto" w:before="160"/>
        <w:ind w:left="1337" w:right="1473" w:firstLine="0"/>
        <w:jc w:val="both"/>
        <w:rPr>
          <w:sz w:val="20"/>
        </w:rPr>
      </w:pPr>
      <w:r>
        <w:rPr>
          <w:sz w:val="20"/>
        </w:rPr>
        <w:t>The</w:t>
      </w:r>
      <w:r>
        <w:rPr>
          <w:spacing w:val="-4"/>
          <w:sz w:val="20"/>
        </w:rPr>
        <w:t> </w:t>
      </w:r>
      <w:r>
        <w:rPr>
          <w:sz w:val="20"/>
        </w:rPr>
        <w:t>post-ET1</w:t>
      </w:r>
      <w:r>
        <w:rPr>
          <w:spacing w:val="-3"/>
          <w:sz w:val="20"/>
        </w:rPr>
        <w:t> </w:t>
      </w:r>
      <w:r>
        <w:rPr>
          <w:sz w:val="20"/>
        </w:rPr>
        <w:t>results</w:t>
      </w:r>
      <w:r>
        <w:rPr>
          <w:spacing w:val="-3"/>
          <w:sz w:val="20"/>
        </w:rPr>
        <w:t> </w:t>
      </w:r>
      <w:r>
        <w:rPr>
          <w:sz w:val="20"/>
        </w:rPr>
        <w:t>also</w:t>
      </w:r>
      <w:r>
        <w:rPr>
          <w:spacing w:val="-3"/>
          <w:sz w:val="20"/>
        </w:rPr>
        <w:t> </w:t>
      </w:r>
      <w:r>
        <w:rPr>
          <w:sz w:val="20"/>
        </w:rPr>
        <w:t>highlight</w:t>
      </w:r>
      <w:r>
        <w:rPr>
          <w:spacing w:val="-4"/>
          <w:sz w:val="20"/>
        </w:rPr>
        <w:t> </w:t>
      </w:r>
      <w:r>
        <w:rPr>
          <w:sz w:val="20"/>
        </w:rPr>
        <w:t>two</w:t>
      </w:r>
      <w:r>
        <w:rPr>
          <w:spacing w:val="-3"/>
          <w:sz w:val="20"/>
        </w:rPr>
        <w:t> </w:t>
      </w:r>
      <w:r>
        <w:rPr>
          <w:sz w:val="20"/>
        </w:rPr>
        <w:t>additional</w:t>
      </w:r>
      <w:r>
        <w:rPr>
          <w:spacing w:val="-4"/>
          <w:sz w:val="20"/>
        </w:rPr>
        <w:t> </w:t>
      </w:r>
      <w:r>
        <w:rPr>
          <w:sz w:val="20"/>
        </w:rPr>
        <w:t>areas</w:t>
      </w:r>
      <w:r>
        <w:rPr>
          <w:spacing w:val="-3"/>
          <w:sz w:val="20"/>
        </w:rPr>
        <w:t> </w:t>
      </w:r>
      <w:r>
        <w:rPr>
          <w:sz w:val="20"/>
        </w:rPr>
        <w:t>of</w:t>
      </w:r>
      <w:r>
        <w:rPr>
          <w:spacing w:val="-4"/>
          <w:sz w:val="20"/>
        </w:rPr>
        <w:t> </w:t>
      </w:r>
      <w:r>
        <w:rPr>
          <w:sz w:val="20"/>
        </w:rPr>
        <w:t>consideration</w:t>
      </w:r>
      <w:r>
        <w:rPr>
          <w:spacing w:val="-4"/>
          <w:sz w:val="20"/>
        </w:rPr>
        <w:t> </w:t>
      </w:r>
      <w:r>
        <w:rPr>
          <w:sz w:val="20"/>
        </w:rPr>
        <w:t>–</w:t>
      </w:r>
      <w:r>
        <w:rPr>
          <w:spacing w:val="-4"/>
          <w:sz w:val="20"/>
        </w:rPr>
        <w:t> </w:t>
      </w:r>
      <w:r>
        <w:rPr>
          <w:sz w:val="20"/>
        </w:rPr>
        <w:t>the</w:t>
      </w:r>
      <w:r>
        <w:rPr>
          <w:spacing w:val="-4"/>
          <w:sz w:val="20"/>
        </w:rPr>
        <w:t> </w:t>
      </w:r>
      <w:r>
        <w:rPr>
          <w:sz w:val="20"/>
        </w:rPr>
        <w:t>role of prior EC in post-ET1 conciliation and the positive impact of using the same conciliator across both stages of conciliation. </w:t>
      </w:r>
      <w:r>
        <w:rPr>
          <w:b/>
          <w:sz w:val="20"/>
        </w:rPr>
        <w:t>Those moving to the post-ET1 phase who had previously taken part in EC were more likely to choose to participate in post-ET1 conciliation and to then go on to settle their dispute</w:t>
      </w:r>
      <w:r>
        <w:rPr>
          <w:sz w:val="20"/>
        </w:rPr>
        <w:t>, although their levels of satisfaction with the service were the same as other groups. While this may partially reflect the motivations of the participant (such</w:t>
      </w:r>
      <w:r>
        <w:rPr>
          <w:spacing w:val="-4"/>
          <w:sz w:val="20"/>
        </w:rPr>
        <w:t> </w:t>
      </w:r>
      <w:r>
        <w:rPr>
          <w:sz w:val="20"/>
        </w:rPr>
        <w:t>as</w:t>
      </w:r>
      <w:r>
        <w:rPr>
          <w:spacing w:val="-4"/>
          <w:sz w:val="20"/>
        </w:rPr>
        <w:t> </w:t>
      </w:r>
      <w:r>
        <w:rPr>
          <w:sz w:val="20"/>
        </w:rPr>
        <w:t>being</w:t>
      </w:r>
      <w:r>
        <w:rPr>
          <w:spacing w:val="-4"/>
          <w:sz w:val="20"/>
        </w:rPr>
        <w:t> </w:t>
      </w:r>
      <w:r>
        <w:rPr>
          <w:sz w:val="20"/>
        </w:rPr>
        <w:t>more</w:t>
      </w:r>
      <w:r>
        <w:rPr>
          <w:spacing w:val="-4"/>
          <w:sz w:val="20"/>
        </w:rPr>
        <w:t> </w:t>
      </w:r>
      <w:r>
        <w:rPr>
          <w:sz w:val="20"/>
        </w:rPr>
        <w:t>open</w:t>
      </w:r>
      <w:r>
        <w:rPr>
          <w:spacing w:val="-3"/>
          <w:sz w:val="20"/>
        </w:rPr>
        <w:t> </w:t>
      </w:r>
      <w:r>
        <w:rPr>
          <w:sz w:val="20"/>
        </w:rPr>
        <w:t>to</w:t>
      </w:r>
      <w:r>
        <w:rPr>
          <w:spacing w:val="-5"/>
          <w:sz w:val="20"/>
        </w:rPr>
        <w:t> </w:t>
      </w:r>
      <w:r>
        <w:rPr>
          <w:sz w:val="20"/>
        </w:rPr>
        <w:t>a</w:t>
      </w:r>
      <w:r>
        <w:rPr>
          <w:spacing w:val="-5"/>
          <w:sz w:val="20"/>
        </w:rPr>
        <w:t> </w:t>
      </w:r>
      <w:r>
        <w:rPr>
          <w:sz w:val="20"/>
        </w:rPr>
        <w:t>settlement),</w:t>
      </w:r>
      <w:r>
        <w:rPr>
          <w:spacing w:val="-4"/>
          <w:sz w:val="20"/>
        </w:rPr>
        <w:t> </w:t>
      </w:r>
      <w:r>
        <w:rPr>
          <w:sz w:val="20"/>
        </w:rPr>
        <w:t>it</w:t>
      </w:r>
      <w:r>
        <w:rPr>
          <w:spacing w:val="-3"/>
          <w:sz w:val="20"/>
        </w:rPr>
        <w:t> </w:t>
      </w:r>
      <w:r>
        <w:rPr>
          <w:sz w:val="20"/>
        </w:rPr>
        <w:t>is</w:t>
      </w:r>
      <w:r>
        <w:rPr>
          <w:spacing w:val="-3"/>
          <w:sz w:val="20"/>
        </w:rPr>
        <w:t> </w:t>
      </w:r>
      <w:r>
        <w:rPr>
          <w:sz w:val="20"/>
        </w:rPr>
        <w:t>also</w:t>
      </w:r>
      <w:r>
        <w:rPr>
          <w:spacing w:val="-4"/>
          <w:sz w:val="20"/>
        </w:rPr>
        <w:t> </w:t>
      </w:r>
      <w:r>
        <w:rPr>
          <w:sz w:val="20"/>
        </w:rPr>
        <w:t>encouraging</w:t>
      </w:r>
      <w:r>
        <w:rPr>
          <w:spacing w:val="-4"/>
          <w:sz w:val="20"/>
        </w:rPr>
        <w:t> </w:t>
      </w:r>
      <w:r>
        <w:rPr>
          <w:sz w:val="20"/>
        </w:rPr>
        <w:t>that</w:t>
      </w:r>
      <w:r>
        <w:rPr>
          <w:spacing w:val="-5"/>
          <w:sz w:val="20"/>
        </w:rPr>
        <w:t> </w:t>
      </w:r>
      <w:r>
        <w:rPr>
          <w:sz w:val="20"/>
        </w:rPr>
        <w:t>those</w:t>
      </w:r>
      <w:r>
        <w:rPr>
          <w:spacing w:val="-5"/>
          <w:sz w:val="20"/>
        </w:rPr>
        <w:t> </w:t>
      </w:r>
      <w:r>
        <w:rPr>
          <w:sz w:val="20"/>
        </w:rPr>
        <w:t>in</w:t>
      </w:r>
      <w:r>
        <w:rPr>
          <w:spacing w:val="-4"/>
          <w:sz w:val="20"/>
        </w:rPr>
        <w:t> </w:t>
      </w:r>
      <w:r>
        <w:rPr>
          <w:sz w:val="20"/>
        </w:rPr>
        <w:t>the post-ET1</w:t>
      </w:r>
      <w:r>
        <w:rPr>
          <w:spacing w:val="-6"/>
          <w:sz w:val="20"/>
        </w:rPr>
        <w:t> </w:t>
      </w:r>
      <w:r>
        <w:rPr>
          <w:sz w:val="20"/>
        </w:rPr>
        <w:t>stage</w:t>
      </w:r>
      <w:r>
        <w:rPr>
          <w:spacing w:val="-5"/>
          <w:sz w:val="20"/>
        </w:rPr>
        <w:t> </w:t>
      </w:r>
      <w:r>
        <w:rPr>
          <w:sz w:val="20"/>
        </w:rPr>
        <w:t>of</w:t>
      </w:r>
      <w:r>
        <w:rPr>
          <w:spacing w:val="-5"/>
          <w:sz w:val="20"/>
        </w:rPr>
        <w:t> </w:t>
      </w:r>
      <w:r>
        <w:rPr>
          <w:sz w:val="20"/>
        </w:rPr>
        <w:t>their</w:t>
      </w:r>
      <w:r>
        <w:rPr>
          <w:spacing w:val="-5"/>
          <w:sz w:val="20"/>
        </w:rPr>
        <w:t> </w:t>
      </w:r>
      <w:r>
        <w:rPr>
          <w:sz w:val="20"/>
        </w:rPr>
        <w:t>dispute</w:t>
      </w:r>
      <w:r>
        <w:rPr>
          <w:spacing w:val="-5"/>
          <w:sz w:val="20"/>
        </w:rPr>
        <w:t> </w:t>
      </w:r>
      <w:r>
        <w:rPr>
          <w:sz w:val="20"/>
        </w:rPr>
        <w:t>remain</w:t>
      </w:r>
      <w:r>
        <w:rPr>
          <w:spacing w:val="-4"/>
          <w:sz w:val="20"/>
        </w:rPr>
        <w:t> </w:t>
      </w:r>
      <w:r>
        <w:rPr>
          <w:sz w:val="20"/>
        </w:rPr>
        <w:t>willing</w:t>
      </w:r>
      <w:r>
        <w:rPr>
          <w:spacing w:val="-4"/>
          <w:sz w:val="20"/>
        </w:rPr>
        <w:t> </w:t>
      </w:r>
      <w:r>
        <w:rPr>
          <w:sz w:val="20"/>
        </w:rPr>
        <w:t>to</w:t>
      </w:r>
      <w:r>
        <w:rPr>
          <w:spacing w:val="-5"/>
          <w:sz w:val="20"/>
        </w:rPr>
        <w:t> </w:t>
      </w:r>
      <w:r>
        <w:rPr>
          <w:sz w:val="20"/>
        </w:rPr>
        <w:t>try</w:t>
      </w:r>
      <w:r>
        <w:rPr>
          <w:spacing w:val="-5"/>
          <w:sz w:val="20"/>
        </w:rPr>
        <w:t> </w:t>
      </w:r>
      <w:r>
        <w:rPr>
          <w:sz w:val="20"/>
        </w:rPr>
        <w:t>conciliation</w:t>
      </w:r>
      <w:r>
        <w:rPr>
          <w:spacing w:val="-4"/>
          <w:sz w:val="20"/>
        </w:rPr>
        <w:t> </w:t>
      </w:r>
      <w:r>
        <w:rPr>
          <w:sz w:val="20"/>
        </w:rPr>
        <w:t>again,</w:t>
      </w:r>
      <w:r>
        <w:rPr>
          <w:spacing w:val="-5"/>
          <w:sz w:val="20"/>
        </w:rPr>
        <w:t> </w:t>
      </w:r>
      <w:r>
        <w:rPr>
          <w:sz w:val="20"/>
        </w:rPr>
        <w:t>even</w:t>
      </w:r>
      <w:r>
        <w:rPr>
          <w:spacing w:val="-6"/>
          <w:sz w:val="20"/>
        </w:rPr>
        <w:t> </w:t>
      </w:r>
      <w:r>
        <w:rPr>
          <w:sz w:val="20"/>
        </w:rPr>
        <w:t>where it</w:t>
      </w:r>
      <w:r>
        <w:rPr>
          <w:spacing w:val="-8"/>
          <w:sz w:val="20"/>
        </w:rPr>
        <w:t> </w:t>
      </w:r>
      <w:r>
        <w:rPr>
          <w:sz w:val="20"/>
        </w:rPr>
        <w:t>did</w:t>
      </w:r>
      <w:r>
        <w:rPr>
          <w:spacing w:val="-8"/>
          <w:sz w:val="20"/>
        </w:rPr>
        <w:t> </w:t>
      </w:r>
      <w:r>
        <w:rPr>
          <w:sz w:val="20"/>
        </w:rPr>
        <w:t>not</w:t>
      </w:r>
      <w:r>
        <w:rPr>
          <w:spacing w:val="-8"/>
          <w:sz w:val="20"/>
        </w:rPr>
        <w:t> </w:t>
      </w:r>
      <w:r>
        <w:rPr>
          <w:sz w:val="20"/>
        </w:rPr>
        <w:t>result</w:t>
      </w:r>
      <w:r>
        <w:rPr>
          <w:spacing w:val="-8"/>
          <w:sz w:val="20"/>
        </w:rPr>
        <w:t> </w:t>
      </w:r>
      <w:r>
        <w:rPr>
          <w:sz w:val="20"/>
        </w:rPr>
        <w:t>in</w:t>
      </w:r>
      <w:r>
        <w:rPr>
          <w:spacing w:val="-8"/>
          <w:sz w:val="20"/>
        </w:rPr>
        <w:t> </w:t>
      </w:r>
      <w:r>
        <w:rPr>
          <w:sz w:val="20"/>
        </w:rPr>
        <w:t>a</w:t>
      </w:r>
      <w:r>
        <w:rPr>
          <w:spacing w:val="-8"/>
          <w:sz w:val="20"/>
        </w:rPr>
        <w:t> </w:t>
      </w:r>
      <w:r>
        <w:rPr>
          <w:sz w:val="20"/>
        </w:rPr>
        <w:t>settlement</w:t>
      </w:r>
      <w:r>
        <w:rPr>
          <w:spacing w:val="-8"/>
          <w:sz w:val="20"/>
        </w:rPr>
        <w:t> </w:t>
      </w:r>
      <w:r>
        <w:rPr>
          <w:sz w:val="20"/>
        </w:rPr>
        <w:t>at</w:t>
      </w:r>
      <w:r>
        <w:rPr>
          <w:spacing w:val="-8"/>
          <w:sz w:val="20"/>
        </w:rPr>
        <w:t> </w:t>
      </w:r>
      <w:r>
        <w:rPr>
          <w:sz w:val="20"/>
        </w:rPr>
        <w:t>EC.</w:t>
      </w:r>
      <w:r>
        <w:rPr>
          <w:spacing w:val="-8"/>
          <w:sz w:val="20"/>
        </w:rPr>
        <w:t> </w:t>
      </w:r>
      <w:r>
        <w:rPr>
          <w:sz w:val="20"/>
        </w:rPr>
        <w:t>The</w:t>
      </w:r>
      <w:r>
        <w:rPr>
          <w:spacing w:val="-9"/>
          <w:sz w:val="20"/>
        </w:rPr>
        <w:t> </w:t>
      </w:r>
      <w:r>
        <w:rPr>
          <w:sz w:val="20"/>
        </w:rPr>
        <w:t>evaluation</w:t>
      </w:r>
      <w:r>
        <w:rPr>
          <w:spacing w:val="-8"/>
          <w:sz w:val="20"/>
        </w:rPr>
        <w:t> </w:t>
      </w:r>
      <w:r>
        <w:rPr>
          <w:sz w:val="20"/>
        </w:rPr>
        <w:t>also</w:t>
      </w:r>
      <w:r>
        <w:rPr>
          <w:spacing w:val="-8"/>
          <w:sz w:val="20"/>
        </w:rPr>
        <w:t> </w:t>
      </w:r>
      <w:r>
        <w:rPr>
          <w:sz w:val="20"/>
        </w:rPr>
        <w:t>shows</w:t>
      </w:r>
      <w:r>
        <w:rPr>
          <w:spacing w:val="-9"/>
          <w:sz w:val="20"/>
        </w:rPr>
        <w:t> </w:t>
      </w:r>
      <w:r>
        <w:rPr>
          <w:sz w:val="20"/>
        </w:rPr>
        <w:t>the</w:t>
      </w:r>
      <w:r>
        <w:rPr>
          <w:spacing w:val="-9"/>
          <w:sz w:val="20"/>
        </w:rPr>
        <w:t> </w:t>
      </w:r>
      <w:r>
        <w:rPr>
          <w:sz w:val="20"/>
        </w:rPr>
        <w:t>positive</w:t>
      </w:r>
      <w:r>
        <w:rPr>
          <w:spacing w:val="-9"/>
          <w:sz w:val="20"/>
        </w:rPr>
        <w:t> </w:t>
      </w:r>
      <w:r>
        <w:rPr>
          <w:sz w:val="20"/>
        </w:rPr>
        <w:t>effect of</w:t>
      </w:r>
      <w:r>
        <w:rPr>
          <w:spacing w:val="-7"/>
          <w:sz w:val="20"/>
        </w:rPr>
        <w:t> </w:t>
      </w:r>
      <w:r>
        <w:rPr>
          <w:sz w:val="20"/>
        </w:rPr>
        <w:t>continuity</w:t>
      </w:r>
      <w:r>
        <w:rPr>
          <w:spacing w:val="-8"/>
          <w:sz w:val="20"/>
        </w:rPr>
        <w:t> </w:t>
      </w:r>
      <w:r>
        <w:rPr>
          <w:sz w:val="20"/>
        </w:rPr>
        <w:t>in</w:t>
      </w:r>
      <w:r>
        <w:rPr>
          <w:spacing w:val="-9"/>
          <w:sz w:val="20"/>
        </w:rPr>
        <w:t> </w:t>
      </w:r>
      <w:r>
        <w:rPr>
          <w:sz w:val="20"/>
        </w:rPr>
        <w:t>conciliators,</w:t>
      </w:r>
      <w:r>
        <w:rPr>
          <w:spacing w:val="-9"/>
          <w:sz w:val="20"/>
        </w:rPr>
        <w:t> </w:t>
      </w:r>
      <w:r>
        <w:rPr>
          <w:sz w:val="20"/>
        </w:rPr>
        <w:t>with</w:t>
      </w:r>
      <w:r>
        <w:rPr>
          <w:spacing w:val="-7"/>
          <w:sz w:val="20"/>
        </w:rPr>
        <w:t> </w:t>
      </w:r>
      <w:r>
        <w:rPr>
          <w:b/>
          <w:sz w:val="20"/>
        </w:rPr>
        <w:t>users</w:t>
      </w:r>
      <w:r>
        <w:rPr>
          <w:b/>
          <w:spacing w:val="-9"/>
          <w:sz w:val="20"/>
        </w:rPr>
        <w:t> </w:t>
      </w:r>
      <w:r>
        <w:rPr>
          <w:b/>
          <w:sz w:val="20"/>
        </w:rPr>
        <w:t>who</w:t>
      </w:r>
      <w:r>
        <w:rPr>
          <w:b/>
          <w:spacing w:val="-8"/>
          <w:sz w:val="20"/>
        </w:rPr>
        <w:t> </w:t>
      </w:r>
      <w:r>
        <w:rPr>
          <w:b/>
          <w:sz w:val="20"/>
        </w:rPr>
        <w:t>recalled</w:t>
      </w:r>
      <w:r>
        <w:rPr>
          <w:b/>
          <w:spacing w:val="-8"/>
          <w:sz w:val="20"/>
        </w:rPr>
        <w:t> </w:t>
      </w:r>
      <w:r>
        <w:rPr>
          <w:b/>
          <w:sz w:val="20"/>
        </w:rPr>
        <w:t>using</w:t>
      </w:r>
      <w:r>
        <w:rPr>
          <w:b/>
          <w:spacing w:val="-8"/>
          <w:sz w:val="20"/>
        </w:rPr>
        <w:t> </w:t>
      </w:r>
      <w:r>
        <w:rPr>
          <w:b/>
          <w:sz w:val="20"/>
        </w:rPr>
        <w:t>the</w:t>
      </w:r>
      <w:r>
        <w:rPr>
          <w:b/>
          <w:spacing w:val="-8"/>
          <w:sz w:val="20"/>
        </w:rPr>
        <w:t> </w:t>
      </w:r>
      <w:r>
        <w:rPr>
          <w:b/>
          <w:sz w:val="20"/>
        </w:rPr>
        <w:t>same</w:t>
      </w:r>
      <w:r>
        <w:rPr>
          <w:b/>
          <w:spacing w:val="-9"/>
          <w:sz w:val="20"/>
        </w:rPr>
        <w:t> </w:t>
      </w:r>
      <w:r>
        <w:rPr>
          <w:b/>
          <w:sz w:val="20"/>
        </w:rPr>
        <w:t>person</w:t>
      </w:r>
      <w:r>
        <w:rPr>
          <w:b/>
          <w:spacing w:val="-9"/>
          <w:sz w:val="20"/>
        </w:rPr>
        <w:t> </w:t>
      </w:r>
      <w:r>
        <w:rPr>
          <w:b/>
          <w:sz w:val="20"/>
        </w:rPr>
        <w:t>at the EC and post-ET1 stages showing higher levels of satisfaction across several measures </w:t>
      </w:r>
      <w:r>
        <w:rPr>
          <w:sz w:val="20"/>
        </w:rPr>
        <w:t>than those who used different conciliators at each stage. Although</w:t>
      </w:r>
      <w:r>
        <w:rPr>
          <w:spacing w:val="-16"/>
          <w:sz w:val="20"/>
        </w:rPr>
        <w:t> </w:t>
      </w:r>
      <w:r>
        <w:rPr>
          <w:sz w:val="20"/>
        </w:rPr>
        <w:t>the</w:t>
      </w:r>
      <w:r>
        <w:rPr>
          <w:spacing w:val="-16"/>
          <w:sz w:val="20"/>
        </w:rPr>
        <w:t> </w:t>
      </w:r>
      <w:r>
        <w:rPr>
          <w:sz w:val="20"/>
        </w:rPr>
        <w:t>base</w:t>
      </w:r>
      <w:r>
        <w:rPr>
          <w:spacing w:val="-16"/>
          <w:sz w:val="20"/>
        </w:rPr>
        <w:t> </w:t>
      </w:r>
      <w:r>
        <w:rPr>
          <w:sz w:val="20"/>
        </w:rPr>
        <w:t>size</w:t>
      </w:r>
      <w:r>
        <w:rPr>
          <w:spacing w:val="-16"/>
          <w:sz w:val="20"/>
        </w:rPr>
        <w:t> </w:t>
      </w:r>
      <w:r>
        <w:rPr>
          <w:sz w:val="20"/>
        </w:rPr>
        <w:t>for</w:t>
      </w:r>
      <w:r>
        <w:rPr>
          <w:spacing w:val="-16"/>
          <w:sz w:val="20"/>
        </w:rPr>
        <w:t> </w:t>
      </w:r>
      <w:r>
        <w:rPr>
          <w:sz w:val="20"/>
        </w:rPr>
        <w:t>those</w:t>
      </w:r>
      <w:r>
        <w:rPr>
          <w:spacing w:val="-16"/>
          <w:sz w:val="20"/>
        </w:rPr>
        <w:t> </w:t>
      </w:r>
      <w:r>
        <w:rPr>
          <w:sz w:val="20"/>
        </w:rPr>
        <w:t>using</w:t>
      </w:r>
      <w:r>
        <w:rPr>
          <w:spacing w:val="-15"/>
          <w:sz w:val="20"/>
        </w:rPr>
        <w:t> </w:t>
      </w:r>
      <w:r>
        <w:rPr>
          <w:sz w:val="20"/>
        </w:rPr>
        <w:t>different</w:t>
      </w:r>
      <w:r>
        <w:rPr>
          <w:spacing w:val="-17"/>
          <w:sz w:val="20"/>
        </w:rPr>
        <w:t> </w:t>
      </w:r>
      <w:r>
        <w:rPr>
          <w:sz w:val="20"/>
        </w:rPr>
        <w:t>conciliators</w:t>
      </w:r>
      <w:r>
        <w:rPr>
          <w:spacing w:val="-15"/>
          <w:sz w:val="20"/>
        </w:rPr>
        <w:t> </w:t>
      </w:r>
      <w:r>
        <w:rPr>
          <w:sz w:val="20"/>
        </w:rPr>
        <w:t>at</w:t>
      </w:r>
      <w:r>
        <w:rPr>
          <w:spacing w:val="-15"/>
          <w:sz w:val="20"/>
        </w:rPr>
        <w:t> </w:t>
      </w:r>
      <w:r>
        <w:rPr>
          <w:sz w:val="20"/>
        </w:rPr>
        <w:t>each</w:t>
      </w:r>
      <w:r>
        <w:rPr>
          <w:spacing w:val="-15"/>
          <w:sz w:val="20"/>
        </w:rPr>
        <w:t> </w:t>
      </w:r>
      <w:r>
        <w:rPr>
          <w:sz w:val="20"/>
        </w:rPr>
        <w:t>stage</w:t>
      </w:r>
      <w:r>
        <w:rPr>
          <w:spacing w:val="-16"/>
          <w:sz w:val="20"/>
        </w:rPr>
        <w:t> </w:t>
      </w:r>
      <w:r>
        <w:rPr>
          <w:sz w:val="20"/>
        </w:rPr>
        <w:t>is</w:t>
      </w:r>
      <w:r>
        <w:rPr>
          <w:spacing w:val="-15"/>
          <w:sz w:val="20"/>
        </w:rPr>
        <w:t> </w:t>
      </w:r>
      <w:r>
        <w:rPr>
          <w:sz w:val="20"/>
        </w:rPr>
        <w:t>small</w:t>
      </w:r>
      <w:hyperlink w:history="true" w:anchor="_bookmark92">
        <w:r>
          <w:rPr>
            <w:position w:val="7"/>
            <w:sz w:val="13"/>
          </w:rPr>
          <w:t>42</w:t>
        </w:r>
      </w:hyperlink>
      <w:r>
        <w:rPr>
          <w:sz w:val="20"/>
        </w:rPr>
        <w:t>, this does suggest that conciliators establishing a rapport with service users over time can lead to a better user experience.</w:t>
      </w:r>
    </w:p>
    <w:p>
      <w:pPr>
        <w:pStyle w:val="BodyText"/>
        <w:spacing w:line="259" w:lineRule="auto" w:before="156"/>
        <w:ind w:left="1337" w:right="1472"/>
        <w:jc w:val="both"/>
      </w:pPr>
      <w:r>
        <w:rPr/>
        <w:t>A</w:t>
      </w:r>
      <w:r>
        <w:rPr>
          <w:spacing w:val="-8"/>
        </w:rPr>
        <w:t> </w:t>
      </w:r>
      <w:r>
        <w:rPr/>
        <w:t>consistent</w:t>
      </w:r>
      <w:r>
        <w:rPr>
          <w:spacing w:val="-9"/>
        </w:rPr>
        <w:t> </w:t>
      </w:r>
      <w:r>
        <w:rPr/>
        <w:t>message</w:t>
      </w:r>
      <w:r>
        <w:rPr>
          <w:spacing w:val="-9"/>
        </w:rPr>
        <w:t> </w:t>
      </w:r>
      <w:r>
        <w:rPr/>
        <w:t>from</w:t>
      </w:r>
      <w:r>
        <w:rPr>
          <w:spacing w:val="-9"/>
        </w:rPr>
        <w:t> </w:t>
      </w:r>
      <w:r>
        <w:rPr/>
        <w:t>the</w:t>
      </w:r>
      <w:r>
        <w:rPr>
          <w:spacing w:val="-9"/>
        </w:rPr>
        <w:t> </w:t>
      </w:r>
      <w:r>
        <w:rPr/>
        <w:t>research,</w:t>
      </w:r>
      <w:r>
        <w:rPr>
          <w:spacing w:val="-8"/>
        </w:rPr>
        <w:t> </w:t>
      </w:r>
      <w:r>
        <w:rPr/>
        <w:t>across</w:t>
      </w:r>
      <w:r>
        <w:rPr>
          <w:spacing w:val="-9"/>
        </w:rPr>
        <w:t> </w:t>
      </w:r>
      <w:r>
        <w:rPr/>
        <w:t>both</w:t>
      </w:r>
      <w:r>
        <w:rPr>
          <w:spacing w:val="-9"/>
        </w:rPr>
        <w:t> </w:t>
      </w:r>
      <w:r>
        <w:rPr/>
        <w:t>the</w:t>
      </w:r>
      <w:r>
        <w:rPr>
          <w:spacing w:val="-9"/>
        </w:rPr>
        <w:t> </w:t>
      </w:r>
      <w:r>
        <w:rPr/>
        <w:t>EC</w:t>
      </w:r>
      <w:r>
        <w:rPr>
          <w:spacing w:val="-8"/>
        </w:rPr>
        <w:t> </w:t>
      </w:r>
      <w:r>
        <w:rPr/>
        <w:t>and</w:t>
      </w:r>
      <w:r>
        <w:rPr>
          <w:spacing w:val="-9"/>
        </w:rPr>
        <w:t> </w:t>
      </w:r>
      <w:r>
        <w:rPr/>
        <w:t>ET</w:t>
      </w:r>
      <w:r>
        <w:rPr>
          <w:spacing w:val="-9"/>
        </w:rPr>
        <w:t> </w:t>
      </w:r>
      <w:r>
        <w:rPr/>
        <w:t>phases,</w:t>
      </w:r>
      <w:r>
        <w:rPr>
          <w:spacing w:val="-8"/>
        </w:rPr>
        <w:t> </w:t>
      </w:r>
      <w:r>
        <w:rPr/>
        <w:t>is</w:t>
      </w:r>
      <w:r>
        <w:rPr>
          <w:spacing w:val="-8"/>
        </w:rPr>
        <w:t> </w:t>
      </w:r>
      <w:r>
        <w:rPr/>
        <w:t>that use of conciliation services can lead to better outcomes. Whilst the decision to accept or reject conciliation can be driven by the personal motivations of those involved</w:t>
      </w:r>
      <w:r>
        <w:rPr>
          <w:spacing w:val="-2"/>
        </w:rPr>
        <w:t> </w:t>
      </w:r>
      <w:r>
        <w:rPr/>
        <w:t>or</w:t>
      </w:r>
      <w:r>
        <w:rPr>
          <w:spacing w:val="-2"/>
        </w:rPr>
        <w:t> </w:t>
      </w:r>
      <w:r>
        <w:rPr/>
        <w:t>the</w:t>
      </w:r>
      <w:r>
        <w:rPr>
          <w:spacing w:val="-2"/>
        </w:rPr>
        <w:t> </w:t>
      </w:r>
      <w:r>
        <w:rPr/>
        <w:t>perceived</w:t>
      </w:r>
      <w:r>
        <w:rPr>
          <w:spacing w:val="-2"/>
        </w:rPr>
        <w:t> </w:t>
      </w:r>
      <w:r>
        <w:rPr/>
        <w:t>motivations</w:t>
      </w:r>
      <w:r>
        <w:rPr>
          <w:spacing w:val="-2"/>
        </w:rPr>
        <w:t> </w:t>
      </w:r>
      <w:r>
        <w:rPr/>
        <w:t>of</w:t>
      </w:r>
      <w:r>
        <w:rPr>
          <w:spacing w:val="-3"/>
        </w:rPr>
        <w:t> </w:t>
      </w:r>
      <w:r>
        <w:rPr/>
        <w:t>the</w:t>
      </w:r>
      <w:r>
        <w:rPr>
          <w:spacing w:val="-2"/>
        </w:rPr>
        <w:t> </w:t>
      </w:r>
      <w:r>
        <w:rPr/>
        <w:t>other</w:t>
      </w:r>
      <w:r>
        <w:rPr>
          <w:spacing w:val="-2"/>
        </w:rPr>
        <w:t> </w:t>
      </w:r>
      <w:r>
        <w:rPr/>
        <w:t>side,</w:t>
      </w:r>
      <w:r>
        <w:rPr>
          <w:spacing w:val="-1"/>
        </w:rPr>
        <w:t> </w:t>
      </w:r>
      <w:r>
        <w:rPr/>
        <w:t>driver</w:t>
      </w:r>
      <w:r>
        <w:rPr>
          <w:spacing w:val="-2"/>
        </w:rPr>
        <w:t> </w:t>
      </w:r>
      <w:r>
        <w:rPr/>
        <w:t>analysis</w:t>
      </w:r>
      <w:r>
        <w:rPr>
          <w:spacing w:val="-2"/>
        </w:rPr>
        <w:t> </w:t>
      </w:r>
      <w:r>
        <w:rPr/>
        <w:t>shows</w:t>
      </w:r>
      <w:r>
        <w:rPr>
          <w:spacing w:val="-3"/>
        </w:rPr>
        <w:t> </w:t>
      </w:r>
      <w:r>
        <w:rPr/>
        <w:t>that there</w:t>
      </w:r>
      <w:r>
        <w:rPr>
          <w:spacing w:val="-7"/>
        </w:rPr>
        <w:t> </w:t>
      </w:r>
      <w:r>
        <w:rPr/>
        <w:t>are</w:t>
      </w:r>
      <w:r>
        <w:rPr>
          <w:spacing w:val="-7"/>
        </w:rPr>
        <w:t> </w:t>
      </w:r>
      <w:r>
        <w:rPr/>
        <w:t>steps</w:t>
      </w:r>
      <w:r>
        <w:rPr>
          <w:spacing w:val="-7"/>
        </w:rPr>
        <w:t> </w:t>
      </w:r>
      <w:r>
        <w:rPr/>
        <w:t>Acas</w:t>
      </w:r>
      <w:r>
        <w:rPr>
          <w:spacing w:val="-8"/>
        </w:rPr>
        <w:t> </w:t>
      </w:r>
      <w:r>
        <w:rPr/>
        <w:t>can</w:t>
      </w:r>
      <w:r>
        <w:rPr>
          <w:spacing w:val="-6"/>
        </w:rPr>
        <w:t> </w:t>
      </w:r>
      <w:r>
        <w:rPr/>
        <w:t>take</w:t>
      </w:r>
      <w:r>
        <w:rPr>
          <w:spacing w:val="-7"/>
        </w:rPr>
        <w:t> </w:t>
      </w:r>
      <w:r>
        <w:rPr/>
        <w:t>to</w:t>
      </w:r>
      <w:r>
        <w:rPr>
          <w:spacing w:val="-8"/>
        </w:rPr>
        <w:t> </w:t>
      </w:r>
      <w:r>
        <w:rPr/>
        <w:t>encourage</w:t>
      </w:r>
      <w:r>
        <w:rPr>
          <w:spacing w:val="-7"/>
        </w:rPr>
        <w:t> </w:t>
      </w:r>
      <w:r>
        <w:rPr/>
        <w:t>acceptance.</w:t>
      </w:r>
      <w:r>
        <w:rPr>
          <w:spacing w:val="-8"/>
        </w:rPr>
        <w:t> </w:t>
      </w:r>
      <w:r>
        <w:rPr/>
        <w:t>At</w:t>
      </w:r>
      <w:r>
        <w:rPr>
          <w:spacing w:val="-8"/>
        </w:rPr>
        <w:t> </w:t>
      </w:r>
      <w:r>
        <w:rPr/>
        <w:t>the</w:t>
      </w:r>
      <w:r>
        <w:rPr>
          <w:spacing w:val="-9"/>
        </w:rPr>
        <w:t> </w:t>
      </w:r>
      <w:r>
        <w:rPr/>
        <w:t>EC</w:t>
      </w:r>
      <w:r>
        <w:rPr>
          <w:spacing w:val="-8"/>
        </w:rPr>
        <w:t> </w:t>
      </w:r>
      <w:r>
        <w:rPr/>
        <w:t>stage,</w:t>
      </w:r>
      <w:r>
        <w:rPr>
          <w:spacing w:val="-7"/>
        </w:rPr>
        <w:t> </w:t>
      </w:r>
      <w:r>
        <w:rPr/>
        <w:t>claimants who agreed that the EC notification form provided information that was helpful in understanding the process were more likely to accept the</w:t>
      </w:r>
      <w:r>
        <w:rPr>
          <w:spacing w:val="-1"/>
        </w:rPr>
        <w:t> </w:t>
      </w:r>
      <w:r>
        <w:rPr/>
        <w:t>offer of EC.</w:t>
      </w:r>
      <w:r>
        <w:rPr>
          <w:spacing w:val="-1"/>
        </w:rPr>
        <w:t> </w:t>
      </w:r>
      <w:r>
        <w:rPr/>
        <w:t>At the post- ET1 stage, there was a positive relationship between those receiving a warm-up letter</w:t>
      </w:r>
      <w:r>
        <w:rPr>
          <w:spacing w:val="-18"/>
        </w:rPr>
        <w:t> </w:t>
      </w:r>
      <w:r>
        <w:rPr/>
        <w:t>from</w:t>
      </w:r>
      <w:r>
        <w:rPr>
          <w:spacing w:val="-18"/>
        </w:rPr>
        <w:t> </w:t>
      </w:r>
      <w:r>
        <w:rPr/>
        <w:t>Acas</w:t>
      </w:r>
      <w:r>
        <w:rPr>
          <w:spacing w:val="-17"/>
        </w:rPr>
        <w:t> </w:t>
      </w:r>
      <w:r>
        <w:rPr/>
        <w:t>and</w:t>
      </w:r>
      <w:r>
        <w:rPr>
          <w:spacing w:val="-18"/>
        </w:rPr>
        <w:t> </w:t>
      </w:r>
      <w:r>
        <w:rPr/>
        <w:t>using</w:t>
      </w:r>
      <w:r>
        <w:rPr>
          <w:spacing w:val="-17"/>
        </w:rPr>
        <w:t> </w:t>
      </w:r>
      <w:r>
        <w:rPr/>
        <w:t>conciliation.</w:t>
      </w:r>
      <w:r>
        <w:rPr>
          <w:spacing w:val="-18"/>
        </w:rPr>
        <w:t> </w:t>
      </w:r>
      <w:r>
        <w:rPr/>
        <w:t>In</w:t>
      </w:r>
      <w:r>
        <w:rPr>
          <w:spacing w:val="-18"/>
        </w:rPr>
        <w:t> </w:t>
      </w:r>
      <w:r>
        <w:rPr/>
        <w:t>both</w:t>
      </w:r>
      <w:r>
        <w:rPr>
          <w:spacing w:val="-17"/>
        </w:rPr>
        <w:t> </w:t>
      </w:r>
      <w:r>
        <w:rPr/>
        <w:t>cases,</w:t>
      </w:r>
      <w:r>
        <w:rPr>
          <w:spacing w:val="-18"/>
        </w:rPr>
        <w:t> </w:t>
      </w:r>
      <w:r>
        <w:rPr/>
        <w:t>this</w:t>
      </w:r>
      <w:r>
        <w:rPr>
          <w:spacing w:val="-17"/>
        </w:rPr>
        <w:t> </w:t>
      </w:r>
      <w:r>
        <w:rPr/>
        <w:t>highlights</w:t>
      </w:r>
      <w:r>
        <w:rPr>
          <w:spacing w:val="-18"/>
        </w:rPr>
        <w:t> </w:t>
      </w:r>
      <w:r>
        <w:rPr/>
        <w:t>that</w:t>
      </w:r>
      <w:r>
        <w:rPr>
          <w:spacing w:val="-17"/>
        </w:rPr>
        <w:t> </w:t>
      </w:r>
      <w:r>
        <w:rPr/>
        <w:t>the</w:t>
      </w:r>
      <w:r>
        <w:rPr>
          <w:spacing w:val="-18"/>
        </w:rPr>
        <w:t> </w:t>
      </w:r>
      <w:r>
        <w:rPr/>
        <w:t>quality of Acas contact at the outset of a case can have an effect on the decision to take part in conciliation and therefore the eventual outcome.</w:t>
      </w:r>
    </w:p>
    <w:p>
      <w:pPr>
        <w:pStyle w:val="BodyText"/>
        <w:spacing w:line="259" w:lineRule="auto" w:before="157"/>
        <w:ind w:left="1337" w:right="1473"/>
        <w:jc w:val="both"/>
      </w:pPr>
      <w:r>
        <w:rPr/>
        <w:t>Looking across both phases of the research we can draw two broad conclusions. The first is that </w:t>
      </w:r>
      <w:r>
        <w:rPr>
          <w:b/>
        </w:rPr>
        <w:t>the quality of early contact between Acas and potential service</w:t>
      </w:r>
      <w:r>
        <w:rPr>
          <w:b/>
          <w:spacing w:val="-2"/>
        </w:rPr>
        <w:t> </w:t>
      </w:r>
      <w:r>
        <w:rPr>
          <w:b/>
        </w:rPr>
        <w:t>users</w:t>
      </w:r>
      <w:r>
        <w:rPr>
          <w:b/>
          <w:spacing w:val="-2"/>
        </w:rPr>
        <w:t> </w:t>
      </w:r>
      <w:r>
        <w:rPr>
          <w:b/>
        </w:rPr>
        <w:t>is</w:t>
      </w:r>
      <w:r>
        <w:rPr>
          <w:b/>
          <w:spacing w:val="-4"/>
        </w:rPr>
        <w:t> </w:t>
      </w:r>
      <w:r>
        <w:rPr>
          <w:b/>
        </w:rPr>
        <w:t>vital</w:t>
      </w:r>
      <w:r>
        <w:rPr>
          <w:b/>
          <w:spacing w:val="-4"/>
        </w:rPr>
        <w:t> </w:t>
      </w:r>
      <w:r>
        <w:rPr>
          <w:b/>
        </w:rPr>
        <w:t>in</w:t>
      </w:r>
      <w:r>
        <w:rPr>
          <w:b/>
          <w:spacing w:val="-2"/>
        </w:rPr>
        <w:t> </w:t>
      </w:r>
      <w:r>
        <w:rPr>
          <w:b/>
        </w:rPr>
        <w:t>helping</w:t>
      </w:r>
      <w:r>
        <w:rPr>
          <w:b/>
          <w:spacing w:val="-3"/>
        </w:rPr>
        <w:t> </w:t>
      </w:r>
      <w:r>
        <w:rPr>
          <w:b/>
        </w:rPr>
        <w:t>to</w:t>
      </w:r>
      <w:r>
        <w:rPr>
          <w:b/>
          <w:spacing w:val="-3"/>
        </w:rPr>
        <w:t> </w:t>
      </w:r>
      <w:r>
        <w:rPr>
          <w:b/>
        </w:rPr>
        <w:t>drive</w:t>
      </w:r>
      <w:r>
        <w:rPr>
          <w:b/>
          <w:spacing w:val="-4"/>
        </w:rPr>
        <w:t> </w:t>
      </w:r>
      <w:r>
        <w:rPr>
          <w:b/>
        </w:rPr>
        <w:t>uptake</w:t>
      </w:r>
      <w:r>
        <w:rPr>
          <w:b/>
          <w:spacing w:val="-4"/>
        </w:rPr>
        <w:t> </w:t>
      </w:r>
      <w:r>
        <w:rPr>
          <w:b/>
        </w:rPr>
        <w:t>of</w:t>
      </w:r>
      <w:r>
        <w:rPr>
          <w:b/>
          <w:spacing w:val="-3"/>
        </w:rPr>
        <w:t> </w:t>
      </w:r>
      <w:r>
        <w:rPr>
          <w:b/>
        </w:rPr>
        <w:t>the</w:t>
      </w:r>
      <w:r>
        <w:rPr>
          <w:b/>
          <w:spacing w:val="-2"/>
        </w:rPr>
        <w:t> </w:t>
      </w:r>
      <w:r>
        <w:rPr>
          <w:b/>
        </w:rPr>
        <w:t>service</w:t>
      </w:r>
      <w:r>
        <w:rPr>
          <w:b/>
          <w:spacing w:val="-3"/>
        </w:rPr>
        <w:t> </w:t>
      </w:r>
      <w:r>
        <w:rPr/>
        <w:t>and</w:t>
      </w:r>
      <w:r>
        <w:rPr>
          <w:spacing w:val="-2"/>
        </w:rPr>
        <w:t> </w:t>
      </w:r>
      <w:r>
        <w:rPr/>
        <w:t>in</w:t>
      </w:r>
      <w:r>
        <w:rPr>
          <w:spacing w:val="-3"/>
        </w:rPr>
        <w:t> </w:t>
      </w:r>
      <w:r>
        <w:rPr/>
        <w:t>forging strong relationships between the conciliator and user that can lead to a positive service experience. The second is that there is no ‘one size fits all’ when it comes to service delivery. The user base is diverse and different levels and methods of communication are preferred within it – for instance, as in EC email is growing in importance</w:t>
      </w:r>
      <w:r>
        <w:rPr>
          <w:spacing w:val="-7"/>
        </w:rPr>
        <w:t> </w:t>
      </w:r>
      <w:r>
        <w:rPr/>
        <w:t>as</w:t>
      </w:r>
      <w:r>
        <w:rPr>
          <w:spacing w:val="-5"/>
        </w:rPr>
        <w:t> </w:t>
      </w:r>
      <w:r>
        <w:rPr/>
        <w:t>a</w:t>
      </w:r>
      <w:r>
        <w:rPr>
          <w:spacing w:val="-7"/>
        </w:rPr>
        <w:t> </w:t>
      </w:r>
      <w:r>
        <w:rPr/>
        <w:t>communications</w:t>
      </w:r>
      <w:r>
        <w:rPr>
          <w:spacing w:val="-5"/>
        </w:rPr>
        <w:t> </w:t>
      </w:r>
      <w:r>
        <w:rPr/>
        <w:t>channel,</w:t>
      </w:r>
      <w:r>
        <w:rPr>
          <w:spacing w:val="-6"/>
        </w:rPr>
        <w:t> </w:t>
      </w:r>
      <w:r>
        <w:rPr/>
        <w:t>but</w:t>
      </w:r>
      <w:r>
        <w:rPr>
          <w:spacing w:val="-6"/>
        </w:rPr>
        <w:t> </w:t>
      </w:r>
      <w:r>
        <w:rPr/>
        <w:t>representatives</w:t>
      </w:r>
      <w:r>
        <w:rPr>
          <w:spacing w:val="-6"/>
        </w:rPr>
        <w:t> </w:t>
      </w:r>
      <w:r>
        <w:rPr/>
        <w:t>more</w:t>
      </w:r>
      <w:r>
        <w:rPr>
          <w:spacing w:val="-6"/>
        </w:rPr>
        <w:t> </w:t>
      </w:r>
      <w:r>
        <w:rPr/>
        <w:t>likely</w:t>
      </w:r>
      <w:r>
        <w:rPr>
          <w:spacing w:val="-5"/>
        </w:rPr>
        <w:t> </w:t>
      </w:r>
      <w:r>
        <w:rPr/>
        <w:t>to</w:t>
      </w:r>
      <w:r>
        <w:rPr>
          <w:spacing w:val="-7"/>
        </w:rPr>
        <w:t> </w:t>
      </w:r>
      <w:r>
        <w:rPr/>
        <w:t>use</w:t>
      </w:r>
      <w:r>
        <w:rPr>
          <w:spacing w:val="-6"/>
        </w:rPr>
        <w:t> </w:t>
      </w:r>
      <w:r>
        <w:rPr/>
        <w:t>it than others.</w:t>
      </w:r>
    </w:p>
    <w:p>
      <w:pPr>
        <w:pStyle w:val="BodyText"/>
        <w:spacing w:line="259" w:lineRule="auto" w:before="158"/>
        <w:ind w:left="1337" w:right="1473"/>
        <w:jc w:val="both"/>
      </w:pPr>
      <w:r>
        <w:rPr/>
        <w:t>This</w:t>
      </w:r>
      <w:r>
        <w:rPr>
          <w:spacing w:val="-9"/>
        </w:rPr>
        <w:t> </w:t>
      </w:r>
      <w:r>
        <w:rPr/>
        <w:t>highlights</w:t>
      </w:r>
      <w:r>
        <w:rPr>
          <w:spacing w:val="-10"/>
        </w:rPr>
        <w:t> </w:t>
      </w:r>
      <w:r>
        <w:rPr/>
        <w:t>the</w:t>
      </w:r>
      <w:r>
        <w:rPr>
          <w:spacing w:val="-10"/>
        </w:rPr>
        <w:t> </w:t>
      </w:r>
      <w:r>
        <w:rPr/>
        <w:t>importance</w:t>
      </w:r>
      <w:r>
        <w:rPr>
          <w:spacing w:val="-10"/>
        </w:rPr>
        <w:t> </w:t>
      </w:r>
      <w:r>
        <w:rPr/>
        <w:t>of</w:t>
      </w:r>
      <w:r>
        <w:rPr>
          <w:spacing w:val="-10"/>
        </w:rPr>
        <w:t> </w:t>
      </w:r>
      <w:r>
        <w:rPr/>
        <w:t>offering</w:t>
      </w:r>
      <w:r>
        <w:rPr>
          <w:spacing w:val="-9"/>
        </w:rPr>
        <w:t> </w:t>
      </w:r>
      <w:r>
        <w:rPr/>
        <w:t>a</w:t>
      </w:r>
      <w:r>
        <w:rPr>
          <w:spacing w:val="-11"/>
        </w:rPr>
        <w:t> </w:t>
      </w:r>
      <w:r>
        <w:rPr/>
        <w:t>personalised</w:t>
      </w:r>
      <w:r>
        <w:rPr>
          <w:spacing w:val="-9"/>
        </w:rPr>
        <w:t> </w:t>
      </w:r>
      <w:r>
        <w:rPr/>
        <w:t>service</w:t>
      </w:r>
      <w:r>
        <w:rPr>
          <w:spacing w:val="-10"/>
        </w:rPr>
        <w:t> </w:t>
      </w:r>
      <w:r>
        <w:rPr/>
        <w:t>where</w:t>
      </w:r>
      <w:r>
        <w:rPr>
          <w:spacing w:val="-10"/>
        </w:rPr>
        <w:t> </w:t>
      </w:r>
      <w:r>
        <w:rPr/>
        <w:t>possible,</w:t>
      </w:r>
      <w:r>
        <w:rPr>
          <w:spacing w:val="-9"/>
        </w:rPr>
        <w:t> </w:t>
      </w:r>
      <w:r>
        <w:rPr/>
        <w:t>as well as setting clear expectations at an early stage around how the participant- conciliator relationship will work, especially in terms of frequency and method of contact.</w:t>
      </w:r>
      <w:r>
        <w:rPr>
          <w:spacing w:val="-2"/>
        </w:rPr>
        <w:t> </w:t>
      </w:r>
      <w:r>
        <w:rPr/>
        <w:t>The</w:t>
      </w:r>
      <w:r>
        <w:rPr>
          <w:spacing w:val="-2"/>
        </w:rPr>
        <w:t> </w:t>
      </w:r>
      <w:r>
        <w:rPr/>
        <w:t>data</w:t>
      </w:r>
      <w:r>
        <w:rPr>
          <w:spacing w:val="-2"/>
        </w:rPr>
        <w:t> </w:t>
      </w:r>
      <w:r>
        <w:rPr/>
        <w:t>also</w:t>
      </w:r>
      <w:r>
        <w:rPr>
          <w:spacing w:val="-2"/>
        </w:rPr>
        <w:t> </w:t>
      </w:r>
      <w:r>
        <w:rPr/>
        <w:t>suggests</w:t>
      </w:r>
      <w:r>
        <w:rPr>
          <w:spacing w:val="-3"/>
        </w:rPr>
        <w:t> </w:t>
      </w:r>
      <w:r>
        <w:rPr/>
        <w:t>that</w:t>
      </w:r>
      <w:r>
        <w:rPr>
          <w:spacing w:val="-2"/>
        </w:rPr>
        <w:t> </w:t>
      </w:r>
      <w:r>
        <w:rPr/>
        <w:t>using</w:t>
      </w:r>
      <w:r>
        <w:rPr>
          <w:spacing w:val="-3"/>
        </w:rPr>
        <w:t> </w:t>
      </w:r>
      <w:r>
        <w:rPr/>
        <w:t>one</w:t>
      </w:r>
      <w:r>
        <w:rPr>
          <w:spacing w:val="-2"/>
        </w:rPr>
        <w:t> </w:t>
      </w:r>
      <w:r>
        <w:rPr/>
        <w:t>conciliator,</w:t>
      </w:r>
      <w:r>
        <w:rPr>
          <w:spacing w:val="-1"/>
        </w:rPr>
        <w:t> </w:t>
      </w:r>
      <w:r>
        <w:rPr/>
        <w:t>within</w:t>
      </w:r>
      <w:r>
        <w:rPr>
          <w:spacing w:val="-3"/>
        </w:rPr>
        <w:t> </w:t>
      </w:r>
      <w:r>
        <w:rPr/>
        <w:t>EC</w:t>
      </w:r>
      <w:r>
        <w:rPr>
          <w:spacing w:val="-3"/>
        </w:rPr>
        <w:t> </w:t>
      </w:r>
      <w:r>
        <w:rPr/>
        <w:t>and</w:t>
      </w:r>
      <w:r>
        <w:rPr>
          <w:spacing w:val="-2"/>
        </w:rPr>
        <w:t> </w:t>
      </w:r>
      <w:r>
        <w:rPr/>
        <w:t>post-ET1 conciliation</w:t>
      </w:r>
      <w:r>
        <w:rPr>
          <w:spacing w:val="-5"/>
        </w:rPr>
        <w:t> </w:t>
      </w:r>
      <w:r>
        <w:rPr/>
        <w:t>and</w:t>
      </w:r>
      <w:r>
        <w:rPr>
          <w:spacing w:val="-7"/>
        </w:rPr>
        <w:t> </w:t>
      </w:r>
      <w:r>
        <w:rPr/>
        <w:t>across</w:t>
      </w:r>
      <w:r>
        <w:rPr>
          <w:spacing w:val="-8"/>
        </w:rPr>
        <w:t> </w:t>
      </w:r>
      <w:r>
        <w:rPr/>
        <w:t>both</w:t>
      </w:r>
      <w:r>
        <w:rPr>
          <w:spacing w:val="-6"/>
        </w:rPr>
        <w:t> </w:t>
      </w:r>
      <w:r>
        <w:rPr/>
        <w:t>phases,</w:t>
      </w:r>
      <w:r>
        <w:rPr>
          <w:spacing w:val="-7"/>
        </w:rPr>
        <w:t> </w:t>
      </w:r>
      <w:r>
        <w:rPr/>
        <w:t>leads</w:t>
      </w:r>
      <w:r>
        <w:rPr>
          <w:spacing w:val="-7"/>
        </w:rPr>
        <w:t> </w:t>
      </w:r>
      <w:r>
        <w:rPr/>
        <w:t>to</w:t>
      </w:r>
      <w:r>
        <w:rPr>
          <w:spacing w:val="-7"/>
        </w:rPr>
        <w:t> </w:t>
      </w:r>
      <w:r>
        <w:rPr/>
        <w:t>a</w:t>
      </w:r>
      <w:r>
        <w:rPr>
          <w:spacing w:val="-7"/>
        </w:rPr>
        <w:t> </w:t>
      </w:r>
      <w:r>
        <w:rPr/>
        <w:t>better</w:t>
      </w:r>
      <w:r>
        <w:rPr>
          <w:spacing w:val="-7"/>
        </w:rPr>
        <w:t> </w:t>
      </w:r>
      <w:r>
        <w:rPr/>
        <w:t>user</w:t>
      </w:r>
      <w:r>
        <w:rPr>
          <w:spacing w:val="-7"/>
        </w:rPr>
        <w:t> </w:t>
      </w:r>
      <w:r>
        <w:rPr/>
        <w:t>experience</w:t>
      </w:r>
      <w:r>
        <w:rPr>
          <w:spacing w:val="-7"/>
        </w:rPr>
        <w:t> </w:t>
      </w:r>
      <w:r>
        <w:rPr/>
        <w:t>–</w:t>
      </w:r>
      <w:r>
        <w:rPr>
          <w:spacing w:val="-7"/>
        </w:rPr>
        <w:t> </w:t>
      </w:r>
      <w:r>
        <w:rPr/>
        <w:t>the</w:t>
      </w:r>
      <w:r>
        <w:rPr>
          <w:spacing w:val="-7"/>
        </w:rPr>
        <w:t> </w:t>
      </w:r>
      <w:r>
        <w:rPr/>
        <w:t>insight from this is that the rapport and relationship building is key, a factor which could be usefully employed in single and multiple-conciliator service models</w:t>
      </w:r>
    </w:p>
    <w:p>
      <w:pPr>
        <w:spacing w:line="259" w:lineRule="auto" w:before="158"/>
        <w:ind w:left="1337" w:right="1474" w:firstLine="0"/>
        <w:jc w:val="both"/>
        <w:rPr>
          <w:sz w:val="20"/>
        </w:rPr>
      </w:pPr>
      <w:r>
        <w:rPr>
          <w:b/>
          <w:sz w:val="20"/>
        </w:rPr>
        <w:t>In conclusion, these results offer a strongly positive picture of the Acas individual conciliation service user experience</w:t>
      </w:r>
      <w:r>
        <w:rPr>
          <w:sz w:val="20"/>
        </w:rPr>
        <w:t>. Satisfaction levels are high, the frequency, nature and quality of contact are well-received and Acas can demonstrate</w:t>
      </w:r>
      <w:r>
        <w:rPr>
          <w:spacing w:val="-6"/>
          <w:sz w:val="20"/>
        </w:rPr>
        <w:t> </w:t>
      </w:r>
      <w:r>
        <w:rPr>
          <w:sz w:val="20"/>
        </w:rPr>
        <w:t>a</w:t>
      </w:r>
      <w:r>
        <w:rPr>
          <w:spacing w:val="-6"/>
          <w:sz w:val="20"/>
        </w:rPr>
        <w:t> </w:t>
      </w:r>
      <w:r>
        <w:rPr>
          <w:sz w:val="20"/>
        </w:rPr>
        <w:t>clear</w:t>
      </w:r>
      <w:r>
        <w:rPr>
          <w:spacing w:val="-5"/>
          <w:sz w:val="20"/>
        </w:rPr>
        <w:t> </w:t>
      </w:r>
      <w:r>
        <w:rPr>
          <w:sz w:val="20"/>
        </w:rPr>
        <w:t>role</w:t>
      </w:r>
      <w:r>
        <w:rPr>
          <w:spacing w:val="-6"/>
          <w:sz w:val="20"/>
        </w:rPr>
        <w:t> </w:t>
      </w:r>
      <w:r>
        <w:rPr>
          <w:sz w:val="20"/>
        </w:rPr>
        <w:t>in</w:t>
      </w:r>
      <w:r>
        <w:rPr>
          <w:spacing w:val="-5"/>
          <w:sz w:val="20"/>
        </w:rPr>
        <w:t> </w:t>
      </w:r>
      <w:r>
        <w:rPr>
          <w:sz w:val="20"/>
        </w:rPr>
        <w:t>helping</w:t>
      </w:r>
      <w:r>
        <w:rPr>
          <w:spacing w:val="-6"/>
          <w:sz w:val="20"/>
        </w:rPr>
        <w:t> </w:t>
      </w:r>
      <w:r>
        <w:rPr>
          <w:sz w:val="20"/>
        </w:rPr>
        <w:t>to</w:t>
      </w:r>
      <w:r>
        <w:rPr>
          <w:spacing w:val="-6"/>
          <w:sz w:val="20"/>
        </w:rPr>
        <w:t> </w:t>
      </w:r>
      <w:r>
        <w:rPr>
          <w:sz w:val="20"/>
        </w:rPr>
        <w:t>drive</w:t>
      </w:r>
      <w:r>
        <w:rPr>
          <w:spacing w:val="-6"/>
          <w:sz w:val="20"/>
        </w:rPr>
        <w:t> </w:t>
      </w:r>
      <w:r>
        <w:rPr>
          <w:sz w:val="20"/>
        </w:rPr>
        <w:t>positive</w:t>
      </w:r>
      <w:r>
        <w:rPr>
          <w:spacing w:val="-6"/>
          <w:sz w:val="20"/>
        </w:rPr>
        <w:t> </w:t>
      </w:r>
      <w:r>
        <w:rPr>
          <w:sz w:val="20"/>
        </w:rPr>
        <w:t>case</w:t>
      </w:r>
      <w:r>
        <w:rPr>
          <w:spacing w:val="-5"/>
          <w:sz w:val="20"/>
        </w:rPr>
        <w:t> </w:t>
      </w:r>
      <w:r>
        <w:rPr>
          <w:sz w:val="20"/>
        </w:rPr>
        <w:t>outcomes.</w:t>
      </w:r>
      <w:r>
        <w:rPr>
          <w:spacing w:val="-6"/>
          <w:sz w:val="20"/>
        </w:rPr>
        <w:t> </w:t>
      </w:r>
      <w:r>
        <w:rPr>
          <w:sz w:val="20"/>
        </w:rPr>
        <w:t>There</w:t>
      </w:r>
      <w:r>
        <w:rPr>
          <w:spacing w:val="-6"/>
          <w:sz w:val="20"/>
        </w:rPr>
        <w:t> </w:t>
      </w:r>
      <w:r>
        <w:rPr>
          <w:sz w:val="20"/>
        </w:rPr>
        <w:t>are</w:t>
      </w:r>
      <w:r>
        <w:rPr>
          <w:spacing w:val="-6"/>
          <w:sz w:val="20"/>
        </w:rPr>
        <w:t> </w:t>
      </w:r>
      <w:r>
        <w:rPr>
          <w:sz w:val="20"/>
        </w:rPr>
        <w:t>also signs</w:t>
      </w:r>
      <w:r>
        <w:rPr>
          <w:spacing w:val="-2"/>
          <w:sz w:val="20"/>
        </w:rPr>
        <w:t> </w:t>
      </w:r>
      <w:r>
        <w:rPr>
          <w:sz w:val="20"/>
        </w:rPr>
        <w:t>in</w:t>
      </w:r>
      <w:r>
        <w:rPr>
          <w:spacing w:val="1"/>
          <w:sz w:val="20"/>
        </w:rPr>
        <w:t> </w:t>
      </w:r>
      <w:r>
        <w:rPr>
          <w:sz w:val="20"/>
        </w:rPr>
        <w:t>this</w:t>
      </w:r>
      <w:r>
        <w:rPr>
          <w:spacing w:val="1"/>
          <w:sz w:val="20"/>
        </w:rPr>
        <w:t> </w:t>
      </w:r>
      <w:r>
        <w:rPr>
          <w:sz w:val="20"/>
        </w:rPr>
        <w:t>report</w:t>
      </w:r>
      <w:r>
        <w:rPr>
          <w:spacing w:val="1"/>
          <w:sz w:val="20"/>
        </w:rPr>
        <w:t> </w:t>
      </w:r>
      <w:r>
        <w:rPr>
          <w:sz w:val="20"/>
        </w:rPr>
        <w:t>that some employers</w:t>
      </w:r>
      <w:r>
        <w:rPr>
          <w:spacing w:val="1"/>
          <w:sz w:val="20"/>
        </w:rPr>
        <w:t> </w:t>
      </w:r>
      <w:r>
        <w:rPr>
          <w:sz w:val="20"/>
        </w:rPr>
        <w:t>are changing</w:t>
      </w:r>
      <w:r>
        <w:rPr>
          <w:spacing w:val="1"/>
          <w:sz w:val="20"/>
        </w:rPr>
        <w:t> </w:t>
      </w:r>
      <w:r>
        <w:rPr>
          <w:sz w:val="20"/>
        </w:rPr>
        <w:t>their working</w:t>
      </w:r>
      <w:r>
        <w:rPr>
          <w:spacing w:val="1"/>
          <w:sz w:val="20"/>
        </w:rPr>
        <w:t> </w:t>
      </w:r>
      <w:r>
        <w:rPr>
          <w:sz w:val="20"/>
        </w:rPr>
        <w:t>practices</w:t>
      </w:r>
      <w:r>
        <w:rPr>
          <w:spacing w:val="1"/>
          <w:sz w:val="20"/>
        </w:rPr>
        <w:t> </w:t>
      </w:r>
      <w:r>
        <w:rPr>
          <w:spacing w:val="-5"/>
          <w:sz w:val="20"/>
        </w:rPr>
        <w:t>and</w:t>
      </w:r>
    </w:p>
    <w:p>
      <w:pPr>
        <w:spacing w:after="0" w:line="259" w:lineRule="auto"/>
        <w:jc w:val="both"/>
        <w:rPr>
          <w:sz w:val="20"/>
        </w:rPr>
        <w:sectPr>
          <w:pgSz w:w="11910" w:h="16840"/>
          <w:pgMar w:header="0" w:footer="996" w:top="1340" w:bottom="1180" w:left="460" w:right="320"/>
        </w:sectPr>
      </w:pPr>
    </w:p>
    <w:p>
      <w:pPr>
        <w:pStyle w:val="BodyText"/>
        <w:spacing w:line="259" w:lineRule="auto" w:before="82"/>
        <w:ind w:left="1337" w:right="1472"/>
        <w:jc w:val="both"/>
      </w:pPr>
      <w:r>
        <w:rPr/>
        <w:t>procedures as a result of involvement with Acas, pointing to further and lasting impacts from conciliation – although this is the case only for a minority, meaning there</w:t>
      </w:r>
      <w:r>
        <w:rPr>
          <w:spacing w:val="-4"/>
        </w:rPr>
        <w:t> </w:t>
      </w:r>
      <w:r>
        <w:rPr/>
        <w:t>is</w:t>
      </w:r>
      <w:r>
        <w:rPr>
          <w:spacing w:val="-4"/>
        </w:rPr>
        <w:t> </w:t>
      </w:r>
      <w:r>
        <w:rPr/>
        <w:t>scope</w:t>
      </w:r>
      <w:r>
        <w:rPr>
          <w:spacing w:val="-4"/>
        </w:rPr>
        <w:t> </w:t>
      </w:r>
      <w:r>
        <w:rPr/>
        <w:t>to</w:t>
      </w:r>
      <w:r>
        <w:rPr>
          <w:spacing w:val="-4"/>
        </w:rPr>
        <w:t> </w:t>
      </w:r>
      <w:r>
        <w:rPr/>
        <w:t>do</w:t>
      </w:r>
      <w:r>
        <w:rPr>
          <w:spacing w:val="-5"/>
        </w:rPr>
        <w:t> </w:t>
      </w:r>
      <w:r>
        <w:rPr/>
        <w:t>more</w:t>
      </w:r>
      <w:r>
        <w:rPr>
          <w:spacing w:val="-4"/>
        </w:rPr>
        <w:t> </w:t>
      </w:r>
      <w:r>
        <w:rPr/>
        <w:t>in</w:t>
      </w:r>
      <w:r>
        <w:rPr>
          <w:spacing w:val="-4"/>
        </w:rPr>
        <w:t> </w:t>
      </w:r>
      <w:r>
        <w:rPr/>
        <w:t>this</w:t>
      </w:r>
      <w:r>
        <w:rPr>
          <w:spacing w:val="-4"/>
        </w:rPr>
        <w:t> </w:t>
      </w:r>
      <w:r>
        <w:rPr/>
        <w:t>area.</w:t>
      </w:r>
      <w:r>
        <w:rPr>
          <w:spacing w:val="-4"/>
        </w:rPr>
        <w:t> </w:t>
      </w:r>
      <w:r>
        <w:rPr/>
        <w:t>High</w:t>
      </w:r>
      <w:r>
        <w:rPr>
          <w:spacing w:val="-4"/>
        </w:rPr>
        <w:t> </w:t>
      </w:r>
      <w:r>
        <w:rPr/>
        <w:t>levels</w:t>
      </w:r>
      <w:r>
        <w:rPr>
          <w:spacing w:val="-4"/>
        </w:rPr>
        <w:t> </w:t>
      </w:r>
      <w:r>
        <w:rPr/>
        <w:t>of</w:t>
      </w:r>
      <w:r>
        <w:rPr>
          <w:spacing w:val="-4"/>
        </w:rPr>
        <w:t> </w:t>
      </w:r>
      <w:r>
        <w:rPr/>
        <w:t>satisfaction</w:t>
      </w:r>
      <w:r>
        <w:rPr>
          <w:spacing w:val="-4"/>
        </w:rPr>
        <w:t> </w:t>
      </w:r>
      <w:r>
        <w:rPr/>
        <w:t>require</w:t>
      </w:r>
      <w:r>
        <w:rPr>
          <w:spacing w:val="-4"/>
        </w:rPr>
        <w:t> </w:t>
      </w:r>
      <w:r>
        <w:rPr/>
        <w:t>continued effort</w:t>
      </w:r>
      <w:r>
        <w:rPr>
          <w:spacing w:val="-14"/>
        </w:rPr>
        <w:t> </w:t>
      </w:r>
      <w:r>
        <w:rPr/>
        <w:t>to</w:t>
      </w:r>
      <w:r>
        <w:rPr>
          <w:spacing w:val="-14"/>
        </w:rPr>
        <w:t> </w:t>
      </w:r>
      <w:r>
        <w:rPr/>
        <w:t>be</w:t>
      </w:r>
      <w:r>
        <w:rPr>
          <w:spacing w:val="-16"/>
        </w:rPr>
        <w:t> </w:t>
      </w:r>
      <w:r>
        <w:rPr/>
        <w:t>maintained,</w:t>
      </w:r>
      <w:r>
        <w:rPr>
          <w:spacing w:val="-14"/>
        </w:rPr>
        <w:t> </w:t>
      </w:r>
      <w:r>
        <w:rPr/>
        <w:t>and</w:t>
      </w:r>
      <w:r>
        <w:rPr>
          <w:spacing w:val="-14"/>
        </w:rPr>
        <w:t> </w:t>
      </w:r>
      <w:r>
        <w:rPr/>
        <w:t>the</w:t>
      </w:r>
      <w:r>
        <w:rPr>
          <w:spacing w:val="-15"/>
        </w:rPr>
        <w:t> </w:t>
      </w:r>
      <w:r>
        <w:rPr/>
        <w:t>surveys</w:t>
      </w:r>
      <w:r>
        <w:rPr>
          <w:spacing w:val="-14"/>
        </w:rPr>
        <w:t> </w:t>
      </w:r>
      <w:r>
        <w:rPr/>
        <w:t>outline</w:t>
      </w:r>
      <w:r>
        <w:rPr>
          <w:spacing w:val="-15"/>
        </w:rPr>
        <w:t> </w:t>
      </w:r>
      <w:r>
        <w:rPr/>
        <w:t>key</w:t>
      </w:r>
      <w:r>
        <w:rPr>
          <w:spacing w:val="-14"/>
        </w:rPr>
        <w:t> </w:t>
      </w:r>
      <w:r>
        <w:rPr/>
        <w:t>areas</w:t>
      </w:r>
      <w:r>
        <w:rPr>
          <w:spacing w:val="-14"/>
        </w:rPr>
        <w:t> </w:t>
      </w:r>
      <w:r>
        <w:rPr/>
        <w:t>for</w:t>
      </w:r>
      <w:r>
        <w:rPr>
          <w:spacing w:val="-14"/>
        </w:rPr>
        <w:t> </w:t>
      </w:r>
      <w:r>
        <w:rPr/>
        <w:t>consideration</w:t>
      </w:r>
      <w:r>
        <w:rPr>
          <w:spacing w:val="-14"/>
        </w:rPr>
        <w:t> </w:t>
      </w:r>
      <w:r>
        <w:rPr/>
        <w:t>as</w:t>
      </w:r>
      <w:r>
        <w:rPr>
          <w:spacing w:val="-14"/>
        </w:rPr>
        <w:t> </w:t>
      </w:r>
      <w:r>
        <w:rPr/>
        <w:t>Acas looks to continue – and build on – their continued positive results.</w:t>
      </w:r>
    </w:p>
    <w:p>
      <w:pPr>
        <w:spacing w:after="0" w:line="259" w:lineRule="auto"/>
        <w:jc w:val="both"/>
        <w:sectPr>
          <w:pgSz w:w="11910" w:h="16840"/>
          <w:pgMar w:header="0" w:footer="996" w:top="1340" w:bottom="1180" w:left="460" w:right="320"/>
        </w:sectPr>
      </w:pPr>
    </w:p>
    <w:p>
      <w:pPr>
        <w:pStyle w:val="Heading2"/>
        <w:numPr>
          <w:ilvl w:val="0"/>
          <w:numId w:val="2"/>
        </w:numPr>
        <w:tabs>
          <w:tab w:pos="2058" w:val="left" w:leader="none"/>
        </w:tabs>
        <w:spacing w:line="240" w:lineRule="auto" w:before="81" w:after="0"/>
        <w:ind w:left="2057" w:right="0" w:hanging="721"/>
        <w:jc w:val="left"/>
      </w:pPr>
      <w:bookmarkStart w:name="20. ENDNOTES" w:id="245"/>
      <w:bookmarkEnd w:id="245"/>
      <w:r>
        <w:rPr>
          <w:b w:val="0"/>
        </w:rPr>
      </w:r>
      <w:bookmarkStart w:name="_bookmark67" w:id="246"/>
      <w:bookmarkEnd w:id="246"/>
      <w:r>
        <w:rPr>
          <w:spacing w:val="-2"/>
        </w:rPr>
        <w:t>E</w:t>
      </w:r>
      <w:r>
        <w:rPr>
          <w:spacing w:val="-2"/>
        </w:rPr>
        <w:t>NDNOTES</w:t>
      </w:r>
    </w:p>
    <w:p>
      <w:pPr>
        <w:pStyle w:val="BodyText"/>
        <w:spacing w:before="9"/>
        <w:rPr>
          <w:b/>
          <w:sz w:val="10"/>
        </w:rPr>
      </w:pPr>
      <w:r>
        <w:rPr/>
        <w:pict>
          <v:rect style="position:absolute;margin-left:89.879997pt;margin-top:7.735352pt;width:144pt;height:.72pt;mso-position-horizontal-relative:page;mso-position-vertical-relative:paragraph;z-index:-15655936;mso-wrap-distance-left:0;mso-wrap-distance-right:0" id="docshape415" filled="true" fillcolor="#000000" stroked="false">
            <v:fill type="solid"/>
            <w10:wrap type="topAndBottom"/>
          </v:rect>
        </w:pict>
      </w:r>
    </w:p>
    <w:p>
      <w:pPr>
        <w:spacing w:line="249" w:lineRule="auto" w:before="95"/>
        <w:ind w:left="1337" w:right="1513" w:firstLine="0"/>
        <w:jc w:val="left"/>
        <w:rPr>
          <w:sz w:val="16"/>
        </w:rPr>
      </w:pPr>
      <w:r>
        <w:rPr>
          <w:rFonts w:ascii="Calibri"/>
          <w:position w:val="7"/>
          <w:sz w:val="13"/>
        </w:rPr>
        <w:t>1</w:t>
      </w:r>
      <w:r>
        <w:rPr>
          <w:rFonts w:ascii="Calibri"/>
          <w:spacing w:val="21"/>
          <w:position w:val="7"/>
          <w:sz w:val="13"/>
        </w:rPr>
        <w:t> </w:t>
      </w:r>
      <w:r>
        <w:rPr>
          <w:sz w:val="16"/>
        </w:rPr>
        <w:t>It is important to note that participants may not recall correctly if they took part in post-ET1 conciliation. There are examples in the survey data of participants who reported not taking part in post-ET1</w:t>
      </w:r>
      <w:r>
        <w:rPr>
          <w:spacing w:val="-3"/>
          <w:sz w:val="16"/>
        </w:rPr>
        <w:t> </w:t>
      </w:r>
      <w:r>
        <w:rPr>
          <w:sz w:val="16"/>
        </w:rPr>
        <w:t>but</w:t>
      </w:r>
      <w:r>
        <w:rPr>
          <w:spacing w:val="-4"/>
          <w:sz w:val="16"/>
        </w:rPr>
        <w:t> </w:t>
      </w:r>
      <w:r>
        <w:rPr>
          <w:sz w:val="16"/>
        </w:rPr>
        <w:t>nevertheless</w:t>
      </w:r>
      <w:r>
        <w:rPr>
          <w:spacing w:val="-4"/>
          <w:sz w:val="16"/>
        </w:rPr>
        <w:t> </w:t>
      </w:r>
      <w:r>
        <w:rPr>
          <w:sz w:val="16"/>
        </w:rPr>
        <w:t>reported</w:t>
      </w:r>
      <w:r>
        <w:rPr>
          <w:spacing w:val="-3"/>
          <w:sz w:val="16"/>
        </w:rPr>
        <w:t> </w:t>
      </w:r>
      <w:r>
        <w:rPr>
          <w:sz w:val="16"/>
        </w:rPr>
        <w:t>reaching</w:t>
      </w:r>
      <w:r>
        <w:rPr>
          <w:spacing w:val="-3"/>
          <w:sz w:val="16"/>
        </w:rPr>
        <w:t> </w:t>
      </w:r>
      <w:r>
        <w:rPr>
          <w:sz w:val="16"/>
        </w:rPr>
        <w:t>a</w:t>
      </w:r>
      <w:r>
        <w:rPr>
          <w:spacing w:val="-3"/>
          <w:sz w:val="16"/>
        </w:rPr>
        <w:t> </w:t>
      </w:r>
      <w:r>
        <w:rPr>
          <w:sz w:val="16"/>
        </w:rPr>
        <w:t>settlement.</w:t>
      </w:r>
      <w:r>
        <w:rPr>
          <w:spacing w:val="-3"/>
          <w:sz w:val="16"/>
        </w:rPr>
        <w:t> </w:t>
      </w:r>
      <w:r>
        <w:rPr>
          <w:sz w:val="16"/>
        </w:rPr>
        <w:t>This</w:t>
      </w:r>
      <w:r>
        <w:rPr>
          <w:spacing w:val="-2"/>
          <w:sz w:val="16"/>
        </w:rPr>
        <w:t> </w:t>
      </w:r>
      <w:r>
        <w:rPr>
          <w:sz w:val="16"/>
        </w:rPr>
        <w:t>may</w:t>
      </w:r>
      <w:r>
        <w:rPr>
          <w:spacing w:val="-3"/>
          <w:sz w:val="16"/>
        </w:rPr>
        <w:t> </w:t>
      </w:r>
      <w:r>
        <w:rPr>
          <w:sz w:val="16"/>
        </w:rPr>
        <w:t>suggest</w:t>
      </w:r>
      <w:r>
        <w:rPr>
          <w:spacing w:val="-3"/>
          <w:sz w:val="16"/>
        </w:rPr>
        <w:t> </w:t>
      </w:r>
      <w:r>
        <w:rPr>
          <w:sz w:val="16"/>
        </w:rPr>
        <w:t>that</w:t>
      </w:r>
      <w:r>
        <w:rPr>
          <w:spacing w:val="-4"/>
          <w:sz w:val="16"/>
        </w:rPr>
        <w:t> </w:t>
      </w:r>
      <w:r>
        <w:rPr>
          <w:sz w:val="16"/>
        </w:rPr>
        <w:t>the</w:t>
      </w:r>
      <w:r>
        <w:rPr>
          <w:spacing w:val="-4"/>
          <w:sz w:val="16"/>
        </w:rPr>
        <w:t> </w:t>
      </w:r>
      <w:r>
        <w:rPr>
          <w:sz w:val="16"/>
        </w:rPr>
        <w:t>reported</w:t>
      </w:r>
      <w:r>
        <w:rPr>
          <w:spacing w:val="-3"/>
          <w:sz w:val="16"/>
        </w:rPr>
        <w:t> </w:t>
      </w:r>
      <w:r>
        <w:rPr>
          <w:sz w:val="16"/>
        </w:rPr>
        <w:t>level</w:t>
      </w:r>
      <w:r>
        <w:rPr>
          <w:spacing w:val="-4"/>
          <w:sz w:val="16"/>
        </w:rPr>
        <w:t> </w:t>
      </w:r>
      <w:r>
        <w:rPr>
          <w:sz w:val="16"/>
        </w:rPr>
        <w:t>of contact and engagement with Acas is an underestimate</w:t>
      </w:r>
    </w:p>
    <w:p>
      <w:pPr>
        <w:spacing w:line="185" w:lineRule="exact" w:before="0"/>
        <w:ind w:left="1337" w:right="0" w:firstLine="0"/>
        <w:jc w:val="left"/>
        <w:rPr>
          <w:sz w:val="16"/>
        </w:rPr>
      </w:pPr>
      <w:r>
        <w:rPr>
          <w:sz w:val="16"/>
          <w:vertAlign w:val="superscript"/>
        </w:rPr>
        <w:t>2</w:t>
      </w:r>
      <w:r>
        <w:rPr>
          <w:spacing w:val="-6"/>
          <w:sz w:val="16"/>
          <w:vertAlign w:val="baseline"/>
        </w:rPr>
        <w:t> </w:t>
      </w:r>
      <w:r>
        <w:rPr>
          <w:sz w:val="16"/>
          <w:vertAlign w:val="baseline"/>
        </w:rPr>
        <w:t>Early</w:t>
      </w:r>
      <w:r>
        <w:rPr>
          <w:spacing w:val="-6"/>
          <w:sz w:val="16"/>
          <w:vertAlign w:val="baseline"/>
        </w:rPr>
        <w:t> </w:t>
      </w:r>
      <w:r>
        <w:rPr>
          <w:sz w:val="16"/>
          <w:vertAlign w:val="baseline"/>
        </w:rPr>
        <w:t>Conciliation</w:t>
      </w:r>
      <w:r>
        <w:rPr>
          <w:spacing w:val="-6"/>
          <w:sz w:val="16"/>
          <w:vertAlign w:val="baseline"/>
        </w:rPr>
        <w:t> </w:t>
      </w:r>
      <w:r>
        <w:rPr>
          <w:sz w:val="16"/>
          <w:vertAlign w:val="baseline"/>
        </w:rPr>
        <w:t>may</w:t>
      </w:r>
      <w:r>
        <w:rPr>
          <w:spacing w:val="-5"/>
          <w:sz w:val="16"/>
          <w:vertAlign w:val="baseline"/>
        </w:rPr>
        <w:t> </w:t>
      </w:r>
      <w:r>
        <w:rPr>
          <w:sz w:val="16"/>
          <w:vertAlign w:val="baseline"/>
        </w:rPr>
        <w:t>also</w:t>
      </w:r>
      <w:r>
        <w:rPr>
          <w:spacing w:val="-6"/>
          <w:sz w:val="16"/>
          <w:vertAlign w:val="baseline"/>
        </w:rPr>
        <w:t> </w:t>
      </w:r>
      <w:r>
        <w:rPr>
          <w:sz w:val="16"/>
          <w:vertAlign w:val="baseline"/>
        </w:rPr>
        <w:t>be</w:t>
      </w:r>
      <w:r>
        <w:rPr>
          <w:spacing w:val="-6"/>
          <w:sz w:val="16"/>
          <w:vertAlign w:val="baseline"/>
        </w:rPr>
        <w:t> </w:t>
      </w:r>
      <w:r>
        <w:rPr>
          <w:sz w:val="16"/>
          <w:vertAlign w:val="baseline"/>
        </w:rPr>
        <w:t>initiated</w:t>
      </w:r>
      <w:r>
        <w:rPr>
          <w:spacing w:val="-6"/>
          <w:sz w:val="16"/>
          <w:vertAlign w:val="baseline"/>
        </w:rPr>
        <w:t> </w:t>
      </w:r>
      <w:r>
        <w:rPr>
          <w:sz w:val="16"/>
          <w:vertAlign w:val="baseline"/>
        </w:rPr>
        <w:t>by</w:t>
      </w:r>
      <w:r>
        <w:rPr>
          <w:spacing w:val="-5"/>
          <w:sz w:val="16"/>
          <w:vertAlign w:val="baseline"/>
        </w:rPr>
        <w:t> </w:t>
      </w:r>
      <w:r>
        <w:rPr>
          <w:sz w:val="16"/>
          <w:vertAlign w:val="baseline"/>
        </w:rPr>
        <w:t>employers</w:t>
      </w:r>
      <w:r>
        <w:rPr>
          <w:spacing w:val="-7"/>
          <w:sz w:val="16"/>
          <w:vertAlign w:val="baseline"/>
        </w:rPr>
        <w:t> </w:t>
      </w:r>
      <w:r>
        <w:rPr>
          <w:sz w:val="16"/>
          <w:vertAlign w:val="baseline"/>
        </w:rPr>
        <w:t>who</w:t>
      </w:r>
      <w:r>
        <w:rPr>
          <w:spacing w:val="-5"/>
          <w:sz w:val="16"/>
          <w:vertAlign w:val="baseline"/>
        </w:rPr>
        <w:t> </w:t>
      </w:r>
      <w:r>
        <w:rPr>
          <w:sz w:val="16"/>
          <w:vertAlign w:val="baseline"/>
        </w:rPr>
        <w:t>think</w:t>
      </w:r>
      <w:r>
        <w:rPr>
          <w:spacing w:val="-5"/>
          <w:sz w:val="16"/>
          <w:vertAlign w:val="baseline"/>
        </w:rPr>
        <w:t> </w:t>
      </w:r>
      <w:r>
        <w:rPr>
          <w:sz w:val="16"/>
          <w:vertAlign w:val="baseline"/>
        </w:rPr>
        <w:t>that</w:t>
      </w:r>
      <w:r>
        <w:rPr>
          <w:spacing w:val="-6"/>
          <w:sz w:val="16"/>
          <w:vertAlign w:val="baseline"/>
        </w:rPr>
        <w:t> </w:t>
      </w:r>
      <w:r>
        <w:rPr>
          <w:sz w:val="16"/>
          <w:vertAlign w:val="baseline"/>
        </w:rPr>
        <w:t>someone</w:t>
      </w:r>
      <w:r>
        <w:rPr>
          <w:spacing w:val="-4"/>
          <w:sz w:val="16"/>
          <w:vertAlign w:val="baseline"/>
        </w:rPr>
        <w:t> </w:t>
      </w:r>
      <w:r>
        <w:rPr>
          <w:sz w:val="16"/>
          <w:vertAlign w:val="baseline"/>
        </w:rPr>
        <w:t>might</w:t>
      </w:r>
      <w:r>
        <w:rPr>
          <w:spacing w:val="-6"/>
          <w:sz w:val="16"/>
          <w:vertAlign w:val="baseline"/>
        </w:rPr>
        <w:t> </w:t>
      </w:r>
      <w:r>
        <w:rPr>
          <w:sz w:val="16"/>
          <w:vertAlign w:val="baseline"/>
        </w:rPr>
        <w:t>make</w:t>
      </w:r>
      <w:r>
        <w:rPr>
          <w:spacing w:val="-6"/>
          <w:sz w:val="16"/>
          <w:vertAlign w:val="baseline"/>
        </w:rPr>
        <w:t> </w:t>
      </w:r>
      <w:r>
        <w:rPr>
          <w:sz w:val="16"/>
          <w:vertAlign w:val="baseline"/>
        </w:rPr>
        <w:t>a</w:t>
      </w:r>
      <w:r>
        <w:rPr>
          <w:spacing w:val="-6"/>
          <w:sz w:val="16"/>
          <w:vertAlign w:val="baseline"/>
        </w:rPr>
        <w:t> </w:t>
      </w:r>
      <w:r>
        <w:rPr>
          <w:spacing w:val="-2"/>
          <w:sz w:val="16"/>
          <w:vertAlign w:val="baseline"/>
        </w:rPr>
        <w:t>tribunal</w:t>
      </w:r>
    </w:p>
    <w:p>
      <w:pPr>
        <w:spacing w:line="276" w:lineRule="auto" w:before="29"/>
        <w:ind w:left="1337" w:right="1553" w:firstLine="0"/>
        <w:jc w:val="left"/>
        <w:rPr>
          <w:sz w:val="16"/>
        </w:rPr>
      </w:pPr>
      <w:r>
        <w:rPr>
          <w:sz w:val="16"/>
        </w:rPr>
        <w:t>claim against them – although in nearly all cases it is the employee (claimant) who makes first contact.</w:t>
      </w:r>
      <w:r>
        <w:rPr>
          <w:spacing w:val="-4"/>
          <w:sz w:val="16"/>
        </w:rPr>
        <w:t> </w:t>
      </w:r>
      <w:r>
        <w:rPr>
          <w:sz w:val="16"/>
        </w:rPr>
        <w:t>Employer-instigated</w:t>
      </w:r>
      <w:r>
        <w:rPr>
          <w:spacing w:val="-2"/>
          <w:sz w:val="16"/>
        </w:rPr>
        <w:t> </w:t>
      </w:r>
      <w:r>
        <w:rPr>
          <w:sz w:val="16"/>
        </w:rPr>
        <w:t>EC</w:t>
      </w:r>
      <w:r>
        <w:rPr>
          <w:spacing w:val="-3"/>
          <w:sz w:val="16"/>
        </w:rPr>
        <w:t> </w:t>
      </w:r>
      <w:r>
        <w:rPr>
          <w:sz w:val="16"/>
        </w:rPr>
        <w:t>accounts</w:t>
      </w:r>
      <w:r>
        <w:rPr>
          <w:spacing w:val="-4"/>
          <w:sz w:val="16"/>
        </w:rPr>
        <w:t> </w:t>
      </w:r>
      <w:r>
        <w:rPr>
          <w:sz w:val="16"/>
        </w:rPr>
        <w:t>for</w:t>
      </w:r>
      <w:r>
        <w:rPr>
          <w:spacing w:val="-3"/>
          <w:sz w:val="16"/>
        </w:rPr>
        <w:t> </w:t>
      </w:r>
      <w:r>
        <w:rPr>
          <w:sz w:val="16"/>
        </w:rPr>
        <w:t>&lt;5%</w:t>
      </w:r>
      <w:r>
        <w:rPr>
          <w:spacing w:val="-4"/>
          <w:sz w:val="16"/>
        </w:rPr>
        <w:t> </w:t>
      </w:r>
      <w:r>
        <w:rPr>
          <w:sz w:val="16"/>
        </w:rPr>
        <w:t>of</w:t>
      </w:r>
      <w:r>
        <w:rPr>
          <w:spacing w:val="-3"/>
          <w:sz w:val="16"/>
        </w:rPr>
        <w:t> </w:t>
      </w:r>
      <w:r>
        <w:rPr>
          <w:sz w:val="16"/>
        </w:rPr>
        <w:t>all</w:t>
      </w:r>
      <w:r>
        <w:rPr>
          <w:spacing w:val="-4"/>
          <w:sz w:val="16"/>
        </w:rPr>
        <w:t> </w:t>
      </w:r>
      <w:r>
        <w:rPr>
          <w:sz w:val="16"/>
        </w:rPr>
        <w:t>EC</w:t>
      </w:r>
      <w:r>
        <w:rPr>
          <w:spacing w:val="-3"/>
          <w:sz w:val="16"/>
        </w:rPr>
        <w:t> </w:t>
      </w:r>
      <w:r>
        <w:rPr>
          <w:sz w:val="16"/>
        </w:rPr>
        <w:t>cases</w:t>
      </w:r>
      <w:r>
        <w:rPr>
          <w:spacing w:val="-4"/>
          <w:sz w:val="16"/>
        </w:rPr>
        <w:t> </w:t>
      </w:r>
      <w:r>
        <w:rPr>
          <w:sz w:val="16"/>
        </w:rPr>
        <w:t>and</w:t>
      </w:r>
      <w:r>
        <w:rPr>
          <w:spacing w:val="-3"/>
          <w:sz w:val="16"/>
        </w:rPr>
        <w:t> </w:t>
      </w:r>
      <w:r>
        <w:rPr>
          <w:sz w:val="16"/>
        </w:rPr>
        <w:t>falls</w:t>
      </w:r>
      <w:r>
        <w:rPr>
          <w:spacing w:val="-4"/>
          <w:sz w:val="16"/>
        </w:rPr>
        <w:t> </w:t>
      </w:r>
      <w:r>
        <w:rPr>
          <w:sz w:val="16"/>
        </w:rPr>
        <w:t>beyond</w:t>
      </w:r>
      <w:r>
        <w:rPr>
          <w:spacing w:val="-3"/>
          <w:sz w:val="16"/>
        </w:rPr>
        <w:t> </w:t>
      </w:r>
      <w:r>
        <w:rPr>
          <w:sz w:val="16"/>
        </w:rPr>
        <w:t>the</w:t>
      </w:r>
      <w:r>
        <w:rPr>
          <w:spacing w:val="-4"/>
          <w:sz w:val="16"/>
        </w:rPr>
        <w:t> </w:t>
      </w:r>
      <w:r>
        <w:rPr>
          <w:sz w:val="16"/>
        </w:rPr>
        <w:t>immediate scope of this evaluation</w:t>
      </w:r>
    </w:p>
    <w:p>
      <w:pPr>
        <w:spacing w:line="276" w:lineRule="auto" w:before="0"/>
        <w:ind w:left="1337" w:right="1553" w:firstLine="0"/>
        <w:jc w:val="left"/>
        <w:rPr>
          <w:sz w:val="16"/>
        </w:rPr>
      </w:pPr>
      <w:r>
        <w:rPr>
          <w:sz w:val="16"/>
          <w:vertAlign w:val="superscript"/>
        </w:rPr>
        <w:t>3</w:t>
      </w:r>
      <w:r>
        <w:rPr>
          <w:sz w:val="16"/>
          <w:vertAlign w:val="baseline"/>
        </w:rPr>
        <w:t> This information could be missing if the claimant participant: engages or disengages with their representative</w:t>
      </w:r>
      <w:r>
        <w:rPr>
          <w:spacing w:val="-1"/>
          <w:sz w:val="16"/>
          <w:vertAlign w:val="baseline"/>
        </w:rPr>
        <w:t> </w:t>
      </w:r>
      <w:r>
        <w:rPr>
          <w:sz w:val="16"/>
          <w:vertAlign w:val="baseline"/>
        </w:rPr>
        <w:t>at</w:t>
      </w:r>
      <w:r>
        <w:rPr>
          <w:spacing w:val="-3"/>
          <w:sz w:val="16"/>
          <w:vertAlign w:val="baseline"/>
        </w:rPr>
        <w:t> </w:t>
      </w:r>
      <w:r>
        <w:rPr>
          <w:sz w:val="16"/>
          <w:vertAlign w:val="baseline"/>
        </w:rPr>
        <w:t>any</w:t>
      </w:r>
      <w:r>
        <w:rPr>
          <w:spacing w:val="-2"/>
          <w:sz w:val="16"/>
          <w:vertAlign w:val="baseline"/>
        </w:rPr>
        <w:t> </w:t>
      </w:r>
      <w:r>
        <w:rPr>
          <w:sz w:val="16"/>
          <w:vertAlign w:val="baseline"/>
        </w:rPr>
        <w:t>point</w:t>
      </w:r>
      <w:r>
        <w:rPr>
          <w:spacing w:val="-3"/>
          <w:sz w:val="16"/>
          <w:vertAlign w:val="baseline"/>
        </w:rPr>
        <w:t> </w:t>
      </w:r>
      <w:r>
        <w:rPr>
          <w:sz w:val="16"/>
          <w:vertAlign w:val="baseline"/>
        </w:rPr>
        <w:t>prior</w:t>
      </w:r>
      <w:r>
        <w:rPr>
          <w:spacing w:val="-2"/>
          <w:sz w:val="16"/>
          <w:vertAlign w:val="baseline"/>
        </w:rPr>
        <w:t> </w:t>
      </w:r>
      <w:r>
        <w:rPr>
          <w:sz w:val="16"/>
          <w:vertAlign w:val="baseline"/>
        </w:rPr>
        <w:t>to,</w:t>
      </w:r>
      <w:r>
        <w:rPr>
          <w:spacing w:val="-2"/>
          <w:sz w:val="16"/>
          <w:vertAlign w:val="baseline"/>
        </w:rPr>
        <w:t> </w:t>
      </w:r>
      <w:r>
        <w:rPr>
          <w:sz w:val="16"/>
          <w:vertAlign w:val="baseline"/>
        </w:rPr>
        <w:t>throughout</w:t>
      </w:r>
      <w:r>
        <w:rPr>
          <w:spacing w:val="-3"/>
          <w:sz w:val="16"/>
          <w:vertAlign w:val="baseline"/>
        </w:rPr>
        <w:t> </w:t>
      </w:r>
      <w:r>
        <w:rPr>
          <w:sz w:val="16"/>
          <w:vertAlign w:val="baseline"/>
        </w:rPr>
        <w:t>or</w:t>
      </w:r>
      <w:r>
        <w:rPr>
          <w:spacing w:val="-2"/>
          <w:sz w:val="16"/>
          <w:vertAlign w:val="baseline"/>
        </w:rPr>
        <w:t> </w:t>
      </w:r>
      <w:r>
        <w:rPr>
          <w:sz w:val="16"/>
          <w:vertAlign w:val="baseline"/>
        </w:rPr>
        <w:t>after</w:t>
      </w:r>
      <w:r>
        <w:rPr>
          <w:spacing w:val="-2"/>
          <w:sz w:val="16"/>
          <w:vertAlign w:val="baseline"/>
        </w:rPr>
        <w:t> </w:t>
      </w:r>
      <w:r>
        <w:rPr>
          <w:sz w:val="16"/>
          <w:vertAlign w:val="baseline"/>
        </w:rPr>
        <w:t>EC,</w:t>
      </w:r>
      <w:r>
        <w:rPr>
          <w:spacing w:val="-3"/>
          <w:sz w:val="16"/>
          <w:vertAlign w:val="baseline"/>
        </w:rPr>
        <w:t> </w:t>
      </w:r>
      <w:r>
        <w:rPr>
          <w:sz w:val="16"/>
          <w:vertAlign w:val="baseline"/>
        </w:rPr>
        <w:t>failed</w:t>
      </w:r>
      <w:r>
        <w:rPr>
          <w:spacing w:val="-2"/>
          <w:sz w:val="16"/>
          <w:vertAlign w:val="baseline"/>
        </w:rPr>
        <w:t> </w:t>
      </w:r>
      <w:r>
        <w:rPr>
          <w:sz w:val="16"/>
          <w:vertAlign w:val="baseline"/>
        </w:rPr>
        <w:t>(or</w:t>
      </w:r>
      <w:r>
        <w:rPr>
          <w:spacing w:val="-1"/>
          <w:sz w:val="16"/>
          <w:vertAlign w:val="baseline"/>
        </w:rPr>
        <w:t> </w:t>
      </w:r>
      <w:r>
        <w:rPr>
          <w:sz w:val="16"/>
          <w:vertAlign w:val="baseline"/>
        </w:rPr>
        <w:t>chose</w:t>
      </w:r>
      <w:r>
        <w:rPr>
          <w:spacing w:val="-3"/>
          <w:sz w:val="16"/>
          <w:vertAlign w:val="baseline"/>
        </w:rPr>
        <w:t> </w:t>
      </w:r>
      <w:r>
        <w:rPr>
          <w:sz w:val="16"/>
          <w:vertAlign w:val="baseline"/>
        </w:rPr>
        <w:t>not)</w:t>
      </w:r>
      <w:r>
        <w:rPr>
          <w:spacing w:val="-2"/>
          <w:sz w:val="16"/>
          <w:vertAlign w:val="baseline"/>
        </w:rPr>
        <w:t> </w:t>
      </w:r>
      <w:r>
        <w:rPr>
          <w:sz w:val="16"/>
          <w:vertAlign w:val="baseline"/>
        </w:rPr>
        <w:t>to</w:t>
      </w:r>
      <w:r>
        <w:rPr>
          <w:spacing w:val="-2"/>
          <w:sz w:val="16"/>
          <w:vertAlign w:val="baseline"/>
        </w:rPr>
        <w:t> </w:t>
      </w:r>
      <w:r>
        <w:rPr>
          <w:sz w:val="16"/>
          <w:vertAlign w:val="baseline"/>
        </w:rPr>
        <w:t>divulge</w:t>
      </w:r>
      <w:r>
        <w:rPr>
          <w:spacing w:val="-3"/>
          <w:sz w:val="16"/>
          <w:vertAlign w:val="baseline"/>
        </w:rPr>
        <w:t> </w:t>
      </w:r>
      <w:r>
        <w:rPr>
          <w:sz w:val="16"/>
          <w:vertAlign w:val="baseline"/>
        </w:rPr>
        <w:t>the</w:t>
      </w:r>
      <w:r>
        <w:rPr>
          <w:spacing w:val="-3"/>
          <w:sz w:val="16"/>
          <w:vertAlign w:val="baseline"/>
        </w:rPr>
        <w:t> </w:t>
      </w:r>
      <w:r>
        <w:rPr>
          <w:sz w:val="16"/>
          <w:vertAlign w:val="baseline"/>
        </w:rPr>
        <w:t>fact that they are represented, sought a direct dialogue with Acas in spite of being represented or confused having received specific legal advice with being represented.</w:t>
      </w:r>
    </w:p>
    <w:p>
      <w:pPr>
        <w:spacing w:line="276" w:lineRule="auto" w:before="1"/>
        <w:ind w:left="1337" w:right="1472" w:firstLine="0"/>
        <w:jc w:val="left"/>
        <w:rPr>
          <w:sz w:val="16"/>
        </w:rPr>
      </w:pPr>
      <w:r>
        <w:rPr>
          <w:sz w:val="16"/>
          <w:vertAlign w:val="superscript"/>
        </w:rPr>
        <w:t>4</w:t>
      </w:r>
      <w:r>
        <w:rPr>
          <w:spacing w:val="-2"/>
          <w:sz w:val="16"/>
          <w:vertAlign w:val="baseline"/>
        </w:rPr>
        <w:t> </w:t>
      </w:r>
      <w:r>
        <w:rPr>
          <w:sz w:val="16"/>
          <w:vertAlign w:val="baseline"/>
        </w:rPr>
        <w:t>This</w:t>
      </w:r>
      <w:r>
        <w:rPr>
          <w:spacing w:val="-3"/>
          <w:sz w:val="16"/>
          <w:vertAlign w:val="baseline"/>
        </w:rPr>
        <w:t> </w:t>
      </w:r>
      <w:r>
        <w:rPr>
          <w:sz w:val="16"/>
          <w:vertAlign w:val="baseline"/>
        </w:rPr>
        <w:t>balance</w:t>
      </w:r>
      <w:r>
        <w:rPr>
          <w:spacing w:val="-3"/>
          <w:sz w:val="16"/>
          <w:vertAlign w:val="baseline"/>
        </w:rPr>
        <w:t> </w:t>
      </w:r>
      <w:r>
        <w:rPr>
          <w:sz w:val="16"/>
          <w:vertAlign w:val="baseline"/>
        </w:rPr>
        <w:t>reflects</w:t>
      </w:r>
      <w:r>
        <w:rPr>
          <w:spacing w:val="-3"/>
          <w:sz w:val="16"/>
          <w:vertAlign w:val="baseline"/>
        </w:rPr>
        <w:t> </w:t>
      </w:r>
      <w:r>
        <w:rPr>
          <w:sz w:val="16"/>
          <w:vertAlign w:val="baseline"/>
        </w:rPr>
        <w:t>a</w:t>
      </w:r>
      <w:r>
        <w:rPr>
          <w:spacing w:val="-2"/>
          <w:sz w:val="16"/>
          <w:vertAlign w:val="baseline"/>
        </w:rPr>
        <w:t> </w:t>
      </w:r>
      <w:r>
        <w:rPr>
          <w:sz w:val="16"/>
          <w:vertAlign w:val="baseline"/>
        </w:rPr>
        <w:t>change</w:t>
      </w:r>
      <w:r>
        <w:rPr>
          <w:spacing w:val="-3"/>
          <w:sz w:val="16"/>
          <w:vertAlign w:val="baseline"/>
        </w:rPr>
        <w:t> </w:t>
      </w:r>
      <w:r>
        <w:rPr>
          <w:sz w:val="16"/>
          <w:vertAlign w:val="baseline"/>
        </w:rPr>
        <w:t>in</w:t>
      </w:r>
      <w:r>
        <w:rPr>
          <w:spacing w:val="-1"/>
          <w:sz w:val="16"/>
          <w:vertAlign w:val="baseline"/>
        </w:rPr>
        <w:t> </w:t>
      </w:r>
      <w:r>
        <w:rPr>
          <w:sz w:val="16"/>
          <w:vertAlign w:val="baseline"/>
        </w:rPr>
        <w:t>the</w:t>
      </w:r>
      <w:r>
        <w:rPr>
          <w:spacing w:val="-1"/>
          <w:sz w:val="16"/>
          <w:vertAlign w:val="baseline"/>
        </w:rPr>
        <w:t> </w:t>
      </w:r>
      <w:r>
        <w:rPr>
          <w:sz w:val="16"/>
          <w:vertAlign w:val="baseline"/>
        </w:rPr>
        <w:t>composition</w:t>
      </w:r>
      <w:r>
        <w:rPr>
          <w:spacing w:val="-3"/>
          <w:sz w:val="16"/>
          <w:vertAlign w:val="baseline"/>
        </w:rPr>
        <w:t> </w:t>
      </w:r>
      <w:r>
        <w:rPr>
          <w:sz w:val="16"/>
          <w:vertAlign w:val="baseline"/>
        </w:rPr>
        <w:t>of</w:t>
      </w:r>
      <w:r>
        <w:rPr>
          <w:spacing w:val="-2"/>
          <w:sz w:val="16"/>
          <w:vertAlign w:val="baseline"/>
        </w:rPr>
        <w:t> </w:t>
      </w:r>
      <w:r>
        <w:rPr>
          <w:sz w:val="16"/>
          <w:vertAlign w:val="baseline"/>
        </w:rPr>
        <w:t>cases</w:t>
      </w:r>
      <w:r>
        <w:rPr>
          <w:spacing w:val="-1"/>
          <w:sz w:val="16"/>
          <w:vertAlign w:val="baseline"/>
        </w:rPr>
        <w:t> </w:t>
      </w:r>
      <w:r>
        <w:rPr>
          <w:sz w:val="16"/>
          <w:vertAlign w:val="baseline"/>
        </w:rPr>
        <w:t>overall,</w:t>
      </w:r>
      <w:r>
        <w:rPr>
          <w:spacing w:val="-3"/>
          <w:sz w:val="16"/>
          <w:vertAlign w:val="baseline"/>
        </w:rPr>
        <w:t> </w:t>
      </w:r>
      <w:r>
        <w:rPr>
          <w:sz w:val="16"/>
          <w:vertAlign w:val="baseline"/>
        </w:rPr>
        <w:t>as</w:t>
      </w:r>
      <w:r>
        <w:rPr>
          <w:spacing w:val="-3"/>
          <w:sz w:val="16"/>
          <w:vertAlign w:val="baseline"/>
        </w:rPr>
        <w:t> </w:t>
      </w:r>
      <w:r>
        <w:rPr>
          <w:sz w:val="16"/>
          <w:vertAlign w:val="baseline"/>
        </w:rPr>
        <w:t>well</w:t>
      </w:r>
      <w:r>
        <w:rPr>
          <w:spacing w:val="-2"/>
          <w:sz w:val="16"/>
          <w:vertAlign w:val="baseline"/>
        </w:rPr>
        <w:t> </w:t>
      </w:r>
      <w:r>
        <w:rPr>
          <w:sz w:val="16"/>
          <w:vertAlign w:val="baseline"/>
        </w:rPr>
        <w:t>as</w:t>
      </w:r>
      <w:r>
        <w:rPr>
          <w:spacing w:val="-3"/>
          <w:sz w:val="16"/>
          <w:vertAlign w:val="baseline"/>
        </w:rPr>
        <w:t> </w:t>
      </w:r>
      <w:r>
        <w:rPr>
          <w:sz w:val="16"/>
          <w:vertAlign w:val="baseline"/>
        </w:rPr>
        <w:t>the</w:t>
      </w:r>
      <w:r>
        <w:rPr>
          <w:spacing w:val="-3"/>
          <w:sz w:val="16"/>
          <w:vertAlign w:val="baseline"/>
        </w:rPr>
        <w:t> </w:t>
      </w:r>
      <w:r>
        <w:rPr>
          <w:sz w:val="16"/>
          <w:vertAlign w:val="baseline"/>
        </w:rPr>
        <w:t>impact</w:t>
      </w:r>
      <w:r>
        <w:rPr>
          <w:spacing w:val="-2"/>
          <w:sz w:val="16"/>
          <w:vertAlign w:val="baseline"/>
        </w:rPr>
        <w:t> </w:t>
      </w:r>
      <w:r>
        <w:rPr>
          <w:sz w:val="16"/>
          <w:vertAlign w:val="baseline"/>
        </w:rPr>
        <w:t>of</w:t>
      </w:r>
      <w:r>
        <w:rPr>
          <w:spacing w:val="-2"/>
          <w:sz w:val="16"/>
          <w:vertAlign w:val="baseline"/>
        </w:rPr>
        <w:t> </w:t>
      </w:r>
      <w:r>
        <w:rPr>
          <w:sz w:val="16"/>
          <w:vertAlign w:val="baseline"/>
        </w:rPr>
        <w:t>sample cleaning and the removal of ineligible cases – for more information see the technical note</w:t>
      </w:r>
    </w:p>
    <w:p>
      <w:pPr>
        <w:spacing w:line="252" w:lineRule="auto" w:before="0"/>
        <w:ind w:left="1337" w:right="1472" w:firstLine="0"/>
        <w:jc w:val="left"/>
        <w:rPr>
          <w:sz w:val="16"/>
        </w:rPr>
      </w:pPr>
      <w:r>
        <w:rPr>
          <w:rFonts w:ascii="Calibri"/>
          <w:position w:val="7"/>
          <w:sz w:val="13"/>
        </w:rPr>
        <w:t>5</w:t>
      </w:r>
      <w:r>
        <w:rPr>
          <w:rFonts w:ascii="Calibri"/>
          <w:spacing w:val="14"/>
          <w:position w:val="7"/>
          <w:sz w:val="13"/>
        </w:rPr>
        <w:t> </w:t>
      </w:r>
      <w:r>
        <w:rPr>
          <w:sz w:val="16"/>
        </w:rPr>
        <w:t>160</w:t>
      </w:r>
      <w:r>
        <w:rPr>
          <w:spacing w:val="-2"/>
          <w:sz w:val="16"/>
        </w:rPr>
        <w:t> </w:t>
      </w:r>
      <w:r>
        <w:rPr>
          <w:sz w:val="16"/>
        </w:rPr>
        <w:t>(of</w:t>
      </w:r>
      <w:r>
        <w:rPr>
          <w:spacing w:val="-2"/>
          <w:sz w:val="16"/>
        </w:rPr>
        <w:t> </w:t>
      </w:r>
      <w:r>
        <w:rPr>
          <w:sz w:val="16"/>
        </w:rPr>
        <w:t>704)</w:t>
      </w:r>
      <w:r>
        <w:rPr>
          <w:spacing w:val="-3"/>
          <w:sz w:val="16"/>
        </w:rPr>
        <w:t> </w:t>
      </w:r>
      <w:r>
        <w:rPr>
          <w:sz w:val="16"/>
        </w:rPr>
        <w:t>claimants</w:t>
      </w:r>
      <w:r>
        <w:rPr>
          <w:spacing w:val="-3"/>
          <w:sz w:val="16"/>
        </w:rPr>
        <w:t> </w:t>
      </w:r>
      <w:r>
        <w:rPr>
          <w:sz w:val="16"/>
        </w:rPr>
        <w:t>gave</w:t>
      </w:r>
      <w:r>
        <w:rPr>
          <w:spacing w:val="-1"/>
          <w:sz w:val="16"/>
        </w:rPr>
        <w:t> </w:t>
      </w:r>
      <w:r>
        <w:rPr>
          <w:sz w:val="16"/>
        </w:rPr>
        <w:t>an</w:t>
      </w:r>
      <w:r>
        <w:rPr>
          <w:spacing w:val="-3"/>
          <w:sz w:val="16"/>
        </w:rPr>
        <w:t> </w:t>
      </w:r>
      <w:r>
        <w:rPr>
          <w:sz w:val="16"/>
        </w:rPr>
        <w:t>ethnicity</w:t>
      </w:r>
      <w:r>
        <w:rPr>
          <w:spacing w:val="-2"/>
          <w:sz w:val="16"/>
        </w:rPr>
        <w:t> </w:t>
      </w:r>
      <w:r>
        <w:rPr>
          <w:sz w:val="16"/>
        </w:rPr>
        <w:t>other</w:t>
      </w:r>
      <w:r>
        <w:rPr>
          <w:spacing w:val="-2"/>
          <w:sz w:val="16"/>
        </w:rPr>
        <w:t> </w:t>
      </w:r>
      <w:r>
        <w:rPr>
          <w:sz w:val="16"/>
        </w:rPr>
        <w:t>than</w:t>
      </w:r>
      <w:r>
        <w:rPr>
          <w:spacing w:val="-3"/>
          <w:sz w:val="16"/>
        </w:rPr>
        <w:t> </w:t>
      </w:r>
      <w:r>
        <w:rPr>
          <w:sz w:val="16"/>
        </w:rPr>
        <w:t>White.</w:t>
      </w:r>
      <w:r>
        <w:rPr>
          <w:spacing w:val="-3"/>
          <w:sz w:val="16"/>
        </w:rPr>
        <w:t> </w:t>
      </w:r>
      <w:r>
        <w:rPr>
          <w:sz w:val="16"/>
        </w:rPr>
        <w:t>While</w:t>
      </w:r>
      <w:r>
        <w:rPr>
          <w:spacing w:val="-1"/>
          <w:sz w:val="16"/>
        </w:rPr>
        <w:t> </w:t>
      </w:r>
      <w:r>
        <w:rPr>
          <w:sz w:val="16"/>
        </w:rPr>
        <w:t>this</w:t>
      </w:r>
      <w:r>
        <w:rPr>
          <w:spacing w:val="-3"/>
          <w:sz w:val="16"/>
        </w:rPr>
        <w:t> </w:t>
      </w:r>
      <w:r>
        <w:rPr>
          <w:sz w:val="16"/>
        </w:rPr>
        <w:t>is</w:t>
      </w:r>
      <w:r>
        <w:rPr>
          <w:spacing w:val="-1"/>
          <w:sz w:val="16"/>
        </w:rPr>
        <w:t> </w:t>
      </w:r>
      <w:r>
        <w:rPr>
          <w:sz w:val="16"/>
        </w:rPr>
        <w:t>a</w:t>
      </w:r>
      <w:r>
        <w:rPr>
          <w:spacing w:val="-2"/>
          <w:sz w:val="16"/>
        </w:rPr>
        <w:t> </w:t>
      </w:r>
      <w:r>
        <w:rPr>
          <w:sz w:val="16"/>
        </w:rPr>
        <w:t>reasonable</w:t>
      </w:r>
      <w:r>
        <w:rPr>
          <w:spacing w:val="-3"/>
          <w:sz w:val="16"/>
        </w:rPr>
        <w:t> </w:t>
      </w:r>
      <w:r>
        <w:rPr>
          <w:sz w:val="16"/>
        </w:rPr>
        <w:t>base</w:t>
      </w:r>
      <w:r>
        <w:rPr>
          <w:spacing w:val="-3"/>
          <w:sz w:val="16"/>
        </w:rPr>
        <w:t> </w:t>
      </w:r>
      <w:r>
        <w:rPr>
          <w:sz w:val="16"/>
        </w:rPr>
        <w:t>size,</w:t>
      </w:r>
      <w:r>
        <w:rPr>
          <w:spacing w:val="-3"/>
          <w:sz w:val="16"/>
        </w:rPr>
        <w:t> </w:t>
      </w:r>
      <w:r>
        <w:rPr>
          <w:sz w:val="16"/>
        </w:rPr>
        <w:t>the requirements for statistical significance are high as the overall base size against which we are comparing is also reasonably small.</w:t>
      </w:r>
    </w:p>
    <w:p>
      <w:pPr>
        <w:spacing w:line="187" w:lineRule="exact" w:before="0"/>
        <w:ind w:left="1337" w:right="0" w:firstLine="0"/>
        <w:jc w:val="left"/>
        <w:rPr>
          <w:sz w:val="16"/>
        </w:rPr>
      </w:pPr>
      <w:r>
        <w:rPr>
          <w:sz w:val="16"/>
          <w:vertAlign w:val="superscript"/>
        </w:rPr>
        <w:t>6</w:t>
      </w:r>
      <w:r>
        <w:rPr>
          <w:spacing w:val="-6"/>
          <w:sz w:val="16"/>
          <w:vertAlign w:val="baseline"/>
        </w:rPr>
        <w:t> </w:t>
      </w:r>
      <w:r>
        <w:rPr>
          <w:sz w:val="16"/>
          <w:vertAlign w:val="baseline"/>
        </w:rPr>
        <w:t>In</w:t>
      </w:r>
      <w:r>
        <w:rPr>
          <w:spacing w:val="-7"/>
          <w:sz w:val="16"/>
          <w:vertAlign w:val="baseline"/>
        </w:rPr>
        <w:t> </w:t>
      </w:r>
      <w:r>
        <w:rPr>
          <w:sz w:val="16"/>
          <w:vertAlign w:val="baseline"/>
        </w:rPr>
        <w:t>2019,</w:t>
      </w:r>
      <w:r>
        <w:rPr>
          <w:spacing w:val="-7"/>
          <w:sz w:val="16"/>
          <w:vertAlign w:val="baseline"/>
        </w:rPr>
        <w:t> </w:t>
      </w:r>
      <w:r>
        <w:rPr>
          <w:sz w:val="16"/>
          <w:vertAlign w:val="baseline"/>
        </w:rPr>
        <w:t>the</w:t>
      </w:r>
      <w:r>
        <w:rPr>
          <w:spacing w:val="-7"/>
          <w:sz w:val="16"/>
          <w:vertAlign w:val="baseline"/>
        </w:rPr>
        <w:t> </w:t>
      </w:r>
      <w:r>
        <w:rPr>
          <w:sz w:val="16"/>
          <w:vertAlign w:val="baseline"/>
        </w:rPr>
        <w:t>EC</w:t>
      </w:r>
      <w:r>
        <w:rPr>
          <w:spacing w:val="-5"/>
          <w:sz w:val="16"/>
          <w:vertAlign w:val="baseline"/>
        </w:rPr>
        <w:t> </w:t>
      </w:r>
      <w:r>
        <w:rPr>
          <w:sz w:val="16"/>
          <w:vertAlign w:val="baseline"/>
        </w:rPr>
        <w:t>notification</w:t>
      </w:r>
      <w:r>
        <w:rPr>
          <w:spacing w:val="-7"/>
          <w:sz w:val="16"/>
          <w:vertAlign w:val="baseline"/>
        </w:rPr>
        <w:t> </w:t>
      </w:r>
      <w:r>
        <w:rPr>
          <w:sz w:val="16"/>
          <w:vertAlign w:val="baseline"/>
        </w:rPr>
        <w:t>form</w:t>
      </w:r>
      <w:r>
        <w:rPr>
          <w:spacing w:val="-7"/>
          <w:sz w:val="16"/>
          <w:vertAlign w:val="baseline"/>
        </w:rPr>
        <w:t> </w:t>
      </w:r>
      <w:r>
        <w:rPr>
          <w:sz w:val="16"/>
          <w:vertAlign w:val="baseline"/>
        </w:rPr>
        <w:t>was</w:t>
      </w:r>
      <w:r>
        <w:rPr>
          <w:spacing w:val="-7"/>
          <w:sz w:val="16"/>
          <w:vertAlign w:val="baseline"/>
        </w:rPr>
        <w:t> </w:t>
      </w:r>
      <w:r>
        <w:rPr>
          <w:sz w:val="16"/>
          <w:vertAlign w:val="baseline"/>
        </w:rPr>
        <w:t>redesigned</w:t>
      </w:r>
      <w:r>
        <w:rPr>
          <w:spacing w:val="-5"/>
          <w:sz w:val="16"/>
          <w:vertAlign w:val="baseline"/>
        </w:rPr>
        <w:t> </w:t>
      </w:r>
      <w:r>
        <w:rPr>
          <w:sz w:val="16"/>
          <w:vertAlign w:val="baseline"/>
        </w:rPr>
        <w:t>to</w:t>
      </w:r>
      <w:r>
        <w:rPr>
          <w:spacing w:val="-6"/>
          <w:sz w:val="16"/>
          <w:vertAlign w:val="baseline"/>
        </w:rPr>
        <w:t> </w:t>
      </w:r>
      <w:r>
        <w:rPr>
          <w:sz w:val="16"/>
          <w:vertAlign w:val="baseline"/>
        </w:rPr>
        <w:t>reduce</w:t>
      </w:r>
      <w:r>
        <w:rPr>
          <w:spacing w:val="-7"/>
          <w:sz w:val="16"/>
          <w:vertAlign w:val="baseline"/>
        </w:rPr>
        <w:t> </w:t>
      </w:r>
      <w:r>
        <w:rPr>
          <w:sz w:val="16"/>
          <w:vertAlign w:val="baseline"/>
        </w:rPr>
        <w:t>inappropriate</w:t>
      </w:r>
      <w:r>
        <w:rPr>
          <w:spacing w:val="-5"/>
          <w:sz w:val="16"/>
          <w:vertAlign w:val="baseline"/>
        </w:rPr>
        <w:t> </w:t>
      </w:r>
      <w:r>
        <w:rPr>
          <w:sz w:val="16"/>
          <w:vertAlign w:val="baseline"/>
        </w:rPr>
        <w:t>notifications</w:t>
      </w:r>
      <w:r>
        <w:rPr>
          <w:spacing w:val="-7"/>
          <w:sz w:val="16"/>
          <w:vertAlign w:val="baseline"/>
        </w:rPr>
        <w:t> </w:t>
      </w:r>
      <w:r>
        <w:rPr>
          <w:sz w:val="16"/>
          <w:vertAlign w:val="baseline"/>
        </w:rPr>
        <w:t>and</w:t>
      </w:r>
      <w:r>
        <w:rPr>
          <w:spacing w:val="-6"/>
          <w:sz w:val="16"/>
          <w:vertAlign w:val="baseline"/>
        </w:rPr>
        <w:t> </w:t>
      </w:r>
      <w:r>
        <w:rPr>
          <w:sz w:val="16"/>
          <w:vertAlign w:val="baseline"/>
        </w:rPr>
        <w:t>give</w:t>
      </w:r>
      <w:r>
        <w:rPr>
          <w:spacing w:val="-5"/>
          <w:sz w:val="16"/>
          <w:vertAlign w:val="baseline"/>
        </w:rPr>
        <w:t> </w:t>
      </w:r>
      <w:r>
        <w:rPr>
          <w:spacing w:val="-2"/>
          <w:sz w:val="16"/>
          <w:vertAlign w:val="baseline"/>
        </w:rPr>
        <w:t>users</w:t>
      </w:r>
    </w:p>
    <w:p>
      <w:pPr>
        <w:spacing w:line="276" w:lineRule="auto" w:before="23"/>
        <w:ind w:left="1337" w:right="1472" w:hanging="1"/>
        <w:jc w:val="left"/>
        <w:rPr>
          <w:sz w:val="16"/>
        </w:rPr>
      </w:pPr>
      <w:r>
        <w:rPr>
          <w:sz w:val="16"/>
        </w:rPr>
        <w:t>a</w:t>
      </w:r>
      <w:r>
        <w:rPr>
          <w:spacing w:val="-2"/>
          <w:sz w:val="16"/>
        </w:rPr>
        <w:t> </w:t>
      </w:r>
      <w:r>
        <w:rPr>
          <w:sz w:val="16"/>
        </w:rPr>
        <w:t>better</w:t>
      </w:r>
      <w:r>
        <w:rPr>
          <w:spacing w:val="-2"/>
          <w:sz w:val="16"/>
        </w:rPr>
        <w:t> </w:t>
      </w:r>
      <w:r>
        <w:rPr>
          <w:sz w:val="16"/>
        </w:rPr>
        <w:t>understanding</w:t>
      </w:r>
      <w:r>
        <w:rPr>
          <w:spacing w:val="-2"/>
          <w:sz w:val="16"/>
        </w:rPr>
        <w:t> </w:t>
      </w:r>
      <w:r>
        <w:rPr>
          <w:sz w:val="16"/>
        </w:rPr>
        <w:t>of</w:t>
      </w:r>
      <w:r>
        <w:rPr>
          <w:spacing w:val="-2"/>
          <w:sz w:val="16"/>
        </w:rPr>
        <w:t> </w:t>
      </w:r>
      <w:r>
        <w:rPr>
          <w:sz w:val="16"/>
        </w:rPr>
        <w:t>the</w:t>
      </w:r>
      <w:r>
        <w:rPr>
          <w:spacing w:val="-1"/>
          <w:sz w:val="16"/>
        </w:rPr>
        <w:t> </w:t>
      </w:r>
      <w:r>
        <w:rPr>
          <w:sz w:val="16"/>
        </w:rPr>
        <w:t>EC</w:t>
      </w:r>
      <w:r>
        <w:rPr>
          <w:spacing w:val="-2"/>
          <w:sz w:val="16"/>
        </w:rPr>
        <w:t> </w:t>
      </w:r>
      <w:r>
        <w:rPr>
          <w:sz w:val="16"/>
        </w:rPr>
        <w:t>service</w:t>
      </w:r>
      <w:r>
        <w:rPr>
          <w:spacing w:val="-3"/>
          <w:sz w:val="16"/>
        </w:rPr>
        <w:t> </w:t>
      </w:r>
      <w:r>
        <w:rPr>
          <w:sz w:val="16"/>
        </w:rPr>
        <w:t>at</w:t>
      </w:r>
      <w:r>
        <w:rPr>
          <w:spacing w:val="-3"/>
          <w:sz w:val="16"/>
        </w:rPr>
        <w:t> </w:t>
      </w:r>
      <w:r>
        <w:rPr>
          <w:sz w:val="16"/>
        </w:rPr>
        <w:t>the</w:t>
      </w:r>
      <w:r>
        <w:rPr>
          <w:spacing w:val="-3"/>
          <w:sz w:val="16"/>
        </w:rPr>
        <w:t> </w:t>
      </w:r>
      <w:r>
        <w:rPr>
          <w:sz w:val="16"/>
        </w:rPr>
        <w:t>point</w:t>
      </w:r>
      <w:r>
        <w:rPr>
          <w:spacing w:val="-3"/>
          <w:sz w:val="16"/>
        </w:rPr>
        <w:t> </w:t>
      </w:r>
      <w:r>
        <w:rPr>
          <w:sz w:val="16"/>
        </w:rPr>
        <w:t>of</w:t>
      </w:r>
      <w:r>
        <w:rPr>
          <w:spacing w:val="-2"/>
          <w:sz w:val="16"/>
        </w:rPr>
        <w:t> </w:t>
      </w:r>
      <w:r>
        <w:rPr>
          <w:sz w:val="16"/>
        </w:rPr>
        <w:t>notifying.</w:t>
      </w:r>
      <w:r>
        <w:rPr>
          <w:spacing w:val="-3"/>
          <w:sz w:val="16"/>
        </w:rPr>
        <w:t> </w:t>
      </w:r>
      <w:r>
        <w:rPr>
          <w:sz w:val="16"/>
        </w:rPr>
        <w:t>However,</w:t>
      </w:r>
      <w:r>
        <w:rPr>
          <w:spacing w:val="-3"/>
          <w:sz w:val="16"/>
        </w:rPr>
        <w:t> </w:t>
      </w:r>
      <w:r>
        <w:rPr>
          <w:sz w:val="16"/>
        </w:rPr>
        <w:t>the</w:t>
      </w:r>
      <w:r>
        <w:rPr>
          <w:spacing w:val="-3"/>
          <w:sz w:val="16"/>
        </w:rPr>
        <w:t> </w:t>
      </w:r>
      <w:r>
        <w:rPr>
          <w:sz w:val="16"/>
        </w:rPr>
        <w:t>sample</w:t>
      </w:r>
      <w:r>
        <w:rPr>
          <w:spacing w:val="-3"/>
          <w:sz w:val="16"/>
        </w:rPr>
        <w:t> </w:t>
      </w:r>
      <w:r>
        <w:rPr>
          <w:sz w:val="16"/>
        </w:rPr>
        <w:t>for</w:t>
      </w:r>
      <w:r>
        <w:rPr>
          <w:spacing w:val="-2"/>
          <w:sz w:val="16"/>
        </w:rPr>
        <w:t> </w:t>
      </w:r>
      <w:r>
        <w:rPr>
          <w:sz w:val="16"/>
        </w:rPr>
        <w:t>this</w:t>
      </w:r>
      <w:r>
        <w:rPr>
          <w:spacing w:val="-3"/>
          <w:sz w:val="16"/>
        </w:rPr>
        <w:t> </w:t>
      </w:r>
      <w:r>
        <w:rPr>
          <w:sz w:val="16"/>
        </w:rPr>
        <w:t>survey was drawn before this reform and therefore everyone surveyed had used the old version of the notification form.</w:t>
      </w:r>
    </w:p>
    <w:p>
      <w:pPr>
        <w:spacing w:before="161"/>
        <w:ind w:left="1337" w:right="0" w:firstLine="0"/>
        <w:jc w:val="left"/>
        <w:rPr>
          <w:sz w:val="16"/>
        </w:rPr>
      </w:pPr>
      <w:r>
        <w:rPr>
          <w:sz w:val="16"/>
          <w:vertAlign w:val="superscript"/>
        </w:rPr>
        <w:t>7</w:t>
      </w:r>
      <w:r>
        <w:rPr>
          <w:spacing w:val="-6"/>
          <w:sz w:val="16"/>
          <w:vertAlign w:val="baseline"/>
        </w:rPr>
        <w:t> </w:t>
      </w:r>
      <w:r>
        <w:rPr>
          <w:sz w:val="16"/>
          <w:vertAlign w:val="baseline"/>
        </w:rPr>
        <w:t>All</w:t>
      </w:r>
      <w:r>
        <w:rPr>
          <w:spacing w:val="-5"/>
          <w:sz w:val="16"/>
          <w:vertAlign w:val="baseline"/>
        </w:rPr>
        <w:t> </w:t>
      </w:r>
      <w:r>
        <w:rPr>
          <w:sz w:val="16"/>
          <w:vertAlign w:val="baseline"/>
        </w:rPr>
        <w:t>those</w:t>
      </w:r>
      <w:r>
        <w:rPr>
          <w:spacing w:val="-6"/>
          <w:sz w:val="16"/>
          <w:vertAlign w:val="baseline"/>
        </w:rPr>
        <w:t> </w:t>
      </w:r>
      <w:r>
        <w:rPr>
          <w:sz w:val="16"/>
          <w:vertAlign w:val="baseline"/>
        </w:rPr>
        <w:t>surveyed</w:t>
      </w:r>
      <w:r>
        <w:rPr>
          <w:spacing w:val="-5"/>
          <w:sz w:val="16"/>
          <w:vertAlign w:val="baseline"/>
        </w:rPr>
        <w:t> </w:t>
      </w:r>
      <w:r>
        <w:rPr>
          <w:sz w:val="16"/>
          <w:vertAlign w:val="baseline"/>
        </w:rPr>
        <w:t>used</w:t>
      </w:r>
      <w:r>
        <w:rPr>
          <w:spacing w:val="-5"/>
          <w:sz w:val="16"/>
          <w:vertAlign w:val="baseline"/>
        </w:rPr>
        <w:t> </w:t>
      </w:r>
      <w:r>
        <w:rPr>
          <w:sz w:val="16"/>
          <w:vertAlign w:val="baseline"/>
        </w:rPr>
        <w:t>the</w:t>
      </w:r>
      <w:r>
        <w:rPr>
          <w:spacing w:val="-4"/>
          <w:sz w:val="16"/>
          <w:vertAlign w:val="baseline"/>
        </w:rPr>
        <w:t> </w:t>
      </w:r>
      <w:r>
        <w:rPr>
          <w:sz w:val="16"/>
          <w:vertAlign w:val="baseline"/>
        </w:rPr>
        <w:t>old</w:t>
      </w:r>
      <w:r>
        <w:rPr>
          <w:spacing w:val="-6"/>
          <w:sz w:val="16"/>
          <w:vertAlign w:val="baseline"/>
        </w:rPr>
        <w:t> </w:t>
      </w:r>
      <w:r>
        <w:rPr>
          <w:sz w:val="16"/>
          <w:vertAlign w:val="baseline"/>
        </w:rPr>
        <w:t>version</w:t>
      </w:r>
      <w:r>
        <w:rPr>
          <w:spacing w:val="-6"/>
          <w:sz w:val="16"/>
          <w:vertAlign w:val="baseline"/>
        </w:rPr>
        <w:t> </w:t>
      </w:r>
      <w:r>
        <w:rPr>
          <w:sz w:val="16"/>
          <w:vertAlign w:val="baseline"/>
        </w:rPr>
        <w:t>of</w:t>
      </w:r>
      <w:r>
        <w:rPr>
          <w:spacing w:val="-5"/>
          <w:sz w:val="16"/>
          <w:vertAlign w:val="baseline"/>
        </w:rPr>
        <w:t> </w:t>
      </w:r>
      <w:r>
        <w:rPr>
          <w:sz w:val="16"/>
          <w:vertAlign w:val="baseline"/>
        </w:rPr>
        <w:t>the</w:t>
      </w:r>
      <w:r>
        <w:rPr>
          <w:spacing w:val="-6"/>
          <w:sz w:val="16"/>
          <w:vertAlign w:val="baseline"/>
        </w:rPr>
        <w:t> </w:t>
      </w:r>
      <w:r>
        <w:rPr>
          <w:sz w:val="16"/>
          <w:vertAlign w:val="baseline"/>
        </w:rPr>
        <w:t>notification</w:t>
      </w:r>
      <w:r>
        <w:rPr>
          <w:spacing w:val="-6"/>
          <w:sz w:val="16"/>
          <w:vertAlign w:val="baseline"/>
        </w:rPr>
        <w:t> </w:t>
      </w:r>
      <w:r>
        <w:rPr>
          <w:sz w:val="16"/>
          <w:vertAlign w:val="baseline"/>
        </w:rPr>
        <w:t>form,</w:t>
      </w:r>
      <w:r>
        <w:rPr>
          <w:spacing w:val="-6"/>
          <w:sz w:val="16"/>
          <w:vertAlign w:val="baseline"/>
        </w:rPr>
        <w:t> </w:t>
      </w:r>
      <w:r>
        <w:rPr>
          <w:sz w:val="16"/>
          <w:vertAlign w:val="baseline"/>
        </w:rPr>
        <w:t>which</w:t>
      </w:r>
      <w:r>
        <w:rPr>
          <w:spacing w:val="-6"/>
          <w:sz w:val="16"/>
          <w:vertAlign w:val="baseline"/>
        </w:rPr>
        <w:t> </w:t>
      </w:r>
      <w:r>
        <w:rPr>
          <w:sz w:val="16"/>
          <w:vertAlign w:val="baseline"/>
        </w:rPr>
        <w:t>has</w:t>
      </w:r>
      <w:r>
        <w:rPr>
          <w:spacing w:val="-6"/>
          <w:sz w:val="16"/>
          <w:vertAlign w:val="baseline"/>
        </w:rPr>
        <w:t> </w:t>
      </w:r>
      <w:r>
        <w:rPr>
          <w:sz w:val="16"/>
          <w:vertAlign w:val="baseline"/>
        </w:rPr>
        <w:t>since</w:t>
      </w:r>
      <w:r>
        <w:rPr>
          <w:spacing w:val="-6"/>
          <w:sz w:val="16"/>
          <w:vertAlign w:val="baseline"/>
        </w:rPr>
        <w:t> </w:t>
      </w:r>
      <w:r>
        <w:rPr>
          <w:sz w:val="16"/>
          <w:vertAlign w:val="baseline"/>
        </w:rPr>
        <w:t>been</w:t>
      </w:r>
      <w:r>
        <w:rPr>
          <w:spacing w:val="-6"/>
          <w:sz w:val="16"/>
          <w:vertAlign w:val="baseline"/>
        </w:rPr>
        <w:t> </w:t>
      </w:r>
      <w:r>
        <w:rPr>
          <w:spacing w:val="-2"/>
          <w:sz w:val="16"/>
          <w:vertAlign w:val="baseline"/>
        </w:rPr>
        <w:t>redesigned</w:t>
      </w:r>
    </w:p>
    <w:p>
      <w:pPr>
        <w:spacing w:line="276" w:lineRule="auto" w:before="29"/>
        <w:ind w:left="1337" w:right="1472" w:firstLine="0"/>
        <w:jc w:val="left"/>
        <w:rPr>
          <w:sz w:val="16"/>
        </w:rPr>
      </w:pPr>
      <w:r>
        <w:rPr>
          <w:sz w:val="16"/>
          <w:vertAlign w:val="superscript"/>
        </w:rPr>
        <w:t>8</w:t>
      </w:r>
      <w:r>
        <w:rPr>
          <w:sz w:val="16"/>
          <w:vertAlign w:val="baseline"/>
        </w:rPr>
        <w:t> This deadline can be extended if Early Conciliation takes place. Additionally, in equal pay cases and cases of failure to pay statutory redundancy payments, the deadline is six months less one day. However,</w:t>
      </w:r>
      <w:r>
        <w:rPr>
          <w:spacing w:val="-2"/>
          <w:sz w:val="16"/>
          <w:vertAlign w:val="baseline"/>
        </w:rPr>
        <w:t> </w:t>
      </w:r>
      <w:r>
        <w:rPr>
          <w:sz w:val="16"/>
          <w:vertAlign w:val="baseline"/>
        </w:rPr>
        <w:t>the</w:t>
      </w:r>
      <w:r>
        <w:rPr>
          <w:spacing w:val="-3"/>
          <w:sz w:val="16"/>
          <w:vertAlign w:val="baseline"/>
        </w:rPr>
        <w:t> </w:t>
      </w:r>
      <w:r>
        <w:rPr>
          <w:sz w:val="16"/>
          <w:vertAlign w:val="baseline"/>
        </w:rPr>
        <w:t>detailed</w:t>
      </w:r>
      <w:r>
        <w:rPr>
          <w:spacing w:val="-2"/>
          <w:sz w:val="16"/>
          <w:vertAlign w:val="baseline"/>
        </w:rPr>
        <w:t> </w:t>
      </w:r>
      <w:r>
        <w:rPr>
          <w:sz w:val="16"/>
          <w:vertAlign w:val="baseline"/>
        </w:rPr>
        <w:t>jurisdictional</w:t>
      </w:r>
      <w:r>
        <w:rPr>
          <w:spacing w:val="-3"/>
          <w:sz w:val="16"/>
          <w:vertAlign w:val="baseline"/>
        </w:rPr>
        <w:t> </w:t>
      </w:r>
      <w:r>
        <w:rPr>
          <w:sz w:val="16"/>
          <w:vertAlign w:val="baseline"/>
        </w:rPr>
        <w:t>breakdown</w:t>
      </w:r>
      <w:r>
        <w:rPr>
          <w:spacing w:val="-3"/>
          <w:sz w:val="16"/>
          <w:vertAlign w:val="baseline"/>
        </w:rPr>
        <w:t> </w:t>
      </w:r>
      <w:r>
        <w:rPr>
          <w:sz w:val="16"/>
          <w:vertAlign w:val="baseline"/>
        </w:rPr>
        <w:t>is</w:t>
      </w:r>
      <w:r>
        <w:rPr>
          <w:spacing w:val="-1"/>
          <w:sz w:val="16"/>
          <w:vertAlign w:val="baseline"/>
        </w:rPr>
        <w:t> </w:t>
      </w:r>
      <w:r>
        <w:rPr>
          <w:sz w:val="16"/>
          <w:vertAlign w:val="baseline"/>
        </w:rPr>
        <w:t>not</w:t>
      </w:r>
      <w:r>
        <w:rPr>
          <w:spacing w:val="-3"/>
          <w:sz w:val="16"/>
          <w:vertAlign w:val="baseline"/>
        </w:rPr>
        <w:t> </w:t>
      </w:r>
      <w:r>
        <w:rPr>
          <w:sz w:val="16"/>
          <w:vertAlign w:val="baseline"/>
        </w:rPr>
        <w:t>collected</w:t>
      </w:r>
      <w:r>
        <w:rPr>
          <w:spacing w:val="-2"/>
          <w:sz w:val="16"/>
          <w:vertAlign w:val="baseline"/>
        </w:rPr>
        <w:t> </w:t>
      </w:r>
      <w:r>
        <w:rPr>
          <w:sz w:val="16"/>
          <w:vertAlign w:val="baseline"/>
        </w:rPr>
        <w:t>in</w:t>
      </w:r>
      <w:r>
        <w:rPr>
          <w:spacing w:val="-3"/>
          <w:sz w:val="16"/>
          <w:vertAlign w:val="baseline"/>
        </w:rPr>
        <w:t> </w:t>
      </w:r>
      <w:r>
        <w:rPr>
          <w:sz w:val="16"/>
          <w:vertAlign w:val="baseline"/>
        </w:rPr>
        <w:t>the</w:t>
      </w:r>
      <w:r>
        <w:rPr>
          <w:spacing w:val="-3"/>
          <w:sz w:val="16"/>
          <w:vertAlign w:val="baseline"/>
        </w:rPr>
        <w:t> </w:t>
      </w:r>
      <w:r>
        <w:rPr>
          <w:sz w:val="16"/>
          <w:vertAlign w:val="baseline"/>
        </w:rPr>
        <w:t>survey,</w:t>
      </w:r>
      <w:r>
        <w:rPr>
          <w:spacing w:val="-3"/>
          <w:sz w:val="16"/>
          <w:vertAlign w:val="baseline"/>
        </w:rPr>
        <w:t> </w:t>
      </w:r>
      <w:r>
        <w:rPr>
          <w:sz w:val="16"/>
          <w:vertAlign w:val="baseline"/>
        </w:rPr>
        <w:t>nor</w:t>
      </w:r>
      <w:r>
        <w:rPr>
          <w:spacing w:val="-2"/>
          <w:sz w:val="16"/>
          <w:vertAlign w:val="baseline"/>
        </w:rPr>
        <w:t> </w:t>
      </w:r>
      <w:r>
        <w:rPr>
          <w:sz w:val="16"/>
          <w:vertAlign w:val="baseline"/>
        </w:rPr>
        <w:t>recorded</w:t>
      </w:r>
      <w:r>
        <w:rPr>
          <w:spacing w:val="-2"/>
          <w:sz w:val="16"/>
          <w:vertAlign w:val="baseline"/>
        </w:rPr>
        <w:t> </w:t>
      </w:r>
      <w:r>
        <w:rPr>
          <w:sz w:val="16"/>
          <w:vertAlign w:val="baseline"/>
        </w:rPr>
        <w:t>in</w:t>
      </w:r>
      <w:r>
        <w:rPr>
          <w:spacing w:val="-1"/>
          <w:sz w:val="16"/>
          <w:vertAlign w:val="baseline"/>
        </w:rPr>
        <w:t> </w:t>
      </w:r>
      <w:r>
        <w:rPr>
          <w:sz w:val="16"/>
          <w:vertAlign w:val="baseline"/>
        </w:rPr>
        <w:t>the</w:t>
      </w:r>
      <w:r>
        <w:rPr>
          <w:spacing w:val="-3"/>
          <w:sz w:val="16"/>
          <w:vertAlign w:val="baseline"/>
        </w:rPr>
        <w:t> </w:t>
      </w:r>
      <w:r>
        <w:rPr>
          <w:sz w:val="16"/>
          <w:vertAlign w:val="baseline"/>
        </w:rPr>
        <w:t>Acas management information used to sample the survey, so analysis cannot be conducted at this level.</w:t>
      </w:r>
    </w:p>
    <w:p>
      <w:pPr>
        <w:spacing w:line="276" w:lineRule="auto" w:before="1"/>
        <w:ind w:left="1337" w:right="1472" w:firstLine="0"/>
        <w:jc w:val="left"/>
        <w:rPr>
          <w:sz w:val="16"/>
        </w:rPr>
      </w:pPr>
      <w:r>
        <w:rPr>
          <w:sz w:val="16"/>
          <w:vertAlign w:val="superscript"/>
        </w:rPr>
        <w:t>9</w:t>
      </w:r>
      <w:r>
        <w:rPr>
          <w:spacing w:val="-3"/>
          <w:sz w:val="16"/>
          <w:vertAlign w:val="baseline"/>
        </w:rPr>
        <w:t> </w:t>
      </w:r>
      <w:r>
        <w:rPr>
          <w:sz w:val="16"/>
          <w:vertAlign w:val="baseline"/>
        </w:rPr>
        <w:t>EC</w:t>
      </w:r>
      <w:r>
        <w:rPr>
          <w:spacing w:val="-3"/>
          <w:sz w:val="16"/>
          <w:vertAlign w:val="baseline"/>
        </w:rPr>
        <w:t> </w:t>
      </w:r>
      <w:r>
        <w:rPr>
          <w:sz w:val="16"/>
          <w:vertAlign w:val="baseline"/>
        </w:rPr>
        <w:t>cases</w:t>
      </w:r>
      <w:r>
        <w:rPr>
          <w:spacing w:val="-4"/>
          <w:sz w:val="16"/>
          <w:vertAlign w:val="baseline"/>
        </w:rPr>
        <w:t> </w:t>
      </w:r>
      <w:r>
        <w:rPr>
          <w:sz w:val="16"/>
          <w:vertAlign w:val="baseline"/>
        </w:rPr>
        <w:t>that</w:t>
      </w:r>
      <w:r>
        <w:rPr>
          <w:spacing w:val="-3"/>
          <w:sz w:val="16"/>
          <w:vertAlign w:val="baseline"/>
        </w:rPr>
        <w:t> </w:t>
      </w:r>
      <w:r>
        <w:rPr>
          <w:sz w:val="16"/>
          <w:vertAlign w:val="baseline"/>
        </w:rPr>
        <w:t>were</w:t>
      </w:r>
      <w:r>
        <w:rPr>
          <w:spacing w:val="-4"/>
          <w:sz w:val="16"/>
          <w:vertAlign w:val="baseline"/>
        </w:rPr>
        <w:t> </w:t>
      </w:r>
      <w:r>
        <w:rPr>
          <w:sz w:val="16"/>
          <w:vertAlign w:val="baseline"/>
        </w:rPr>
        <w:t>recorded</w:t>
      </w:r>
      <w:r>
        <w:rPr>
          <w:spacing w:val="-2"/>
          <w:sz w:val="16"/>
          <w:vertAlign w:val="baseline"/>
        </w:rPr>
        <w:t> </w:t>
      </w:r>
      <w:r>
        <w:rPr>
          <w:sz w:val="16"/>
          <w:vertAlign w:val="baseline"/>
        </w:rPr>
        <w:t>on</w:t>
      </w:r>
      <w:r>
        <w:rPr>
          <w:spacing w:val="-4"/>
          <w:sz w:val="16"/>
          <w:vertAlign w:val="baseline"/>
        </w:rPr>
        <w:t> </w:t>
      </w:r>
      <w:r>
        <w:rPr>
          <w:sz w:val="16"/>
          <w:vertAlign w:val="baseline"/>
        </w:rPr>
        <w:t>Acas</w:t>
      </w:r>
      <w:r>
        <w:rPr>
          <w:spacing w:val="-2"/>
          <w:sz w:val="16"/>
          <w:vertAlign w:val="baseline"/>
        </w:rPr>
        <w:t> </w:t>
      </w:r>
      <w:r>
        <w:rPr>
          <w:sz w:val="16"/>
          <w:vertAlign w:val="baseline"/>
        </w:rPr>
        <w:t>management</w:t>
      </w:r>
      <w:r>
        <w:rPr>
          <w:spacing w:val="-4"/>
          <w:sz w:val="16"/>
          <w:vertAlign w:val="baseline"/>
        </w:rPr>
        <w:t> </w:t>
      </w:r>
      <w:r>
        <w:rPr>
          <w:sz w:val="16"/>
          <w:vertAlign w:val="baseline"/>
        </w:rPr>
        <w:t>information</w:t>
      </w:r>
      <w:r>
        <w:rPr>
          <w:spacing w:val="-2"/>
          <w:sz w:val="16"/>
          <w:vertAlign w:val="baseline"/>
        </w:rPr>
        <w:t> </w:t>
      </w:r>
      <w:r>
        <w:rPr>
          <w:sz w:val="16"/>
          <w:vertAlign w:val="baseline"/>
        </w:rPr>
        <w:t>systems</w:t>
      </w:r>
      <w:r>
        <w:rPr>
          <w:spacing w:val="-2"/>
          <w:sz w:val="16"/>
          <w:vertAlign w:val="baseline"/>
        </w:rPr>
        <w:t> </w:t>
      </w:r>
      <w:r>
        <w:rPr>
          <w:sz w:val="16"/>
          <w:vertAlign w:val="baseline"/>
        </w:rPr>
        <w:t>as</w:t>
      </w:r>
      <w:r>
        <w:rPr>
          <w:spacing w:val="-4"/>
          <w:sz w:val="16"/>
          <w:vertAlign w:val="baseline"/>
        </w:rPr>
        <w:t> </w:t>
      </w:r>
      <w:r>
        <w:rPr>
          <w:sz w:val="16"/>
          <w:vertAlign w:val="baseline"/>
        </w:rPr>
        <w:t>being</w:t>
      </w:r>
      <w:r>
        <w:rPr>
          <w:spacing w:val="-3"/>
          <w:sz w:val="16"/>
          <w:vertAlign w:val="baseline"/>
        </w:rPr>
        <w:t> </w:t>
      </w:r>
      <w:r>
        <w:rPr>
          <w:sz w:val="16"/>
          <w:vertAlign w:val="baseline"/>
        </w:rPr>
        <w:t>employer-initiated were excluded from the sample, in recognition of their low incidence and atypical character.</w:t>
      </w:r>
    </w:p>
    <w:p>
      <w:pPr>
        <w:spacing w:line="276" w:lineRule="auto" w:before="0"/>
        <w:ind w:left="1337" w:right="1472" w:firstLine="0"/>
        <w:jc w:val="left"/>
        <w:rPr>
          <w:sz w:val="16"/>
        </w:rPr>
      </w:pPr>
      <w:r>
        <w:rPr>
          <w:sz w:val="16"/>
          <w:vertAlign w:val="superscript"/>
        </w:rPr>
        <w:t>10</w:t>
      </w:r>
      <w:r>
        <w:rPr>
          <w:spacing w:val="-2"/>
          <w:sz w:val="16"/>
          <w:vertAlign w:val="baseline"/>
        </w:rPr>
        <w:t> </w:t>
      </w:r>
      <w:r>
        <w:rPr>
          <w:sz w:val="16"/>
          <w:vertAlign w:val="baseline"/>
        </w:rPr>
        <w:t>Acas’</w:t>
      </w:r>
      <w:r>
        <w:rPr>
          <w:spacing w:val="-2"/>
          <w:sz w:val="16"/>
          <w:vertAlign w:val="baseline"/>
        </w:rPr>
        <w:t> </w:t>
      </w:r>
      <w:r>
        <w:rPr>
          <w:sz w:val="16"/>
          <w:vertAlign w:val="baseline"/>
        </w:rPr>
        <w:t>Management</w:t>
      </w:r>
      <w:r>
        <w:rPr>
          <w:spacing w:val="-3"/>
          <w:sz w:val="16"/>
          <w:vertAlign w:val="baseline"/>
        </w:rPr>
        <w:t> </w:t>
      </w:r>
      <w:r>
        <w:rPr>
          <w:sz w:val="16"/>
          <w:vertAlign w:val="baseline"/>
        </w:rPr>
        <w:t>Information</w:t>
      </w:r>
      <w:r>
        <w:rPr>
          <w:spacing w:val="-3"/>
          <w:sz w:val="16"/>
          <w:vertAlign w:val="baseline"/>
        </w:rPr>
        <w:t> </w:t>
      </w:r>
      <w:r>
        <w:rPr>
          <w:sz w:val="16"/>
          <w:vertAlign w:val="baseline"/>
        </w:rPr>
        <w:t>reports</w:t>
      </w:r>
      <w:r>
        <w:rPr>
          <w:spacing w:val="-3"/>
          <w:sz w:val="16"/>
          <w:vertAlign w:val="baseline"/>
        </w:rPr>
        <w:t> </w:t>
      </w:r>
      <w:r>
        <w:rPr>
          <w:sz w:val="16"/>
          <w:vertAlign w:val="baseline"/>
        </w:rPr>
        <w:t>provide</w:t>
      </w:r>
      <w:r>
        <w:rPr>
          <w:spacing w:val="-3"/>
          <w:sz w:val="16"/>
          <w:vertAlign w:val="baseline"/>
        </w:rPr>
        <w:t> </w:t>
      </w:r>
      <w:r>
        <w:rPr>
          <w:sz w:val="16"/>
          <w:vertAlign w:val="baseline"/>
        </w:rPr>
        <w:t>the</w:t>
      </w:r>
      <w:r>
        <w:rPr>
          <w:spacing w:val="-3"/>
          <w:sz w:val="16"/>
          <w:vertAlign w:val="baseline"/>
        </w:rPr>
        <w:t> </w:t>
      </w:r>
      <w:r>
        <w:rPr>
          <w:sz w:val="16"/>
          <w:vertAlign w:val="baseline"/>
        </w:rPr>
        <w:t>definitive</w:t>
      </w:r>
      <w:r>
        <w:rPr>
          <w:spacing w:val="-3"/>
          <w:sz w:val="16"/>
          <w:vertAlign w:val="baseline"/>
        </w:rPr>
        <w:t> </w:t>
      </w:r>
      <w:r>
        <w:rPr>
          <w:sz w:val="16"/>
          <w:vertAlign w:val="baseline"/>
        </w:rPr>
        <w:t>figures</w:t>
      </w:r>
      <w:r>
        <w:rPr>
          <w:spacing w:val="-3"/>
          <w:sz w:val="16"/>
          <w:vertAlign w:val="baseline"/>
        </w:rPr>
        <w:t> </w:t>
      </w:r>
      <w:r>
        <w:rPr>
          <w:sz w:val="16"/>
          <w:vertAlign w:val="baseline"/>
        </w:rPr>
        <w:t>for</w:t>
      </w:r>
      <w:r>
        <w:rPr>
          <w:spacing w:val="-1"/>
          <w:sz w:val="16"/>
          <w:vertAlign w:val="baseline"/>
        </w:rPr>
        <w:t> </w:t>
      </w:r>
      <w:r>
        <w:rPr>
          <w:sz w:val="16"/>
          <w:vertAlign w:val="baseline"/>
        </w:rPr>
        <w:t>EC</w:t>
      </w:r>
      <w:r>
        <w:rPr>
          <w:spacing w:val="-2"/>
          <w:sz w:val="16"/>
          <w:vertAlign w:val="baseline"/>
        </w:rPr>
        <w:t> </w:t>
      </w:r>
      <w:r>
        <w:rPr>
          <w:sz w:val="16"/>
          <w:vertAlign w:val="baseline"/>
        </w:rPr>
        <w:t>take</w:t>
      </w:r>
      <w:r>
        <w:rPr>
          <w:spacing w:val="-3"/>
          <w:sz w:val="16"/>
          <w:vertAlign w:val="baseline"/>
        </w:rPr>
        <w:t> </w:t>
      </w:r>
      <w:r>
        <w:rPr>
          <w:sz w:val="16"/>
          <w:vertAlign w:val="baseline"/>
        </w:rPr>
        <w:t>up:</w:t>
      </w:r>
      <w:r>
        <w:rPr>
          <w:spacing w:val="-3"/>
          <w:sz w:val="16"/>
          <w:vertAlign w:val="baseline"/>
        </w:rPr>
        <w:t> </w:t>
      </w:r>
      <w:r>
        <w:rPr>
          <w:sz w:val="16"/>
          <w:vertAlign w:val="baseline"/>
        </w:rPr>
        <w:t>deviation</w:t>
      </w:r>
      <w:r>
        <w:rPr>
          <w:spacing w:val="-3"/>
          <w:sz w:val="16"/>
          <w:vertAlign w:val="baseline"/>
        </w:rPr>
        <w:t> </w:t>
      </w:r>
      <w:r>
        <w:rPr>
          <w:sz w:val="16"/>
          <w:vertAlign w:val="baseline"/>
        </w:rPr>
        <w:t>from this in the survey is likely due to claimants who accepted and then withdrew from EC and, in responding to the survey, perceived that their limited engagement with the process constituted non- use/ ‘rejection’.</w:t>
      </w:r>
    </w:p>
    <w:p>
      <w:pPr>
        <w:spacing w:line="276" w:lineRule="auto" w:before="159"/>
        <w:ind w:left="1337" w:right="1513" w:firstLine="0"/>
        <w:jc w:val="both"/>
        <w:rPr>
          <w:sz w:val="16"/>
        </w:rPr>
      </w:pPr>
      <w:r>
        <w:rPr>
          <w:sz w:val="16"/>
          <w:vertAlign w:val="superscript"/>
        </w:rPr>
        <w:t>11</w:t>
      </w:r>
      <w:r>
        <w:rPr>
          <w:sz w:val="16"/>
          <w:vertAlign w:val="baseline"/>
        </w:rPr>
        <w:t> At the point of fieldwork, Acas had not begun its team-based conciliation pilots, meaning that those with</w:t>
      </w:r>
      <w:r>
        <w:rPr>
          <w:spacing w:val="-2"/>
          <w:sz w:val="16"/>
          <w:vertAlign w:val="baseline"/>
        </w:rPr>
        <w:t> </w:t>
      </w:r>
      <w:r>
        <w:rPr>
          <w:sz w:val="16"/>
          <w:vertAlign w:val="baseline"/>
        </w:rPr>
        <w:t>multiple conciliators</w:t>
      </w:r>
      <w:r>
        <w:rPr>
          <w:spacing w:val="-2"/>
          <w:sz w:val="16"/>
          <w:vertAlign w:val="baseline"/>
        </w:rPr>
        <w:t> </w:t>
      </w:r>
      <w:r>
        <w:rPr>
          <w:sz w:val="16"/>
          <w:vertAlign w:val="baseline"/>
        </w:rPr>
        <w:t>were</w:t>
      </w:r>
      <w:r>
        <w:rPr>
          <w:spacing w:val="-2"/>
          <w:sz w:val="16"/>
          <w:vertAlign w:val="baseline"/>
        </w:rPr>
        <w:t> </w:t>
      </w:r>
      <w:r>
        <w:rPr>
          <w:sz w:val="16"/>
          <w:vertAlign w:val="baseline"/>
        </w:rPr>
        <w:t>likely</w:t>
      </w:r>
      <w:r>
        <w:rPr>
          <w:spacing w:val="-1"/>
          <w:sz w:val="16"/>
          <w:vertAlign w:val="baseline"/>
        </w:rPr>
        <w:t> </w:t>
      </w:r>
      <w:r>
        <w:rPr>
          <w:sz w:val="16"/>
          <w:vertAlign w:val="baseline"/>
        </w:rPr>
        <w:t>due</w:t>
      </w:r>
      <w:r>
        <w:rPr>
          <w:spacing w:val="-2"/>
          <w:sz w:val="16"/>
          <w:vertAlign w:val="baseline"/>
        </w:rPr>
        <w:t> </w:t>
      </w:r>
      <w:r>
        <w:rPr>
          <w:sz w:val="16"/>
          <w:vertAlign w:val="baseline"/>
        </w:rPr>
        <w:t>to circumstances such</w:t>
      </w:r>
      <w:r>
        <w:rPr>
          <w:spacing w:val="-2"/>
          <w:sz w:val="16"/>
          <w:vertAlign w:val="baseline"/>
        </w:rPr>
        <w:t> </w:t>
      </w:r>
      <w:r>
        <w:rPr>
          <w:sz w:val="16"/>
          <w:vertAlign w:val="baseline"/>
        </w:rPr>
        <w:t>as</w:t>
      </w:r>
      <w:r>
        <w:rPr>
          <w:spacing w:val="-2"/>
          <w:sz w:val="16"/>
          <w:vertAlign w:val="baseline"/>
        </w:rPr>
        <w:t> </w:t>
      </w:r>
      <w:r>
        <w:rPr>
          <w:sz w:val="16"/>
          <w:vertAlign w:val="baseline"/>
        </w:rPr>
        <w:t>cover</w:t>
      </w:r>
      <w:r>
        <w:rPr>
          <w:spacing w:val="-1"/>
          <w:sz w:val="16"/>
          <w:vertAlign w:val="baseline"/>
        </w:rPr>
        <w:t> </w:t>
      </w:r>
      <w:r>
        <w:rPr>
          <w:sz w:val="16"/>
          <w:vertAlign w:val="baseline"/>
        </w:rPr>
        <w:t>for</w:t>
      </w:r>
      <w:r>
        <w:rPr>
          <w:spacing w:val="-1"/>
          <w:sz w:val="16"/>
          <w:vertAlign w:val="baseline"/>
        </w:rPr>
        <w:t> </w:t>
      </w:r>
      <w:r>
        <w:rPr>
          <w:sz w:val="16"/>
          <w:vertAlign w:val="baseline"/>
        </w:rPr>
        <w:t>staff</w:t>
      </w:r>
      <w:r>
        <w:rPr>
          <w:spacing w:val="-1"/>
          <w:sz w:val="16"/>
          <w:vertAlign w:val="baseline"/>
        </w:rPr>
        <w:t> </w:t>
      </w:r>
      <w:r>
        <w:rPr>
          <w:sz w:val="16"/>
          <w:vertAlign w:val="baseline"/>
        </w:rPr>
        <w:t>absence.</w:t>
      </w:r>
      <w:r>
        <w:rPr>
          <w:spacing w:val="-2"/>
          <w:sz w:val="16"/>
          <w:vertAlign w:val="baseline"/>
        </w:rPr>
        <w:t> </w:t>
      </w:r>
      <w:r>
        <w:rPr>
          <w:sz w:val="16"/>
          <w:vertAlign w:val="baseline"/>
        </w:rPr>
        <w:t>The</w:t>
      </w:r>
      <w:r>
        <w:rPr>
          <w:spacing w:val="-2"/>
          <w:sz w:val="16"/>
          <w:vertAlign w:val="baseline"/>
        </w:rPr>
        <w:t> </w:t>
      </w:r>
      <w:r>
        <w:rPr>
          <w:sz w:val="16"/>
          <w:vertAlign w:val="baseline"/>
        </w:rPr>
        <w:t>survey wording</w:t>
      </w:r>
      <w:r>
        <w:rPr>
          <w:spacing w:val="-2"/>
          <w:sz w:val="16"/>
          <w:vertAlign w:val="baseline"/>
        </w:rPr>
        <w:t> </w:t>
      </w:r>
      <w:r>
        <w:rPr>
          <w:sz w:val="16"/>
          <w:vertAlign w:val="baseline"/>
        </w:rPr>
        <w:t>for</w:t>
      </w:r>
      <w:r>
        <w:rPr>
          <w:spacing w:val="-2"/>
          <w:sz w:val="16"/>
          <w:vertAlign w:val="baseline"/>
        </w:rPr>
        <w:t> </w:t>
      </w:r>
      <w:r>
        <w:rPr>
          <w:sz w:val="16"/>
          <w:vertAlign w:val="baseline"/>
        </w:rPr>
        <w:t>this</w:t>
      </w:r>
      <w:r>
        <w:rPr>
          <w:spacing w:val="-3"/>
          <w:sz w:val="16"/>
          <w:vertAlign w:val="baseline"/>
        </w:rPr>
        <w:t> </w:t>
      </w:r>
      <w:r>
        <w:rPr>
          <w:sz w:val="16"/>
          <w:vertAlign w:val="baseline"/>
        </w:rPr>
        <w:t>section</w:t>
      </w:r>
      <w:r>
        <w:rPr>
          <w:spacing w:val="-3"/>
          <w:sz w:val="16"/>
          <w:vertAlign w:val="baseline"/>
        </w:rPr>
        <w:t> </w:t>
      </w:r>
      <w:r>
        <w:rPr>
          <w:sz w:val="16"/>
          <w:vertAlign w:val="baseline"/>
        </w:rPr>
        <w:t>was</w:t>
      </w:r>
      <w:r>
        <w:rPr>
          <w:spacing w:val="-3"/>
          <w:sz w:val="16"/>
          <w:vertAlign w:val="baseline"/>
        </w:rPr>
        <w:t> </w:t>
      </w:r>
      <w:r>
        <w:rPr>
          <w:sz w:val="16"/>
          <w:vertAlign w:val="baseline"/>
        </w:rPr>
        <w:t>amended</w:t>
      </w:r>
      <w:r>
        <w:rPr>
          <w:spacing w:val="-2"/>
          <w:sz w:val="16"/>
          <w:vertAlign w:val="baseline"/>
        </w:rPr>
        <w:t> </w:t>
      </w:r>
      <w:r>
        <w:rPr>
          <w:sz w:val="16"/>
          <w:vertAlign w:val="baseline"/>
        </w:rPr>
        <w:t>for</w:t>
      </w:r>
      <w:r>
        <w:rPr>
          <w:spacing w:val="-2"/>
          <w:sz w:val="16"/>
          <w:vertAlign w:val="baseline"/>
        </w:rPr>
        <w:t> </w:t>
      </w:r>
      <w:r>
        <w:rPr>
          <w:sz w:val="16"/>
          <w:vertAlign w:val="baseline"/>
        </w:rPr>
        <w:t>those</w:t>
      </w:r>
      <w:r>
        <w:rPr>
          <w:spacing w:val="-3"/>
          <w:sz w:val="16"/>
          <w:vertAlign w:val="baseline"/>
        </w:rPr>
        <w:t> </w:t>
      </w:r>
      <w:r>
        <w:rPr>
          <w:sz w:val="16"/>
          <w:vertAlign w:val="baseline"/>
        </w:rPr>
        <w:t>with</w:t>
      </w:r>
      <w:r>
        <w:rPr>
          <w:spacing w:val="-1"/>
          <w:sz w:val="16"/>
          <w:vertAlign w:val="baseline"/>
        </w:rPr>
        <w:t> </w:t>
      </w:r>
      <w:r>
        <w:rPr>
          <w:sz w:val="16"/>
          <w:vertAlign w:val="baseline"/>
        </w:rPr>
        <w:t>multiple</w:t>
      </w:r>
      <w:r>
        <w:rPr>
          <w:spacing w:val="-3"/>
          <w:sz w:val="16"/>
          <w:vertAlign w:val="baseline"/>
        </w:rPr>
        <w:t> </w:t>
      </w:r>
      <w:r>
        <w:rPr>
          <w:sz w:val="16"/>
          <w:vertAlign w:val="baseline"/>
        </w:rPr>
        <w:t>conciliators</w:t>
      </w:r>
      <w:r>
        <w:rPr>
          <w:spacing w:val="-2"/>
          <w:sz w:val="16"/>
          <w:vertAlign w:val="baseline"/>
        </w:rPr>
        <w:t> </w:t>
      </w:r>
      <w:r>
        <w:rPr>
          <w:sz w:val="16"/>
          <w:vertAlign w:val="baseline"/>
        </w:rPr>
        <w:t>to</w:t>
      </w:r>
      <w:r>
        <w:rPr>
          <w:spacing w:val="-2"/>
          <w:sz w:val="16"/>
          <w:vertAlign w:val="baseline"/>
        </w:rPr>
        <w:t> </w:t>
      </w:r>
      <w:r>
        <w:rPr>
          <w:sz w:val="16"/>
          <w:vertAlign w:val="baseline"/>
        </w:rPr>
        <w:t>ask</w:t>
      </w:r>
      <w:r>
        <w:rPr>
          <w:spacing w:val="-2"/>
          <w:sz w:val="16"/>
          <w:vertAlign w:val="baseline"/>
        </w:rPr>
        <w:t> </w:t>
      </w:r>
      <w:r>
        <w:rPr>
          <w:sz w:val="16"/>
          <w:vertAlign w:val="baseline"/>
        </w:rPr>
        <w:t>about</w:t>
      </w:r>
      <w:r>
        <w:rPr>
          <w:spacing w:val="-2"/>
          <w:sz w:val="16"/>
          <w:vertAlign w:val="baseline"/>
        </w:rPr>
        <w:t> </w:t>
      </w:r>
      <w:r>
        <w:rPr>
          <w:sz w:val="16"/>
          <w:vertAlign w:val="baseline"/>
        </w:rPr>
        <w:t>experience</w:t>
      </w:r>
      <w:r>
        <w:rPr>
          <w:spacing w:val="-3"/>
          <w:sz w:val="16"/>
          <w:vertAlign w:val="baseline"/>
        </w:rPr>
        <w:t> </w:t>
      </w:r>
      <w:r>
        <w:rPr>
          <w:sz w:val="16"/>
          <w:vertAlign w:val="baseline"/>
        </w:rPr>
        <w:t>with “conciliators” rather than “the conciliator”</w:t>
      </w:r>
    </w:p>
    <w:p>
      <w:pPr>
        <w:spacing w:line="276" w:lineRule="auto" w:before="0"/>
        <w:ind w:left="1337" w:right="1472" w:firstLine="0"/>
        <w:jc w:val="left"/>
        <w:rPr>
          <w:sz w:val="16"/>
        </w:rPr>
      </w:pPr>
      <w:r>
        <w:rPr>
          <w:sz w:val="16"/>
          <w:vertAlign w:val="superscript"/>
        </w:rPr>
        <w:t>12</w:t>
      </w:r>
      <w:r>
        <w:rPr>
          <w:spacing w:val="-2"/>
          <w:sz w:val="16"/>
          <w:vertAlign w:val="baseline"/>
        </w:rPr>
        <w:t> </w:t>
      </w:r>
      <w:r>
        <w:rPr>
          <w:sz w:val="16"/>
          <w:vertAlign w:val="baseline"/>
        </w:rPr>
        <w:t>It</w:t>
      </w:r>
      <w:r>
        <w:rPr>
          <w:spacing w:val="-3"/>
          <w:sz w:val="16"/>
          <w:vertAlign w:val="baseline"/>
        </w:rPr>
        <w:t> </w:t>
      </w:r>
      <w:r>
        <w:rPr>
          <w:sz w:val="16"/>
          <w:vertAlign w:val="baseline"/>
        </w:rPr>
        <w:t>should</w:t>
      </w:r>
      <w:r>
        <w:rPr>
          <w:spacing w:val="-2"/>
          <w:sz w:val="16"/>
          <w:vertAlign w:val="baseline"/>
        </w:rPr>
        <w:t> </w:t>
      </w:r>
      <w:r>
        <w:rPr>
          <w:sz w:val="16"/>
          <w:vertAlign w:val="baseline"/>
        </w:rPr>
        <w:t>be</w:t>
      </w:r>
      <w:r>
        <w:rPr>
          <w:spacing w:val="-3"/>
          <w:sz w:val="16"/>
          <w:vertAlign w:val="baseline"/>
        </w:rPr>
        <w:t> </w:t>
      </w:r>
      <w:r>
        <w:rPr>
          <w:sz w:val="16"/>
          <w:vertAlign w:val="baseline"/>
        </w:rPr>
        <w:t>noted</w:t>
      </w:r>
      <w:r>
        <w:rPr>
          <w:spacing w:val="-2"/>
          <w:sz w:val="16"/>
          <w:vertAlign w:val="baseline"/>
        </w:rPr>
        <w:t> </w:t>
      </w:r>
      <w:r>
        <w:rPr>
          <w:sz w:val="16"/>
          <w:vertAlign w:val="baseline"/>
        </w:rPr>
        <w:t>that</w:t>
      </w:r>
      <w:r>
        <w:rPr>
          <w:spacing w:val="-2"/>
          <w:sz w:val="16"/>
          <w:vertAlign w:val="baseline"/>
        </w:rPr>
        <w:t> </w:t>
      </w:r>
      <w:r>
        <w:rPr>
          <w:sz w:val="16"/>
          <w:vertAlign w:val="baseline"/>
        </w:rPr>
        <w:t>some</w:t>
      </w:r>
      <w:r>
        <w:rPr>
          <w:spacing w:val="-1"/>
          <w:sz w:val="16"/>
          <w:vertAlign w:val="baseline"/>
        </w:rPr>
        <w:t> </w:t>
      </w:r>
      <w:r>
        <w:rPr>
          <w:sz w:val="16"/>
          <w:vertAlign w:val="baseline"/>
        </w:rPr>
        <w:t>participants</w:t>
      </w:r>
      <w:r>
        <w:rPr>
          <w:spacing w:val="-3"/>
          <w:sz w:val="16"/>
          <w:vertAlign w:val="baseline"/>
        </w:rPr>
        <w:t> </w:t>
      </w:r>
      <w:r>
        <w:rPr>
          <w:sz w:val="16"/>
          <w:vertAlign w:val="baseline"/>
        </w:rPr>
        <w:t>might</w:t>
      </w:r>
      <w:r>
        <w:rPr>
          <w:spacing w:val="-3"/>
          <w:sz w:val="16"/>
          <w:vertAlign w:val="baseline"/>
        </w:rPr>
        <w:t> </w:t>
      </w:r>
      <w:r>
        <w:rPr>
          <w:sz w:val="16"/>
          <w:vertAlign w:val="baseline"/>
        </w:rPr>
        <w:t>count</w:t>
      </w:r>
      <w:r>
        <w:rPr>
          <w:spacing w:val="-2"/>
          <w:sz w:val="16"/>
          <w:vertAlign w:val="baseline"/>
        </w:rPr>
        <w:t> </w:t>
      </w:r>
      <w:r>
        <w:rPr>
          <w:sz w:val="16"/>
          <w:vertAlign w:val="baseline"/>
        </w:rPr>
        <w:t>the</w:t>
      </w:r>
      <w:r>
        <w:rPr>
          <w:spacing w:val="-1"/>
          <w:sz w:val="16"/>
          <w:vertAlign w:val="baseline"/>
        </w:rPr>
        <w:t> </w:t>
      </w:r>
      <w:r>
        <w:rPr>
          <w:sz w:val="16"/>
          <w:vertAlign w:val="baseline"/>
        </w:rPr>
        <w:t>ECSO</w:t>
      </w:r>
      <w:r>
        <w:rPr>
          <w:spacing w:val="-2"/>
          <w:sz w:val="16"/>
          <w:vertAlign w:val="baseline"/>
        </w:rPr>
        <w:t> </w:t>
      </w:r>
      <w:r>
        <w:rPr>
          <w:sz w:val="16"/>
          <w:vertAlign w:val="baseline"/>
        </w:rPr>
        <w:t>as</w:t>
      </w:r>
      <w:r>
        <w:rPr>
          <w:spacing w:val="-3"/>
          <w:sz w:val="16"/>
          <w:vertAlign w:val="baseline"/>
        </w:rPr>
        <w:t> </w:t>
      </w:r>
      <w:r>
        <w:rPr>
          <w:sz w:val="16"/>
          <w:vertAlign w:val="baseline"/>
        </w:rPr>
        <w:t>a</w:t>
      </w:r>
      <w:r>
        <w:rPr>
          <w:spacing w:val="-2"/>
          <w:sz w:val="16"/>
          <w:vertAlign w:val="baseline"/>
        </w:rPr>
        <w:t> </w:t>
      </w:r>
      <w:r>
        <w:rPr>
          <w:sz w:val="16"/>
          <w:vertAlign w:val="baseline"/>
        </w:rPr>
        <w:t>conciliator,</w:t>
      </w:r>
      <w:r>
        <w:rPr>
          <w:spacing w:val="-2"/>
          <w:sz w:val="16"/>
          <w:vertAlign w:val="baseline"/>
        </w:rPr>
        <w:t> </w:t>
      </w:r>
      <w:r>
        <w:rPr>
          <w:sz w:val="16"/>
          <w:vertAlign w:val="baseline"/>
        </w:rPr>
        <w:t>meaning</w:t>
      </w:r>
      <w:r>
        <w:rPr>
          <w:spacing w:val="-2"/>
          <w:sz w:val="16"/>
          <w:vertAlign w:val="baseline"/>
        </w:rPr>
        <w:t> </w:t>
      </w:r>
      <w:r>
        <w:rPr>
          <w:sz w:val="16"/>
          <w:vertAlign w:val="baseline"/>
        </w:rPr>
        <w:t>that</w:t>
      </w:r>
      <w:r>
        <w:rPr>
          <w:spacing w:val="-3"/>
          <w:sz w:val="16"/>
          <w:vertAlign w:val="baseline"/>
        </w:rPr>
        <w:t> </w:t>
      </w:r>
      <w:r>
        <w:rPr>
          <w:sz w:val="16"/>
          <w:vertAlign w:val="baseline"/>
        </w:rPr>
        <w:t>this may be an overestimate of the proportion who spoke to multiple conciliators.</w:t>
      </w:r>
    </w:p>
    <w:p>
      <w:pPr>
        <w:spacing w:line="276" w:lineRule="auto" w:before="0"/>
        <w:ind w:left="1337" w:right="1472" w:firstLine="0"/>
        <w:jc w:val="left"/>
        <w:rPr>
          <w:sz w:val="16"/>
        </w:rPr>
      </w:pPr>
      <w:r>
        <w:rPr>
          <w:sz w:val="16"/>
          <w:vertAlign w:val="superscript"/>
        </w:rPr>
        <w:t>13</w:t>
      </w:r>
      <w:r>
        <w:rPr>
          <w:sz w:val="16"/>
          <w:vertAlign w:val="baseline"/>
        </w:rPr>
        <w:t> It should be noted here that reps are more likely to use written communication than claimants or employers</w:t>
      </w:r>
      <w:r>
        <w:rPr>
          <w:spacing w:val="-3"/>
          <w:sz w:val="16"/>
          <w:vertAlign w:val="baseline"/>
        </w:rPr>
        <w:t> </w:t>
      </w:r>
      <w:r>
        <w:rPr>
          <w:sz w:val="16"/>
          <w:vertAlign w:val="baseline"/>
        </w:rPr>
        <w:t>are</w:t>
      </w:r>
      <w:r>
        <w:rPr>
          <w:spacing w:val="-1"/>
          <w:sz w:val="16"/>
          <w:vertAlign w:val="baseline"/>
        </w:rPr>
        <w:t> </w:t>
      </w:r>
      <w:r>
        <w:rPr>
          <w:sz w:val="16"/>
          <w:vertAlign w:val="baseline"/>
        </w:rPr>
        <w:t>therefore</w:t>
      </w:r>
      <w:r>
        <w:rPr>
          <w:spacing w:val="-3"/>
          <w:sz w:val="16"/>
          <w:vertAlign w:val="baseline"/>
        </w:rPr>
        <w:t> </w:t>
      </w:r>
      <w:r>
        <w:rPr>
          <w:sz w:val="16"/>
          <w:vertAlign w:val="baseline"/>
        </w:rPr>
        <w:t>the</w:t>
      </w:r>
      <w:r>
        <w:rPr>
          <w:spacing w:val="-3"/>
          <w:sz w:val="16"/>
          <w:vertAlign w:val="baseline"/>
        </w:rPr>
        <w:t> </w:t>
      </w:r>
      <w:r>
        <w:rPr>
          <w:sz w:val="16"/>
          <w:vertAlign w:val="baseline"/>
        </w:rPr>
        <w:t>increase</w:t>
      </w:r>
      <w:r>
        <w:rPr>
          <w:spacing w:val="-1"/>
          <w:sz w:val="16"/>
          <w:vertAlign w:val="baseline"/>
        </w:rPr>
        <w:t> </w:t>
      </w:r>
      <w:r>
        <w:rPr>
          <w:sz w:val="16"/>
          <w:vertAlign w:val="baseline"/>
        </w:rPr>
        <w:t>in</w:t>
      </w:r>
      <w:r>
        <w:rPr>
          <w:spacing w:val="-3"/>
          <w:sz w:val="16"/>
          <w:vertAlign w:val="baseline"/>
        </w:rPr>
        <w:t> </w:t>
      </w:r>
      <w:r>
        <w:rPr>
          <w:sz w:val="16"/>
          <w:vertAlign w:val="baseline"/>
        </w:rPr>
        <w:t>the</w:t>
      </w:r>
      <w:r>
        <w:rPr>
          <w:spacing w:val="-1"/>
          <w:sz w:val="16"/>
          <w:vertAlign w:val="baseline"/>
        </w:rPr>
        <w:t> </w:t>
      </w:r>
      <w:r>
        <w:rPr>
          <w:sz w:val="16"/>
          <w:vertAlign w:val="baseline"/>
        </w:rPr>
        <w:t>proportion</w:t>
      </w:r>
      <w:r>
        <w:rPr>
          <w:spacing w:val="-3"/>
          <w:sz w:val="16"/>
          <w:vertAlign w:val="baseline"/>
        </w:rPr>
        <w:t> </w:t>
      </w:r>
      <w:r>
        <w:rPr>
          <w:sz w:val="16"/>
          <w:vertAlign w:val="baseline"/>
        </w:rPr>
        <w:t>of</w:t>
      </w:r>
      <w:r>
        <w:rPr>
          <w:spacing w:val="-2"/>
          <w:sz w:val="16"/>
          <w:vertAlign w:val="baseline"/>
        </w:rPr>
        <w:t> </w:t>
      </w:r>
      <w:r>
        <w:rPr>
          <w:sz w:val="16"/>
          <w:vertAlign w:val="baseline"/>
        </w:rPr>
        <w:t>reps</w:t>
      </w:r>
      <w:r>
        <w:rPr>
          <w:spacing w:val="-3"/>
          <w:sz w:val="16"/>
          <w:vertAlign w:val="baseline"/>
        </w:rPr>
        <w:t> </w:t>
      </w:r>
      <w:r>
        <w:rPr>
          <w:sz w:val="16"/>
          <w:vertAlign w:val="baseline"/>
        </w:rPr>
        <w:t>in</w:t>
      </w:r>
      <w:r>
        <w:rPr>
          <w:spacing w:val="-3"/>
          <w:sz w:val="16"/>
          <w:vertAlign w:val="baseline"/>
        </w:rPr>
        <w:t> </w:t>
      </w:r>
      <w:r>
        <w:rPr>
          <w:sz w:val="16"/>
          <w:vertAlign w:val="baseline"/>
        </w:rPr>
        <w:t>the</w:t>
      </w:r>
      <w:r>
        <w:rPr>
          <w:spacing w:val="-3"/>
          <w:sz w:val="16"/>
          <w:vertAlign w:val="baseline"/>
        </w:rPr>
        <w:t> </w:t>
      </w:r>
      <w:r>
        <w:rPr>
          <w:sz w:val="16"/>
          <w:vertAlign w:val="baseline"/>
        </w:rPr>
        <w:t>sample</w:t>
      </w:r>
      <w:r>
        <w:rPr>
          <w:spacing w:val="-3"/>
          <w:sz w:val="16"/>
          <w:vertAlign w:val="baseline"/>
        </w:rPr>
        <w:t> </w:t>
      </w:r>
      <w:r>
        <w:rPr>
          <w:sz w:val="16"/>
          <w:vertAlign w:val="baseline"/>
        </w:rPr>
        <w:t>this</w:t>
      </w:r>
      <w:r>
        <w:rPr>
          <w:spacing w:val="-3"/>
          <w:sz w:val="16"/>
          <w:vertAlign w:val="baseline"/>
        </w:rPr>
        <w:t> </w:t>
      </w:r>
      <w:r>
        <w:rPr>
          <w:sz w:val="16"/>
          <w:vertAlign w:val="baseline"/>
        </w:rPr>
        <w:t>year</w:t>
      </w:r>
      <w:r>
        <w:rPr>
          <w:spacing w:val="-1"/>
          <w:sz w:val="16"/>
          <w:vertAlign w:val="baseline"/>
        </w:rPr>
        <w:t> </w:t>
      </w:r>
      <w:r>
        <w:rPr>
          <w:sz w:val="16"/>
          <w:vertAlign w:val="baseline"/>
        </w:rPr>
        <w:t>may</w:t>
      </w:r>
      <w:r>
        <w:rPr>
          <w:spacing w:val="-2"/>
          <w:sz w:val="16"/>
          <w:vertAlign w:val="baseline"/>
        </w:rPr>
        <w:t> </w:t>
      </w:r>
      <w:r>
        <w:rPr>
          <w:sz w:val="16"/>
          <w:vertAlign w:val="baseline"/>
        </w:rPr>
        <w:t>be</w:t>
      </w:r>
      <w:r>
        <w:rPr>
          <w:spacing w:val="-3"/>
          <w:sz w:val="16"/>
          <w:vertAlign w:val="baseline"/>
        </w:rPr>
        <w:t> </w:t>
      </w:r>
      <w:r>
        <w:rPr>
          <w:sz w:val="16"/>
          <w:vertAlign w:val="baseline"/>
        </w:rPr>
        <w:t>a</w:t>
      </w:r>
      <w:r>
        <w:rPr>
          <w:spacing w:val="-2"/>
          <w:sz w:val="16"/>
          <w:vertAlign w:val="baseline"/>
        </w:rPr>
        <w:t> </w:t>
      </w:r>
      <w:r>
        <w:rPr>
          <w:sz w:val="16"/>
          <w:vertAlign w:val="baseline"/>
        </w:rPr>
        <w:t>factor in this increase. See Introduction for more information on sample composition comparisons between 2015 and 2019.</w:t>
      </w:r>
    </w:p>
    <w:p>
      <w:pPr>
        <w:spacing w:line="276" w:lineRule="auto" w:before="1"/>
        <w:ind w:left="1337" w:right="1472" w:firstLine="0"/>
        <w:jc w:val="left"/>
        <w:rPr>
          <w:sz w:val="16"/>
        </w:rPr>
      </w:pPr>
      <w:r>
        <w:rPr>
          <w:sz w:val="16"/>
          <w:vertAlign w:val="superscript"/>
        </w:rPr>
        <w:t>14</w:t>
      </w:r>
      <w:r>
        <w:rPr>
          <w:spacing w:val="-3"/>
          <w:sz w:val="16"/>
          <w:vertAlign w:val="baseline"/>
        </w:rPr>
        <w:t> </w:t>
      </w:r>
      <w:r>
        <w:rPr>
          <w:sz w:val="16"/>
          <w:vertAlign w:val="baseline"/>
        </w:rPr>
        <w:t>Note</w:t>
      </w:r>
      <w:r>
        <w:rPr>
          <w:spacing w:val="-2"/>
          <w:sz w:val="16"/>
          <w:vertAlign w:val="baseline"/>
        </w:rPr>
        <w:t> </w:t>
      </w:r>
      <w:r>
        <w:rPr>
          <w:sz w:val="16"/>
          <w:vertAlign w:val="baseline"/>
        </w:rPr>
        <w:t>that</w:t>
      </w:r>
      <w:r>
        <w:rPr>
          <w:spacing w:val="-4"/>
          <w:sz w:val="16"/>
          <w:vertAlign w:val="baseline"/>
        </w:rPr>
        <w:t> </w:t>
      </w:r>
      <w:r>
        <w:rPr>
          <w:sz w:val="16"/>
          <w:vertAlign w:val="baseline"/>
        </w:rPr>
        <w:t>some</w:t>
      </w:r>
      <w:r>
        <w:rPr>
          <w:spacing w:val="-4"/>
          <w:sz w:val="16"/>
          <w:vertAlign w:val="baseline"/>
        </w:rPr>
        <w:t> </w:t>
      </w:r>
      <w:r>
        <w:rPr>
          <w:sz w:val="16"/>
          <w:vertAlign w:val="baseline"/>
        </w:rPr>
        <w:t>participants</w:t>
      </w:r>
      <w:r>
        <w:rPr>
          <w:spacing w:val="-2"/>
          <w:sz w:val="16"/>
          <w:vertAlign w:val="baseline"/>
        </w:rPr>
        <w:t> </w:t>
      </w:r>
      <w:r>
        <w:rPr>
          <w:sz w:val="16"/>
          <w:vertAlign w:val="baseline"/>
        </w:rPr>
        <w:t>may</w:t>
      </w:r>
      <w:r>
        <w:rPr>
          <w:spacing w:val="-3"/>
          <w:sz w:val="16"/>
          <w:vertAlign w:val="baseline"/>
        </w:rPr>
        <w:t> </w:t>
      </w:r>
      <w:r>
        <w:rPr>
          <w:sz w:val="16"/>
          <w:vertAlign w:val="baseline"/>
        </w:rPr>
        <w:t>be</w:t>
      </w:r>
      <w:r>
        <w:rPr>
          <w:spacing w:val="-4"/>
          <w:sz w:val="16"/>
          <w:vertAlign w:val="baseline"/>
        </w:rPr>
        <w:t> </w:t>
      </w:r>
      <w:r>
        <w:rPr>
          <w:sz w:val="16"/>
          <w:vertAlign w:val="baseline"/>
        </w:rPr>
        <w:t>counting</w:t>
      </w:r>
      <w:r>
        <w:rPr>
          <w:spacing w:val="-3"/>
          <w:sz w:val="16"/>
          <w:vertAlign w:val="baseline"/>
        </w:rPr>
        <w:t> </w:t>
      </w:r>
      <w:r>
        <w:rPr>
          <w:sz w:val="16"/>
          <w:vertAlign w:val="baseline"/>
        </w:rPr>
        <w:t>COT3</w:t>
      </w:r>
      <w:r>
        <w:rPr>
          <w:spacing w:val="-3"/>
          <w:sz w:val="16"/>
          <w:vertAlign w:val="baseline"/>
        </w:rPr>
        <w:t> </w:t>
      </w:r>
      <w:r>
        <w:rPr>
          <w:sz w:val="16"/>
          <w:vertAlign w:val="baseline"/>
        </w:rPr>
        <w:t>settlement</w:t>
      </w:r>
      <w:r>
        <w:rPr>
          <w:spacing w:val="-4"/>
          <w:sz w:val="16"/>
          <w:vertAlign w:val="baseline"/>
        </w:rPr>
        <w:t> </w:t>
      </w:r>
      <w:r>
        <w:rPr>
          <w:sz w:val="16"/>
          <w:vertAlign w:val="baseline"/>
        </w:rPr>
        <w:t>letters</w:t>
      </w:r>
      <w:r>
        <w:rPr>
          <w:spacing w:val="-4"/>
          <w:sz w:val="16"/>
          <w:vertAlign w:val="baseline"/>
        </w:rPr>
        <w:t> </w:t>
      </w:r>
      <w:r>
        <w:rPr>
          <w:sz w:val="16"/>
          <w:vertAlign w:val="baseline"/>
        </w:rPr>
        <w:t>when</w:t>
      </w:r>
      <w:r>
        <w:rPr>
          <w:spacing w:val="-2"/>
          <w:sz w:val="16"/>
          <w:vertAlign w:val="baseline"/>
        </w:rPr>
        <w:t> </w:t>
      </w:r>
      <w:r>
        <w:rPr>
          <w:sz w:val="16"/>
          <w:vertAlign w:val="baseline"/>
        </w:rPr>
        <w:t>thinking</w:t>
      </w:r>
      <w:r>
        <w:rPr>
          <w:spacing w:val="-3"/>
          <w:sz w:val="16"/>
          <w:vertAlign w:val="baseline"/>
        </w:rPr>
        <w:t> </w:t>
      </w:r>
      <w:r>
        <w:rPr>
          <w:sz w:val="16"/>
          <w:vertAlign w:val="baseline"/>
        </w:rPr>
        <w:t>about</w:t>
      </w:r>
      <w:r>
        <w:rPr>
          <w:spacing w:val="-4"/>
          <w:sz w:val="16"/>
          <w:vertAlign w:val="baseline"/>
        </w:rPr>
        <w:t> </w:t>
      </w:r>
      <w:r>
        <w:rPr>
          <w:sz w:val="16"/>
          <w:vertAlign w:val="baseline"/>
        </w:rPr>
        <w:t>written </w:t>
      </w:r>
      <w:r>
        <w:rPr>
          <w:spacing w:val="-2"/>
          <w:sz w:val="16"/>
          <w:vertAlign w:val="baseline"/>
        </w:rPr>
        <w:t>communication.</w:t>
      </w:r>
    </w:p>
    <w:p>
      <w:pPr>
        <w:spacing w:line="276" w:lineRule="auto" w:before="0"/>
        <w:ind w:left="1337" w:right="1472" w:firstLine="0"/>
        <w:jc w:val="left"/>
        <w:rPr>
          <w:sz w:val="16"/>
        </w:rPr>
      </w:pPr>
      <w:r>
        <w:rPr>
          <w:sz w:val="16"/>
          <w:vertAlign w:val="superscript"/>
        </w:rPr>
        <w:t>15</w:t>
      </w:r>
      <w:r>
        <w:rPr>
          <w:spacing w:val="-2"/>
          <w:sz w:val="16"/>
          <w:vertAlign w:val="baseline"/>
        </w:rPr>
        <w:t> </w:t>
      </w:r>
      <w:r>
        <w:rPr>
          <w:sz w:val="16"/>
          <w:vertAlign w:val="baseline"/>
        </w:rPr>
        <w:t>It</w:t>
      </w:r>
      <w:r>
        <w:rPr>
          <w:spacing w:val="-3"/>
          <w:sz w:val="16"/>
          <w:vertAlign w:val="baseline"/>
        </w:rPr>
        <w:t> </w:t>
      </w:r>
      <w:r>
        <w:rPr>
          <w:sz w:val="16"/>
          <w:vertAlign w:val="baseline"/>
        </w:rPr>
        <w:t>is</w:t>
      </w:r>
      <w:r>
        <w:rPr>
          <w:spacing w:val="-3"/>
          <w:sz w:val="16"/>
          <w:vertAlign w:val="baseline"/>
        </w:rPr>
        <w:t> </w:t>
      </w:r>
      <w:r>
        <w:rPr>
          <w:sz w:val="16"/>
          <w:vertAlign w:val="baseline"/>
        </w:rPr>
        <w:t>important</w:t>
      </w:r>
      <w:r>
        <w:rPr>
          <w:spacing w:val="-2"/>
          <w:sz w:val="16"/>
          <w:vertAlign w:val="baseline"/>
        </w:rPr>
        <w:t> </w:t>
      </w:r>
      <w:r>
        <w:rPr>
          <w:sz w:val="16"/>
          <w:vertAlign w:val="baseline"/>
        </w:rPr>
        <w:t>to</w:t>
      </w:r>
      <w:r>
        <w:rPr>
          <w:spacing w:val="-2"/>
          <w:sz w:val="16"/>
          <w:vertAlign w:val="baseline"/>
        </w:rPr>
        <w:t> </w:t>
      </w:r>
      <w:r>
        <w:rPr>
          <w:sz w:val="16"/>
          <w:vertAlign w:val="baseline"/>
        </w:rPr>
        <w:t>bear</w:t>
      </w:r>
      <w:r>
        <w:rPr>
          <w:spacing w:val="-2"/>
          <w:sz w:val="16"/>
          <w:vertAlign w:val="baseline"/>
        </w:rPr>
        <w:t> </w:t>
      </w:r>
      <w:r>
        <w:rPr>
          <w:sz w:val="16"/>
          <w:vertAlign w:val="baseline"/>
        </w:rPr>
        <w:t>in</w:t>
      </w:r>
      <w:r>
        <w:rPr>
          <w:spacing w:val="-3"/>
          <w:sz w:val="16"/>
          <w:vertAlign w:val="baseline"/>
        </w:rPr>
        <w:t> </w:t>
      </w:r>
      <w:r>
        <w:rPr>
          <w:sz w:val="16"/>
          <w:vertAlign w:val="baseline"/>
        </w:rPr>
        <w:t>mind</w:t>
      </w:r>
      <w:r>
        <w:rPr>
          <w:spacing w:val="-2"/>
          <w:sz w:val="16"/>
          <w:vertAlign w:val="baseline"/>
        </w:rPr>
        <w:t> </w:t>
      </w:r>
      <w:r>
        <w:rPr>
          <w:sz w:val="16"/>
          <w:vertAlign w:val="baseline"/>
        </w:rPr>
        <w:t>that</w:t>
      </w:r>
      <w:r>
        <w:rPr>
          <w:spacing w:val="-2"/>
          <w:sz w:val="16"/>
          <w:vertAlign w:val="baseline"/>
        </w:rPr>
        <w:t> </w:t>
      </w:r>
      <w:r>
        <w:rPr>
          <w:sz w:val="16"/>
          <w:vertAlign w:val="baseline"/>
        </w:rPr>
        <w:t>since</w:t>
      </w:r>
      <w:r>
        <w:rPr>
          <w:spacing w:val="-3"/>
          <w:sz w:val="16"/>
          <w:vertAlign w:val="baseline"/>
        </w:rPr>
        <w:t> </w:t>
      </w:r>
      <w:r>
        <w:rPr>
          <w:sz w:val="16"/>
          <w:vertAlign w:val="baseline"/>
        </w:rPr>
        <w:t>most</w:t>
      </w:r>
      <w:r>
        <w:rPr>
          <w:spacing w:val="-3"/>
          <w:sz w:val="16"/>
          <w:vertAlign w:val="baseline"/>
        </w:rPr>
        <w:t> </w:t>
      </w:r>
      <w:r>
        <w:rPr>
          <w:sz w:val="16"/>
          <w:vertAlign w:val="baseline"/>
        </w:rPr>
        <w:t>representatives</w:t>
      </w:r>
      <w:r>
        <w:rPr>
          <w:spacing w:val="-3"/>
          <w:sz w:val="16"/>
          <w:vertAlign w:val="baseline"/>
        </w:rPr>
        <w:t> </w:t>
      </w:r>
      <w:r>
        <w:rPr>
          <w:sz w:val="16"/>
          <w:vertAlign w:val="baseline"/>
        </w:rPr>
        <w:t>have</w:t>
      </w:r>
      <w:r>
        <w:rPr>
          <w:spacing w:val="-3"/>
          <w:sz w:val="16"/>
          <w:vertAlign w:val="baseline"/>
        </w:rPr>
        <w:t> </w:t>
      </w:r>
      <w:r>
        <w:rPr>
          <w:sz w:val="16"/>
          <w:vertAlign w:val="baseline"/>
        </w:rPr>
        <w:t>a</w:t>
      </w:r>
      <w:r>
        <w:rPr>
          <w:spacing w:val="-2"/>
          <w:sz w:val="16"/>
          <w:vertAlign w:val="baseline"/>
        </w:rPr>
        <w:t> </w:t>
      </w:r>
      <w:r>
        <w:rPr>
          <w:sz w:val="16"/>
          <w:vertAlign w:val="baseline"/>
        </w:rPr>
        <w:t>legal</w:t>
      </w:r>
      <w:r>
        <w:rPr>
          <w:spacing w:val="-3"/>
          <w:sz w:val="16"/>
          <w:vertAlign w:val="baseline"/>
        </w:rPr>
        <w:t> </w:t>
      </w:r>
      <w:r>
        <w:rPr>
          <w:sz w:val="16"/>
          <w:vertAlign w:val="baseline"/>
        </w:rPr>
        <w:t>background,</w:t>
      </w:r>
      <w:r>
        <w:rPr>
          <w:spacing w:val="-3"/>
          <w:sz w:val="16"/>
          <w:vertAlign w:val="baseline"/>
        </w:rPr>
        <w:t> </w:t>
      </w:r>
      <w:r>
        <w:rPr>
          <w:sz w:val="16"/>
          <w:vertAlign w:val="baseline"/>
        </w:rPr>
        <w:t>rather</w:t>
      </w:r>
      <w:r>
        <w:rPr>
          <w:spacing w:val="-2"/>
          <w:sz w:val="16"/>
          <w:vertAlign w:val="baseline"/>
        </w:rPr>
        <w:t> </w:t>
      </w:r>
      <w:r>
        <w:rPr>
          <w:sz w:val="16"/>
          <w:vertAlign w:val="baseline"/>
        </w:rPr>
        <w:t>than signalling an oversight by the conciliator, this may simply reflect the fact that not all actions are warranted in all cases.</w:t>
      </w:r>
    </w:p>
    <w:p>
      <w:pPr>
        <w:spacing w:line="276" w:lineRule="auto" w:before="0"/>
        <w:ind w:left="1337" w:right="1472" w:firstLine="0"/>
        <w:jc w:val="left"/>
        <w:rPr>
          <w:sz w:val="16"/>
        </w:rPr>
      </w:pPr>
      <w:r>
        <w:rPr>
          <w:sz w:val="16"/>
          <w:vertAlign w:val="superscript"/>
        </w:rPr>
        <w:t>16</w:t>
      </w:r>
      <w:r>
        <w:rPr>
          <w:spacing w:val="-2"/>
          <w:sz w:val="16"/>
          <w:vertAlign w:val="baseline"/>
        </w:rPr>
        <w:t> </w:t>
      </w:r>
      <w:r>
        <w:rPr>
          <w:sz w:val="16"/>
          <w:vertAlign w:val="baseline"/>
        </w:rPr>
        <w:t>The</w:t>
      </w:r>
      <w:r>
        <w:rPr>
          <w:spacing w:val="-3"/>
          <w:sz w:val="16"/>
          <w:vertAlign w:val="baseline"/>
        </w:rPr>
        <w:t> </w:t>
      </w:r>
      <w:r>
        <w:rPr>
          <w:sz w:val="16"/>
          <w:vertAlign w:val="baseline"/>
        </w:rPr>
        <w:t>survey</w:t>
      </w:r>
      <w:r>
        <w:rPr>
          <w:spacing w:val="-2"/>
          <w:sz w:val="16"/>
          <w:vertAlign w:val="baseline"/>
        </w:rPr>
        <w:t> </w:t>
      </w:r>
      <w:r>
        <w:rPr>
          <w:sz w:val="16"/>
          <w:vertAlign w:val="baseline"/>
        </w:rPr>
        <w:t>wording</w:t>
      </w:r>
      <w:r>
        <w:rPr>
          <w:spacing w:val="-2"/>
          <w:sz w:val="16"/>
          <w:vertAlign w:val="baseline"/>
        </w:rPr>
        <w:t> </w:t>
      </w:r>
      <w:r>
        <w:rPr>
          <w:sz w:val="16"/>
          <w:vertAlign w:val="baseline"/>
        </w:rPr>
        <w:t>was</w:t>
      </w:r>
      <w:r>
        <w:rPr>
          <w:spacing w:val="-3"/>
          <w:sz w:val="16"/>
          <w:vertAlign w:val="baseline"/>
        </w:rPr>
        <w:t> </w:t>
      </w:r>
      <w:r>
        <w:rPr>
          <w:sz w:val="16"/>
          <w:vertAlign w:val="baseline"/>
        </w:rPr>
        <w:t>amended</w:t>
      </w:r>
      <w:r>
        <w:rPr>
          <w:spacing w:val="-2"/>
          <w:sz w:val="16"/>
          <w:vertAlign w:val="baseline"/>
        </w:rPr>
        <w:t> </w:t>
      </w:r>
      <w:r>
        <w:rPr>
          <w:sz w:val="16"/>
          <w:vertAlign w:val="baseline"/>
        </w:rPr>
        <w:t>for</w:t>
      </w:r>
      <w:r>
        <w:rPr>
          <w:spacing w:val="-2"/>
          <w:sz w:val="16"/>
          <w:vertAlign w:val="baseline"/>
        </w:rPr>
        <w:t> </w:t>
      </w:r>
      <w:r>
        <w:rPr>
          <w:sz w:val="16"/>
          <w:vertAlign w:val="baseline"/>
        </w:rPr>
        <w:t>those</w:t>
      </w:r>
      <w:r>
        <w:rPr>
          <w:spacing w:val="-3"/>
          <w:sz w:val="16"/>
          <w:vertAlign w:val="baseline"/>
        </w:rPr>
        <w:t> </w:t>
      </w:r>
      <w:r>
        <w:rPr>
          <w:sz w:val="16"/>
          <w:vertAlign w:val="baseline"/>
        </w:rPr>
        <w:t>with</w:t>
      </w:r>
      <w:r>
        <w:rPr>
          <w:spacing w:val="-3"/>
          <w:sz w:val="16"/>
          <w:vertAlign w:val="baseline"/>
        </w:rPr>
        <w:t> </w:t>
      </w:r>
      <w:r>
        <w:rPr>
          <w:sz w:val="16"/>
          <w:vertAlign w:val="baseline"/>
        </w:rPr>
        <w:t>multiple</w:t>
      </w:r>
      <w:r>
        <w:rPr>
          <w:spacing w:val="-1"/>
          <w:sz w:val="16"/>
          <w:vertAlign w:val="baseline"/>
        </w:rPr>
        <w:t> </w:t>
      </w:r>
      <w:r>
        <w:rPr>
          <w:sz w:val="16"/>
          <w:vertAlign w:val="baseline"/>
        </w:rPr>
        <w:t>conciliators</w:t>
      </w:r>
      <w:r>
        <w:rPr>
          <w:spacing w:val="-3"/>
          <w:sz w:val="16"/>
          <w:vertAlign w:val="baseline"/>
        </w:rPr>
        <w:t> </w:t>
      </w:r>
      <w:r>
        <w:rPr>
          <w:sz w:val="16"/>
          <w:vertAlign w:val="baseline"/>
        </w:rPr>
        <w:t>to</w:t>
      </w:r>
      <w:r>
        <w:rPr>
          <w:spacing w:val="-1"/>
          <w:sz w:val="16"/>
          <w:vertAlign w:val="baseline"/>
        </w:rPr>
        <w:t> </w:t>
      </w:r>
      <w:r>
        <w:rPr>
          <w:sz w:val="16"/>
          <w:vertAlign w:val="baseline"/>
        </w:rPr>
        <w:t>ask</w:t>
      </w:r>
      <w:r>
        <w:rPr>
          <w:spacing w:val="-2"/>
          <w:sz w:val="16"/>
          <w:vertAlign w:val="baseline"/>
        </w:rPr>
        <w:t> </w:t>
      </w:r>
      <w:r>
        <w:rPr>
          <w:sz w:val="16"/>
          <w:vertAlign w:val="baseline"/>
        </w:rPr>
        <w:t>about</w:t>
      </w:r>
      <w:r>
        <w:rPr>
          <w:spacing w:val="-3"/>
          <w:sz w:val="16"/>
          <w:vertAlign w:val="baseline"/>
        </w:rPr>
        <w:t> </w:t>
      </w:r>
      <w:r>
        <w:rPr>
          <w:sz w:val="16"/>
          <w:vertAlign w:val="baseline"/>
        </w:rPr>
        <w:t>experience</w:t>
      </w:r>
      <w:r>
        <w:rPr>
          <w:spacing w:val="-3"/>
          <w:sz w:val="16"/>
          <w:vertAlign w:val="baseline"/>
        </w:rPr>
        <w:t> </w:t>
      </w:r>
      <w:r>
        <w:rPr>
          <w:sz w:val="16"/>
          <w:vertAlign w:val="baseline"/>
        </w:rPr>
        <w:t>with “conciliators” rather than “the conciliator”. Even so, it is possible that participants interpreted the question as referring to their main/allocated conciliator.</w:t>
      </w:r>
    </w:p>
    <w:p>
      <w:pPr>
        <w:spacing w:line="276" w:lineRule="auto" w:before="0"/>
        <w:ind w:left="1337" w:right="1553" w:firstLine="0"/>
        <w:jc w:val="left"/>
        <w:rPr>
          <w:sz w:val="16"/>
        </w:rPr>
      </w:pPr>
      <w:r>
        <w:rPr>
          <w:sz w:val="16"/>
          <w:vertAlign w:val="superscript"/>
        </w:rPr>
        <w:t>17</w:t>
      </w:r>
      <w:r>
        <w:rPr>
          <w:sz w:val="16"/>
          <w:vertAlign w:val="baseline"/>
        </w:rPr>
        <w:t> Claimant-side participants and employer representatives were asked “How much of your time in total</w:t>
      </w:r>
      <w:r>
        <w:rPr>
          <w:spacing w:val="-3"/>
          <w:sz w:val="16"/>
          <w:vertAlign w:val="baseline"/>
        </w:rPr>
        <w:t> </w:t>
      </w:r>
      <w:r>
        <w:rPr>
          <w:sz w:val="16"/>
          <w:vertAlign w:val="baseline"/>
        </w:rPr>
        <w:t>did</w:t>
      </w:r>
      <w:r>
        <w:rPr>
          <w:spacing w:val="-2"/>
          <w:sz w:val="16"/>
          <w:vertAlign w:val="baseline"/>
        </w:rPr>
        <w:t> </w:t>
      </w:r>
      <w:r>
        <w:rPr>
          <w:sz w:val="16"/>
          <w:vertAlign w:val="baseline"/>
        </w:rPr>
        <w:t>you</w:t>
      </w:r>
      <w:r>
        <w:rPr>
          <w:spacing w:val="-1"/>
          <w:sz w:val="16"/>
          <w:vertAlign w:val="baseline"/>
        </w:rPr>
        <w:t> </w:t>
      </w:r>
      <w:r>
        <w:rPr>
          <w:sz w:val="16"/>
          <w:vertAlign w:val="baseline"/>
        </w:rPr>
        <w:t>spend</w:t>
      </w:r>
      <w:r>
        <w:rPr>
          <w:spacing w:val="-2"/>
          <w:sz w:val="16"/>
          <w:vertAlign w:val="baseline"/>
        </w:rPr>
        <w:t> </w:t>
      </w:r>
      <w:r>
        <w:rPr>
          <w:sz w:val="16"/>
          <w:vertAlign w:val="baseline"/>
        </w:rPr>
        <w:t>on</w:t>
      </w:r>
      <w:r>
        <w:rPr>
          <w:spacing w:val="-1"/>
          <w:sz w:val="16"/>
          <w:vertAlign w:val="baseline"/>
        </w:rPr>
        <w:t> </w:t>
      </w:r>
      <w:r>
        <w:rPr>
          <w:sz w:val="16"/>
          <w:vertAlign w:val="baseline"/>
        </w:rPr>
        <w:t>the</w:t>
      </w:r>
      <w:r>
        <w:rPr>
          <w:spacing w:val="-3"/>
          <w:sz w:val="16"/>
          <w:vertAlign w:val="baseline"/>
        </w:rPr>
        <w:t> </w:t>
      </w:r>
      <w:r>
        <w:rPr>
          <w:sz w:val="16"/>
          <w:vertAlign w:val="baseline"/>
        </w:rPr>
        <w:t>workplace</w:t>
      </w:r>
      <w:r>
        <w:rPr>
          <w:spacing w:val="-3"/>
          <w:sz w:val="16"/>
          <w:vertAlign w:val="baseline"/>
        </w:rPr>
        <w:t> </w:t>
      </w:r>
      <w:r>
        <w:rPr>
          <w:sz w:val="16"/>
          <w:vertAlign w:val="baseline"/>
        </w:rPr>
        <w:t>problem</w:t>
      </w:r>
      <w:r>
        <w:rPr>
          <w:spacing w:val="-3"/>
          <w:sz w:val="16"/>
          <w:vertAlign w:val="baseline"/>
        </w:rPr>
        <w:t> </w:t>
      </w:r>
      <w:r>
        <w:rPr>
          <w:sz w:val="16"/>
          <w:vertAlign w:val="baseline"/>
        </w:rPr>
        <w:t>from</w:t>
      </w:r>
      <w:r>
        <w:rPr>
          <w:spacing w:val="-2"/>
          <w:sz w:val="16"/>
          <w:vertAlign w:val="baseline"/>
        </w:rPr>
        <w:t> </w:t>
      </w:r>
      <w:r>
        <w:rPr>
          <w:sz w:val="16"/>
          <w:vertAlign w:val="baseline"/>
        </w:rPr>
        <w:t>the</w:t>
      </w:r>
      <w:r>
        <w:rPr>
          <w:spacing w:val="-3"/>
          <w:sz w:val="16"/>
          <w:vertAlign w:val="baseline"/>
        </w:rPr>
        <w:t> </w:t>
      </w:r>
      <w:r>
        <w:rPr>
          <w:sz w:val="16"/>
          <w:vertAlign w:val="baseline"/>
        </w:rPr>
        <w:t>time</w:t>
      </w:r>
      <w:r>
        <w:rPr>
          <w:spacing w:val="-3"/>
          <w:sz w:val="16"/>
          <w:vertAlign w:val="baseline"/>
        </w:rPr>
        <w:t> </w:t>
      </w:r>
      <w:r>
        <w:rPr>
          <w:sz w:val="16"/>
          <w:vertAlign w:val="baseline"/>
        </w:rPr>
        <w:t>you</w:t>
      </w:r>
      <w:r>
        <w:rPr>
          <w:spacing w:val="-1"/>
          <w:sz w:val="16"/>
          <w:vertAlign w:val="baseline"/>
        </w:rPr>
        <w:t> </w:t>
      </w:r>
      <w:r>
        <w:rPr>
          <w:sz w:val="16"/>
          <w:vertAlign w:val="baseline"/>
        </w:rPr>
        <w:t>submitted</w:t>
      </w:r>
      <w:r>
        <w:rPr>
          <w:spacing w:val="-2"/>
          <w:sz w:val="16"/>
          <w:vertAlign w:val="baseline"/>
        </w:rPr>
        <w:t> </w:t>
      </w:r>
      <w:r>
        <w:rPr>
          <w:sz w:val="16"/>
          <w:vertAlign w:val="baseline"/>
        </w:rPr>
        <w:t>your</w:t>
      </w:r>
      <w:r>
        <w:rPr>
          <w:spacing w:val="-2"/>
          <w:sz w:val="16"/>
          <w:vertAlign w:val="baseline"/>
        </w:rPr>
        <w:t> </w:t>
      </w:r>
      <w:r>
        <w:rPr>
          <w:sz w:val="16"/>
          <w:vertAlign w:val="baseline"/>
        </w:rPr>
        <w:t>notification</w:t>
      </w:r>
      <w:r>
        <w:rPr>
          <w:spacing w:val="-1"/>
          <w:sz w:val="16"/>
          <w:vertAlign w:val="baseline"/>
        </w:rPr>
        <w:t> </w:t>
      </w:r>
      <w:r>
        <w:rPr>
          <w:sz w:val="16"/>
          <w:vertAlign w:val="baseline"/>
        </w:rPr>
        <w:t>up</w:t>
      </w:r>
      <w:r>
        <w:rPr>
          <w:spacing w:val="-2"/>
          <w:sz w:val="16"/>
          <w:vertAlign w:val="baseline"/>
        </w:rPr>
        <w:t> </w:t>
      </w:r>
      <w:r>
        <w:rPr>
          <w:sz w:val="16"/>
          <w:vertAlign w:val="baseline"/>
        </w:rPr>
        <w:t>until you received official notification that conciliation had finished?”, while employers were asked “how much</w:t>
      </w:r>
      <w:r>
        <w:rPr>
          <w:spacing w:val="-3"/>
          <w:sz w:val="16"/>
          <w:vertAlign w:val="baseline"/>
        </w:rPr>
        <w:t> </w:t>
      </w:r>
      <w:r>
        <w:rPr>
          <w:sz w:val="16"/>
          <w:vertAlign w:val="baseline"/>
        </w:rPr>
        <w:t>time</w:t>
      </w:r>
      <w:r>
        <w:rPr>
          <w:spacing w:val="-3"/>
          <w:sz w:val="16"/>
          <w:vertAlign w:val="baseline"/>
        </w:rPr>
        <w:t> </w:t>
      </w:r>
      <w:r>
        <w:rPr>
          <w:sz w:val="16"/>
          <w:vertAlign w:val="baseline"/>
        </w:rPr>
        <w:t>in</w:t>
      </w:r>
      <w:r>
        <w:rPr>
          <w:spacing w:val="-3"/>
          <w:sz w:val="16"/>
          <w:vertAlign w:val="baseline"/>
        </w:rPr>
        <w:t> </w:t>
      </w:r>
      <w:r>
        <w:rPr>
          <w:sz w:val="16"/>
          <w:vertAlign w:val="baseline"/>
        </w:rPr>
        <w:t>total</w:t>
      </w:r>
      <w:r>
        <w:rPr>
          <w:spacing w:val="-3"/>
          <w:sz w:val="16"/>
          <w:vertAlign w:val="baseline"/>
        </w:rPr>
        <w:t> </w:t>
      </w:r>
      <w:r>
        <w:rPr>
          <w:sz w:val="16"/>
          <w:vertAlign w:val="baseline"/>
        </w:rPr>
        <w:t>did</w:t>
      </w:r>
      <w:r>
        <w:rPr>
          <w:spacing w:val="-2"/>
          <w:sz w:val="16"/>
          <w:vertAlign w:val="baseline"/>
        </w:rPr>
        <w:t> </w:t>
      </w:r>
      <w:r>
        <w:rPr>
          <w:sz w:val="16"/>
          <w:vertAlign w:val="baseline"/>
        </w:rPr>
        <w:t>you</w:t>
      </w:r>
      <w:r>
        <w:rPr>
          <w:spacing w:val="-3"/>
          <w:sz w:val="16"/>
          <w:vertAlign w:val="baseline"/>
        </w:rPr>
        <w:t> </w:t>
      </w:r>
      <w:r>
        <w:rPr>
          <w:sz w:val="16"/>
          <w:vertAlign w:val="baseline"/>
        </w:rPr>
        <w:t>/</w:t>
      </w:r>
      <w:r>
        <w:rPr>
          <w:spacing w:val="-2"/>
          <w:sz w:val="16"/>
          <w:vertAlign w:val="baseline"/>
        </w:rPr>
        <w:t> </w:t>
      </w:r>
      <w:r>
        <w:rPr>
          <w:sz w:val="16"/>
          <w:vertAlign w:val="baseline"/>
        </w:rPr>
        <w:t>directors</w:t>
      </w:r>
      <w:r>
        <w:rPr>
          <w:spacing w:val="-3"/>
          <w:sz w:val="16"/>
          <w:vertAlign w:val="baseline"/>
        </w:rPr>
        <w:t> </w:t>
      </w:r>
      <w:r>
        <w:rPr>
          <w:sz w:val="16"/>
          <w:vertAlign w:val="baseline"/>
        </w:rPr>
        <w:t>and</w:t>
      </w:r>
      <w:r>
        <w:rPr>
          <w:spacing w:val="-2"/>
          <w:sz w:val="16"/>
          <w:vertAlign w:val="baseline"/>
        </w:rPr>
        <w:t> </w:t>
      </w:r>
      <w:r>
        <w:rPr>
          <w:sz w:val="16"/>
          <w:vertAlign w:val="baseline"/>
        </w:rPr>
        <w:t>senior</w:t>
      </w:r>
      <w:r>
        <w:rPr>
          <w:spacing w:val="-1"/>
          <w:sz w:val="16"/>
          <w:vertAlign w:val="baseline"/>
        </w:rPr>
        <w:t> </w:t>
      </w:r>
      <w:r>
        <w:rPr>
          <w:sz w:val="16"/>
          <w:vertAlign w:val="baseline"/>
        </w:rPr>
        <w:t>management</w:t>
      </w:r>
      <w:r>
        <w:rPr>
          <w:spacing w:val="-3"/>
          <w:sz w:val="16"/>
          <w:vertAlign w:val="baseline"/>
        </w:rPr>
        <w:t> </w:t>
      </w:r>
      <w:r>
        <w:rPr>
          <w:sz w:val="16"/>
          <w:vertAlign w:val="baseline"/>
        </w:rPr>
        <w:t>/</w:t>
      </w:r>
      <w:r>
        <w:rPr>
          <w:spacing w:val="-3"/>
          <w:sz w:val="16"/>
          <w:vertAlign w:val="baseline"/>
        </w:rPr>
        <w:t> </w:t>
      </w:r>
      <w:r>
        <w:rPr>
          <w:sz w:val="16"/>
          <w:vertAlign w:val="baseline"/>
        </w:rPr>
        <w:t>other</w:t>
      </w:r>
      <w:r>
        <w:rPr>
          <w:spacing w:val="-2"/>
          <w:sz w:val="16"/>
          <w:vertAlign w:val="baseline"/>
        </w:rPr>
        <w:t> </w:t>
      </w:r>
      <w:r>
        <w:rPr>
          <w:sz w:val="16"/>
          <w:vertAlign w:val="baseline"/>
        </w:rPr>
        <w:t>staff</w:t>
      </w:r>
      <w:r>
        <w:rPr>
          <w:spacing w:val="-2"/>
          <w:sz w:val="16"/>
          <w:vertAlign w:val="baseline"/>
        </w:rPr>
        <w:t> </w:t>
      </w:r>
      <w:r>
        <w:rPr>
          <w:sz w:val="16"/>
          <w:vertAlign w:val="baseline"/>
        </w:rPr>
        <w:t>spend</w:t>
      </w:r>
      <w:r>
        <w:rPr>
          <w:spacing w:val="-2"/>
          <w:sz w:val="16"/>
          <w:vertAlign w:val="baseline"/>
        </w:rPr>
        <w:t> </w:t>
      </w:r>
      <w:r>
        <w:rPr>
          <w:sz w:val="16"/>
          <w:vertAlign w:val="baseline"/>
        </w:rPr>
        <w:t>on</w:t>
      </w:r>
      <w:r>
        <w:rPr>
          <w:spacing w:val="-1"/>
          <w:sz w:val="16"/>
          <w:vertAlign w:val="baseline"/>
        </w:rPr>
        <w:t> </w:t>
      </w:r>
      <w:r>
        <w:rPr>
          <w:sz w:val="16"/>
          <w:vertAlign w:val="baseline"/>
        </w:rPr>
        <w:t>this</w:t>
      </w:r>
      <w:r>
        <w:rPr>
          <w:spacing w:val="-3"/>
          <w:sz w:val="16"/>
          <w:vertAlign w:val="baseline"/>
        </w:rPr>
        <w:t> </w:t>
      </w:r>
      <w:r>
        <w:rPr>
          <w:sz w:val="16"/>
          <w:vertAlign w:val="baseline"/>
        </w:rPr>
        <w:t>case?”</w:t>
      </w:r>
      <w:r>
        <w:rPr>
          <w:spacing w:val="-2"/>
          <w:sz w:val="16"/>
          <w:vertAlign w:val="baseline"/>
        </w:rPr>
        <w:t> </w:t>
      </w:r>
      <w:r>
        <w:rPr>
          <w:sz w:val="16"/>
          <w:vertAlign w:val="baseline"/>
        </w:rPr>
        <w:t>and answers for each of these options were aggregated to reach a total figure.</w:t>
      </w:r>
    </w:p>
    <w:p>
      <w:pPr>
        <w:spacing w:line="276" w:lineRule="auto" w:before="0"/>
        <w:ind w:left="1337" w:right="1472" w:firstLine="0"/>
        <w:jc w:val="left"/>
        <w:rPr>
          <w:sz w:val="16"/>
        </w:rPr>
      </w:pPr>
      <w:r>
        <w:rPr>
          <w:sz w:val="16"/>
          <w:vertAlign w:val="superscript"/>
        </w:rPr>
        <w:t>18</w:t>
      </w:r>
      <w:r>
        <w:rPr>
          <w:spacing w:val="-1"/>
          <w:sz w:val="16"/>
          <w:vertAlign w:val="baseline"/>
        </w:rPr>
        <w:t> </w:t>
      </w:r>
      <w:r>
        <w:rPr>
          <w:sz w:val="16"/>
          <w:vertAlign w:val="baseline"/>
        </w:rPr>
        <w:t>Acas</w:t>
      </w:r>
      <w:r>
        <w:rPr>
          <w:spacing w:val="-2"/>
          <w:sz w:val="16"/>
          <w:vertAlign w:val="baseline"/>
        </w:rPr>
        <w:t> </w:t>
      </w:r>
      <w:r>
        <w:rPr>
          <w:sz w:val="16"/>
          <w:vertAlign w:val="baseline"/>
        </w:rPr>
        <w:t>outcome data</w:t>
      </w:r>
      <w:r>
        <w:rPr>
          <w:spacing w:val="-1"/>
          <w:sz w:val="16"/>
          <w:vertAlign w:val="baseline"/>
        </w:rPr>
        <w:t> </w:t>
      </w:r>
      <w:r>
        <w:rPr>
          <w:sz w:val="16"/>
          <w:vertAlign w:val="baseline"/>
        </w:rPr>
        <w:t>for</w:t>
      </w:r>
      <w:r>
        <w:rPr>
          <w:spacing w:val="-1"/>
          <w:sz w:val="16"/>
          <w:vertAlign w:val="baseline"/>
        </w:rPr>
        <w:t> </w:t>
      </w:r>
      <w:r>
        <w:rPr>
          <w:sz w:val="16"/>
          <w:vertAlign w:val="baseline"/>
        </w:rPr>
        <w:t>2018-19</w:t>
      </w:r>
      <w:r>
        <w:rPr>
          <w:spacing w:val="-1"/>
          <w:sz w:val="16"/>
          <w:vertAlign w:val="baseline"/>
        </w:rPr>
        <w:t> </w:t>
      </w:r>
      <w:r>
        <w:rPr>
          <w:sz w:val="16"/>
          <w:vertAlign w:val="baseline"/>
        </w:rPr>
        <w:t>showed</w:t>
      </w:r>
      <w:r>
        <w:rPr>
          <w:spacing w:val="-1"/>
          <w:sz w:val="16"/>
          <w:vertAlign w:val="baseline"/>
        </w:rPr>
        <w:t> </w:t>
      </w:r>
      <w:r>
        <w:rPr>
          <w:sz w:val="16"/>
          <w:vertAlign w:val="baseline"/>
        </w:rPr>
        <w:t>that</w:t>
      </w:r>
      <w:r>
        <w:rPr>
          <w:spacing w:val="-2"/>
          <w:sz w:val="16"/>
          <w:vertAlign w:val="baseline"/>
        </w:rPr>
        <w:t> </w:t>
      </w:r>
      <w:r>
        <w:rPr>
          <w:sz w:val="16"/>
          <w:vertAlign w:val="baseline"/>
        </w:rPr>
        <w:t>13</w:t>
      </w:r>
      <w:r>
        <w:rPr>
          <w:spacing w:val="-1"/>
          <w:sz w:val="16"/>
          <w:vertAlign w:val="baseline"/>
        </w:rPr>
        <w:t> </w:t>
      </w:r>
      <w:r>
        <w:rPr>
          <w:sz w:val="16"/>
          <w:vertAlign w:val="baseline"/>
        </w:rPr>
        <w:t>per</w:t>
      </w:r>
      <w:r>
        <w:rPr>
          <w:spacing w:val="-1"/>
          <w:sz w:val="16"/>
          <w:vertAlign w:val="baseline"/>
        </w:rPr>
        <w:t> </w:t>
      </w:r>
      <w:r>
        <w:rPr>
          <w:sz w:val="16"/>
          <w:vertAlign w:val="baseline"/>
        </w:rPr>
        <w:t>cent</w:t>
      </w:r>
      <w:r>
        <w:rPr>
          <w:spacing w:val="-2"/>
          <w:sz w:val="16"/>
          <w:vertAlign w:val="baseline"/>
        </w:rPr>
        <w:t> </w:t>
      </w:r>
      <w:r>
        <w:rPr>
          <w:sz w:val="16"/>
          <w:vertAlign w:val="baseline"/>
        </w:rPr>
        <w:t>of</w:t>
      </w:r>
      <w:r>
        <w:rPr>
          <w:spacing w:val="-1"/>
          <w:sz w:val="16"/>
          <w:vertAlign w:val="baseline"/>
        </w:rPr>
        <w:t> </w:t>
      </w:r>
      <w:r>
        <w:rPr>
          <w:sz w:val="16"/>
          <w:vertAlign w:val="baseline"/>
        </w:rPr>
        <w:t>EC</w:t>
      </w:r>
      <w:r>
        <w:rPr>
          <w:spacing w:val="-1"/>
          <w:sz w:val="16"/>
          <w:vertAlign w:val="baseline"/>
        </w:rPr>
        <w:t> </w:t>
      </w:r>
      <w:r>
        <w:rPr>
          <w:sz w:val="16"/>
          <w:vertAlign w:val="baseline"/>
        </w:rPr>
        <w:t>cases</w:t>
      </w:r>
      <w:r>
        <w:rPr>
          <w:spacing w:val="-2"/>
          <w:sz w:val="16"/>
          <w:vertAlign w:val="baseline"/>
        </w:rPr>
        <w:t> </w:t>
      </w:r>
      <w:r>
        <w:rPr>
          <w:sz w:val="16"/>
          <w:vertAlign w:val="baseline"/>
        </w:rPr>
        <w:t>resulted</w:t>
      </w:r>
      <w:r>
        <w:rPr>
          <w:spacing w:val="-1"/>
          <w:sz w:val="16"/>
          <w:vertAlign w:val="baseline"/>
        </w:rPr>
        <w:t> </w:t>
      </w:r>
      <w:r>
        <w:rPr>
          <w:sz w:val="16"/>
          <w:vertAlign w:val="baseline"/>
        </w:rPr>
        <w:t>in</w:t>
      </w:r>
      <w:r>
        <w:rPr>
          <w:spacing w:val="-2"/>
          <w:sz w:val="16"/>
          <w:vertAlign w:val="baseline"/>
        </w:rPr>
        <w:t> </w:t>
      </w:r>
      <w:r>
        <w:rPr>
          <w:sz w:val="16"/>
          <w:vertAlign w:val="baseline"/>
        </w:rPr>
        <w:t>a</w:t>
      </w:r>
      <w:r>
        <w:rPr>
          <w:spacing w:val="-1"/>
          <w:sz w:val="16"/>
          <w:vertAlign w:val="baseline"/>
        </w:rPr>
        <w:t> </w:t>
      </w:r>
      <w:r>
        <w:rPr>
          <w:sz w:val="16"/>
          <w:vertAlign w:val="baseline"/>
        </w:rPr>
        <w:t>COT3 settlement, 64</w:t>
      </w:r>
      <w:r>
        <w:rPr>
          <w:spacing w:val="-5"/>
          <w:sz w:val="16"/>
          <w:vertAlign w:val="baseline"/>
        </w:rPr>
        <w:t> </w:t>
      </w:r>
      <w:r>
        <w:rPr>
          <w:sz w:val="16"/>
          <w:vertAlign w:val="baseline"/>
        </w:rPr>
        <w:t>per</w:t>
      </w:r>
      <w:r>
        <w:rPr>
          <w:spacing w:val="-5"/>
          <w:sz w:val="16"/>
          <w:vertAlign w:val="baseline"/>
        </w:rPr>
        <w:t> </w:t>
      </w:r>
      <w:r>
        <w:rPr>
          <w:sz w:val="16"/>
          <w:vertAlign w:val="baseline"/>
        </w:rPr>
        <w:t>cent</w:t>
      </w:r>
      <w:r>
        <w:rPr>
          <w:spacing w:val="-6"/>
          <w:sz w:val="16"/>
          <w:vertAlign w:val="baseline"/>
        </w:rPr>
        <w:t> </w:t>
      </w:r>
      <w:r>
        <w:rPr>
          <w:sz w:val="16"/>
          <w:vertAlign w:val="baseline"/>
        </w:rPr>
        <w:t>did</w:t>
      </w:r>
      <w:r>
        <w:rPr>
          <w:spacing w:val="-4"/>
          <w:sz w:val="16"/>
          <w:vertAlign w:val="baseline"/>
        </w:rPr>
        <w:t> </w:t>
      </w:r>
      <w:r>
        <w:rPr>
          <w:sz w:val="16"/>
          <w:vertAlign w:val="baseline"/>
        </w:rPr>
        <w:t>not</w:t>
      </w:r>
      <w:r>
        <w:rPr>
          <w:spacing w:val="-5"/>
          <w:sz w:val="16"/>
          <w:vertAlign w:val="baseline"/>
        </w:rPr>
        <w:t> </w:t>
      </w:r>
      <w:r>
        <w:rPr>
          <w:sz w:val="16"/>
          <w:vertAlign w:val="baseline"/>
        </w:rPr>
        <w:t>(but</w:t>
      </w:r>
      <w:r>
        <w:rPr>
          <w:spacing w:val="-6"/>
          <w:sz w:val="16"/>
          <w:vertAlign w:val="baseline"/>
        </w:rPr>
        <w:t> </w:t>
      </w:r>
      <w:r>
        <w:rPr>
          <w:sz w:val="16"/>
          <w:vertAlign w:val="baseline"/>
        </w:rPr>
        <w:t>neither</w:t>
      </w:r>
      <w:r>
        <w:rPr>
          <w:spacing w:val="-5"/>
          <w:sz w:val="16"/>
          <w:vertAlign w:val="baseline"/>
        </w:rPr>
        <w:t> </w:t>
      </w:r>
      <w:r>
        <w:rPr>
          <w:sz w:val="16"/>
          <w:vertAlign w:val="baseline"/>
        </w:rPr>
        <w:t>did</w:t>
      </w:r>
      <w:r>
        <w:rPr>
          <w:spacing w:val="-5"/>
          <w:sz w:val="16"/>
          <w:vertAlign w:val="baseline"/>
        </w:rPr>
        <w:t> </w:t>
      </w:r>
      <w:r>
        <w:rPr>
          <w:sz w:val="16"/>
          <w:vertAlign w:val="baseline"/>
        </w:rPr>
        <w:t>they</w:t>
      </w:r>
      <w:r>
        <w:rPr>
          <w:spacing w:val="-4"/>
          <w:sz w:val="16"/>
          <w:vertAlign w:val="baseline"/>
        </w:rPr>
        <w:t> </w:t>
      </w:r>
      <w:r>
        <w:rPr>
          <w:sz w:val="16"/>
          <w:vertAlign w:val="baseline"/>
        </w:rPr>
        <w:t>progress</w:t>
      </w:r>
      <w:r>
        <w:rPr>
          <w:spacing w:val="-4"/>
          <w:sz w:val="16"/>
          <w:vertAlign w:val="baseline"/>
        </w:rPr>
        <w:t> </w:t>
      </w:r>
      <w:r>
        <w:rPr>
          <w:sz w:val="16"/>
          <w:vertAlign w:val="baseline"/>
        </w:rPr>
        <w:t>to</w:t>
      </w:r>
      <w:r>
        <w:rPr>
          <w:spacing w:val="-5"/>
          <w:sz w:val="16"/>
          <w:vertAlign w:val="baseline"/>
        </w:rPr>
        <w:t> </w:t>
      </w:r>
      <w:r>
        <w:rPr>
          <w:sz w:val="16"/>
          <w:vertAlign w:val="baseline"/>
        </w:rPr>
        <w:t>Tribunal),</w:t>
      </w:r>
      <w:r>
        <w:rPr>
          <w:spacing w:val="-6"/>
          <w:sz w:val="16"/>
          <w:vertAlign w:val="baseline"/>
        </w:rPr>
        <w:t> </w:t>
      </w:r>
      <w:r>
        <w:rPr>
          <w:sz w:val="16"/>
          <w:vertAlign w:val="baseline"/>
        </w:rPr>
        <w:t>and</w:t>
      </w:r>
      <w:r>
        <w:rPr>
          <w:spacing w:val="-5"/>
          <w:sz w:val="16"/>
          <w:vertAlign w:val="baseline"/>
        </w:rPr>
        <w:t> </w:t>
      </w:r>
      <w:r>
        <w:rPr>
          <w:sz w:val="16"/>
          <w:vertAlign w:val="baseline"/>
        </w:rPr>
        <w:t>24</w:t>
      </w:r>
      <w:r>
        <w:rPr>
          <w:spacing w:val="-4"/>
          <w:sz w:val="16"/>
          <w:vertAlign w:val="baseline"/>
        </w:rPr>
        <w:t> </w:t>
      </w:r>
      <w:r>
        <w:rPr>
          <w:sz w:val="16"/>
          <w:vertAlign w:val="baseline"/>
        </w:rPr>
        <w:t>per</w:t>
      </w:r>
      <w:r>
        <w:rPr>
          <w:spacing w:val="-4"/>
          <w:sz w:val="16"/>
          <w:vertAlign w:val="baseline"/>
        </w:rPr>
        <w:t> </w:t>
      </w:r>
      <w:r>
        <w:rPr>
          <w:sz w:val="16"/>
          <w:vertAlign w:val="baseline"/>
        </w:rPr>
        <w:t>cent</w:t>
      </w:r>
      <w:r>
        <w:rPr>
          <w:spacing w:val="-6"/>
          <w:sz w:val="16"/>
          <w:vertAlign w:val="baseline"/>
        </w:rPr>
        <w:t> </w:t>
      </w:r>
      <w:r>
        <w:rPr>
          <w:sz w:val="16"/>
          <w:vertAlign w:val="baseline"/>
        </w:rPr>
        <w:t>progressed</w:t>
      </w:r>
      <w:r>
        <w:rPr>
          <w:spacing w:val="-5"/>
          <w:sz w:val="16"/>
          <w:vertAlign w:val="baseline"/>
        </w:rPr>
        <w:t> </w:t>
      </w:r>
      <w:r>
        <w:rPr>
          <w:sz w:val="16"/>
          <w:vertAlign w:val="baseline"/>
        </w:rPr>
        <w:t>to</w:t>
      </w:r>
      <w:r>
        <w:rPr>
          <w:spacing w:val="-5"/>
          <w:sz w:val="16"/>
          <w:vertAlign w:val="baseline"/>
        </w:rPr>
        <w:t> </w:t>
      </w:r>
      <w:r>
        <w:rPr>
          <w:spacing w:val="-2"/>
          <w:sz w:val="16"/>
          <w:vertAlign w:val="baseline"/>
        </w:rPr>
        <w:t>Tribunal</w:t>
      </w:r>
    </w:p>
    <w:p>
      <w:pPr>
        <w:spacing w:after="0" w:line="276" w:lineRule="auto"/>
        <w:jc w:val="left"/>
        <w:rPr>
          <w:sz w:val="16"/>
        </w:rPr>
        <w:sectPr>
          <w:pgSz w:w="11910" w:h="16840"/>
          <w:pgMar w:header="0" w:footer="996" w:top="1340" w:bottom="1180" w:left="460" w:right="320"/>
        </w:sectPr>
      </w:pPr>
    </w:p>
    <w:p>
      <w:pPr>
        <w:pStyle w:val="BodyText"/>
        <w:spacing w:line="20" w:lineRule="exact"/>
        <w:ind w:left="1337"/>
        <w:rPr>
          <w:sz w:val="2"/>
        </w:rPr>
      </w:pPr>
      <w:r>
        <w:rPr>
          <w:sz w:val="2"/>
        </w:rPr>
        <w:pict>
          <v:group style="width:415.65pt;height:.75pt;mso-position-horizontal-relative:char;mso-position-vertical-relative:line" id="docshapegroup416" coordorigin="0,0" coordsize="8313,15">
            <v:rect style="position:absolute;left:0;top:0;width:8313;height:15" id="docshape417" filled="true" fillcolor="#000000" stroked="false">
              <v:fill type="solid"/>
            </v:rect>
          </v:group>
        </w:pict>
      </w:r>
      <w:r>
        <w:rPr>
          <w:sz w:val="2"/>
        </w:rPr>
      </w:r>
    </w:p>
    <w:p>
      <w:pPr>
        <w:spacing w:line="276" w:lineRule="auto" w:before="90"/>
        <w:ind w:left="1337" w:right="3222" w:firstLine="0"/>
        <w:jc w:val="left"/>
        <w:rPr>
          <w:sz w:val="16"/>
        </w:rPr>
      </w:pPr>
      <w:hyperlink r:id="rId64">
        <w:r>
          <w:rPr>
            <w:color w:val="0562C1"/>
            <w:spacing w:val="-2"/>
            <w:sz w:val="16"/>
            <w:u w:val="single" w:color="0562C1"/>
          </w:rPr>
          <w:t>https://www.acas.org.uk/media/6267/Acas-Annual-Report-2018---</w:t>
        </w:r>
      </w:hyperlink>
      <w:r>
        <w:rPr>
          <w:color w:val="0562C1"/>
          <w:spacing w:val="-2"/>
          <w:sz w:val="16"/>
        </w:rPr>
        <w:t> </w:t>
      </w:r>
      <w:bookmarkStart w:name="_bookmark68" w:id="247"/>
      <w:bookmarkEnd w:id="247"/>
      <w:r>
        <w:rPr>
          <w:color w:val="0562C1"/>
          <w:w w:val="99"/>
          <w:sz w:val="16"/>
        </w:rPr>
      </w:r>
      <w:hyperlink r:id="rId64">
        <w:r>
          <w:rPr>
            <w:color w:val="0562C1"/>
            <w:spacing w:val="-2"/>
            <w:sz w:val="16"/>
            <w:u w:val="single" w:color="0562C1"/>
          </w:rPr>
          <w:t>2019/pdf/CCS001_CCS0419948884-001_ACAS_ARA_2018-19_Accessible_v2.pdf</w:t>
        </w:r>
      </w:hyperlink>
    </w:p>
    <w:p>
      <w:pPr>
        <w:spacing w:line="276" w:lineRule="auto" w:before="0"/>
        <w:ind w:left="1337" w:right="1472" w:firstLine="0"/>
        <w:jc w:val="left"/>
        <w:rPr>
          <w:sz w:val="16"/>
        </w:rPr>
      </w:pPr>
      <w:r>
        <w:rPr>
          <w:sz w:val="16"/>
          <w:vertAlign w:val="superscript"/>
        </w:rPr>
        <w:t>19</w:t>
      </w:r>
      <w:r>
        <w:rPr>
          <w:spacing w:val="-2"/>
          <w:sz w:val="16"/>
          <w:vertAlign w:val="baseline"/>
        </w:rPr>
        <w:t> </w:t>
      </w:r>
      <w:r>
        <w:rPr>
          <w:sz w:val="16"/>
          <w:vertAlign w:val="baseline"/>
        </w:rPr>
        <w:t>A</w:t>
      </w:r>
      <w:r>
        <w:rPr>
          <w:spacing w:val="-2"/>
          <w:sz w:val="16"/>
          <w:vertAlign w:val="baseline"/>
        </w:rPr>
        <w:t> </w:t>
      </w:r>
      <w:r>
        <w:rPr>
          <w:sz w:val="16"/>
          <w:vertAlign w:val="baseline"/>
        </w:rPr>
        <w:t>full</w:t>
      </w:r>
      <w:r>
        <w:rPr>
          <w:spacing w:val="-3"/>
          <w:sz w:val="16"/>
          <w:vertAlign w:val="baseline"/>
        </w:rPr>
        <w:t> </w:t>
      </w:r>
      <w:r>
        <w:rPr>
          <w:sz w:val="16"/>
          <w:vertAlign w:val="baseline"/>
        </w:rPr>
        <w:t>breakdown</w:t>
      </w:r>
      <w:r>
        <w:rPr>
          <w:spacing w:val="-3"/>
          <w:sz w:val="16"/>
          <w:vertAlign w:val="baseline"/>
        </w:rPr>
        <w:t> </w:t>
      </w:r>
      <w:r>
        <w:rPr>
          <w:sz w:val="16"/>
          <w:vertAlign w:val="baseline"/>
        </w:rPr>
        <w:t>of</w:t>
      </w:r>
      <w:r>
        <w:rPr>
          <w:spacing w:val="-2"/>
          <w:sz w:val="16"/>
          <w:vertAlign w:val="baseline"/>
        </w:rPr>
        <w:t> </w:t>
      </w:r>
      <w:r>
        <w:rPr>
          <w:sz w:val="16"/>
          <w:vertAlign w:val="baseline"/>
        </w:rPr>
        <w:t>case</w:t>
      </w:r>
      <w:r>
        <w:rPr>
          <w:spacing w:val="-3"/>
          <w:sz w:val="16"/>
          <w:vertAlign w:val="baseline"/>
        </w:rPr>
        <w:t> </w:t>
      </w:r>
      <w:r>
        <w:rPr>
          <w:sz w:val="16"/>
          <w:vertAlign w:val="baseline"/>
        </w:rPr>
        <w:t>outcomes</w:t>
      </w:r>
      <w:r>
        <w:rPr>
          <w:spacing w:val="-3"/>
          <w:sz w:val="16"/>
          <w:vertAlign w:val="baseline"/>
        </w:rPr>
        <w:t> </w:t>
      </w:r>
      <w:r>
        <w:rPr>
          <w:sz w:val="16"/>
          <w:vertAlign w:val="baseline"/>
        </w:rPr>
        <w:t>as</w:t>
      </w:r>
      <w:r>
        <w:rPr>
          <w:spacing w:val="-3"/>
          <w:sz w:val="16"/>
          <w:vertAlign w:val="baseline"/>
        </w:rPr>
        <w:t> </w:t>
      </w:r>
      <w:r>
        <w:rPr>
          <w:sz w:val="16"/>
          <w:vertAlign w:val="baseline"/>
        </w:rPr>
        <w:t>reported</w:t>
      </w:r>
      <w:r>
        <w:rPr>
          <w:spacing w:val="-2"/>
          <w:sz w:val="16"/>
          <w:vertAlign w:val="baseline"/>
        </w:rPr>
        <w:t> </w:t>
      </w:r>
      <w:r>
        <w:rPr>
          <w:sz w:val="16"/>
          <w:vertAlign w:val="baseline"/>
        </w:rPr>
        <w:t>by</w:t>
      </w:r>
      <w:r>
        <w:rPr>
          <w:spacing w:val="-2"/>
          <w:sz w:val="16"/>
          <w:vertAlign w:val="baseline"/>
        </w:rPr>
        <w:t> </w:t>
      </w:r>
      <w:r>
        <w:rPr>
          <w:sz w:val="16"/>
          <w:vertAlign w:val="baseline"/>
        </w:rPr>
        <w:t>claimant-side</w:t>
      </w:r>
      <w:r>
        <w:rPr>
          <w:spacing w:val="-3"/>
          <w:sz w:val="16"/>
          <w:vertAlign w:val="baseline"/>
        </w:rPr>
        <w:t> </w:t>
      </w:r>
      <w:r>
        <w:rPr>
          <w:sz w:val="16"/>
          <w:vertAlign w:val="baseline"/>
        </w:rPr>
        <w:t>and</w:t>
      </w:r>
      <w:r>
        <w:rPr>
          <w:spacing w:val="-1"/>
          <w:sz w:val="16"/>
          <w:vertAlign w:val="baseline"/>
        </w:rPr>
        <w:t> </w:t>
      </w:r>
      <w:r>
        <w:rPr>
          <w:sz w:val="16"/>
          <w:vertAlign w:val="baseline"/>
        </w:rPr>
        <w:t>employer-side</w:t>
      </w:r>
      <w:r>
        <w:rPr>
          <w:spacing w:val="-3"/>
          <w:sz w:val="16"/>
          <w:vertAlign w:val="baseline"/>
        </w:rPr>
        <w:t> </w:t>
      </w:r>
      <w:r>
        <w:rPr>
          <w:sz w:val="16"/>
          <w:vertAlign w:val="baseline"/>
        </w:rPr>
        <w:t>users</w:t>
      </w:r>
      <w:r>
        <w:rPr>
          <w:spacing w:val="-3"/>
          <w:sz w:val="16"/>
          <w:vertAlign w:val="baseline"/>
        </w:rPr>
        <w:t> </w:t>
      </w:r>
      <w:r>
        <w:rPr>
          <w:sz w:val="16"/>
          <w:vertAlign w:val="baseline"/>
        </w:rPr>
        <w:t>in</w:t>
      </w:r>
      <w:r>
        <w:rPr>
          <w:spacing w:val="-3"/>
          <w:sz w:val="16"/>
          <w:vertAlign w:val="baseline"/>
        </w:rPr>
        <w:t> </w:t>
      </w:r>
      <w:r>
        <w:rPr>
          <w:sz w:val="16"/>
          <w:vertAlign w:val="baseline"/>
        </w:rPr>
        <w:t>the survey are shown in the technical report</w:t>
      </w:r>
    </w:p>
    <w:p>
      <w:pPr>
        <w:spacing w:line="276" w:lineRule="auto" w:before="0"/>
        <w:ind w:left="1337" w:right="1513" w:firstLine="0"/>
        <w:jc w:val="left"/>
        <w:rPr>
          <w:sz w:val="16"/>
        </w:rPr>
      </w:pPr>
      <w:r>
        <w:rPr>
          <w:sz w:val="16"/>
          <w:vertAlign w:val="superscript"/>
        </w:rPr>
        <w:t>20</w:t>
      </w:r>
      <w:r>
        <w:rPr>
          <w:sz w:val="16"/>
          <w:vertAlign w:val="baseline"/>
        </w:rPr>
        <w:t> A binary logistic regression analysis was used: this is a technique which examines the relationships </w:t>
      </w:r>
      <w:bookmarkStart w:name="_bookmark69" w:id="248"/>
      <w:bookmarkEnd w:id="248"/>
      <w:r>
        <w:rPr>
          <w:sz w:val="16"/>
          <w:vertAlign w:val="baseline"/>
        </w:rPr>
        <w:t>b</w:t>
      </w:r>
      <w:r>
        <w:rPr>
          <w:sz w:val="16"/>
          <w:vertAlign w:val="baseline"/>
        </w:rPr>
        <w:t>etween</w:t>
      </w:r>
      <w:r>
        <w:rPr>
          <w:spacing w:val="-3"/>
          <w:sz w:val="16"/>
          <w:vertAlign w:val="baseline"/>
        </w:rPr>
        <w:t> </w:t>
      </w:r>
      <w:r>
        <w:rPr>
          <w:sz w:val="16"/>
          <w:vertAlign w:val="baseline"/>
        </w:rPr>
        <w:t>a</w:t>
      </w:r>
      <w:r>
        <w:rPr>
          <w:spacing w:val="-2"/>
          <w:sz w:val="16"/>
          <w:vertAlign w:val="baseline"/>
        </w:rPr>
        <w:t> </w:t>
      </w:r>
      <w:r>
        <w:rPr>
          <w:sz w:val="16"/>
          <w:vertAlign w:val="baseline"/>
        </w:rPr>
        <w:t>‘dependent’</w:t>
      </w:r>
      <w:r>
        <w:rPr>
          <w:spacing w:val="-2"/>
          <w:sz w:val="16"/>
          <w:vertAlign w:val="baseline"/>
        </w:rPr>
        <w:t> </w:t>
      </w:r>
      <w:r>
        <w:rPr>
          <w:sz w:val="16"/>
          <w:vertAlign w:val="baseline"/>
        </w:rPr>
        <w:t>variable</w:t>
      </w:r>
      <w:r>
        <w:rPr>
          <w:spacing w:val="-3"/>
          <w:sz w:val="16"/>
          <w:vertAlign w:val="baseline"/>
        </w:rPr>
        <w:t> </w:t>
      </w:r>
      <w:r>
        <w:rPr>
          <w:sz w:val="16"/>
          <w:vertAlign w:val="baseline"/>
        </w:rPr>
        <w:t>(in</w:t>
      </w:r>
      <w:r>
        <w:rPr>
          <w:spacing w:val="-3"/>
          <w:sz w:val="16"/>
          <w:vertAlign w:val="baseline"/>
        </w:rPr>
        <w:t> </w:t>
      </w:r>
      <w:r>
        <w:rPr>
          <w:sz w:val="16"/>
          <w:vertAlign w:val="baseline"/>
        </w:rPr>
        <w:t>this</w:t>
      </w:r>
      <w:r>
        <w:rPr>
          <w:spacing w:val="-3"/>
          <w:sz w:val="16"/>
          <w:vertAlign w:val="baseline"/>
        </w:rPr>
        <w:t> </w:t>
      </w:r>
      <w:r>
        <w:rPr>
          <w:sz w:val="16"/>
          <w:vertAlign w:val="baseline"/>
        </w:rPr>
        <w:t>case,</w:t>
      </w:r>
      <w:r>
        <w:rPr>
          <w:spacing w:val="-2"/>
          <w:sz w:val="16"/>
          <w:vertAlign w:val="baseline"/>
        </w:rPr>
        <w:t> </w:t>
      </w:r>
      <w:r>
        <w:rPr>
          <w:sz w:val="16"/>
          <w:vertAlign w:val="baseline"/>
        </w:rPr>
        <w:t>whether</w:t>
      </w:r>
      <w:r>
        <w:rPr>
          <w:spacing w:val="-2"/>
          <w:sz w:val="16"/>
          <w:vertAlign w:val="baseline"/>
        </w:rPr>
        <w:t> </w:t>
      </w:r>
      <w:r>
        <w:rPr>
          <w:sz w:val="16"/>
          <w:vertAlign w:val="baseline"/>
        </w:rPr>
        <w:t>the</w:t>
      </w:r>
      <w:r>
        <w:rPr>
          <w:spacing w:val="-3"/>
          <w:sz w:val="16"/>
          <w:vertAlign w:val="baseline"/>
        </w:rPr>
        <w:t> </w:t>
      </w:r>
      <w:r>
        <w:rPr>
          <w:sz w:val="16"/>
          <w:vertAlign w:val="baseline"/>
        </w:rPr>
        <w:t>EC</w:t>
      </w:r>
      <w:r>
        <w:rPr>
          <w:spacing w:val="-2"/>
          <w:sz w:val="16"/>
          <w:vertAlign w:val="baseline"/>
        </w:rPr>
        <w:t> </w:t>
      </w:r>
      <w:r>
        <w:rPr>
          <w:sz w:val="16"/>
          <w:vertAlign w:val="baseline"/>
        </w:rPr>
        <w:t>case</w:t>
      </w:r>
      <w:r>
        <w:rPr>
          <w:spacing w:val="-3"/>
          <w:sz w:val="16"/>
          <w:vertAlign w:val="baseline"/>
        </w:rPr>
        <w:t> </w:t>
      </w:r>
      <w:r>
        <w:rPr>
          <w:sz w:val="16"/>
          <w:vertAlign w:val="baseline"/>
        </w:rPr>
        <w:t>was</w:t>
      </w:r>
      <w:r>
        <w:rPr>
          <w:spacing w:val="-3"/>
          <w:sz w:val="16"/>
          <w:vertAlign w:val="baseline"/>
        </w:rPr>
        <w:t> </w:t>
      </w:r>
      <w:r>
        <w:rPr>
          <w:sz w:val="16"/>
          <w:vertAlign w:val="baseline"/>
        </w:rPr>
        <w:t>resolved</w:t>
      </w:r>
      <w:r>
        <w:rPr>
          <w:spacing w:val="-2"/>
          <w:sz w:val="16"/>
          <w:vertAlign w:val="baseline"/>
        </w:rPr>
        <w:t> </w:t>
      </w:r>
      <w:r>
        <w:rPr>
          <w:sz w:val="16"/>
          <w:vertAlign w:val="baseline"/>
        </w:rPr>
        <w:t>successfully</w:t>
      </w:r>
      <w:r>
        <w:rPr>
          <w:spacing w:val="-2"/>
          <w:sz w:val="16"/>
          <w:vertAlign w:val="baseline"/>
        </w:rPr>
        <w:t> </w:t>
      </w:r>
      <w:r>
        <w:rPr>
          <w:sz w:val="16"/>
          <w:vertAlign w:val="baseline"/>
        </w:rPr>
        <w:t>through</w:t>
      </w:r>
      <w:r>
        <w:rPr>
          <w:spacing w:val="-3"/>
          <w:sz w:val="16"/>
          <w:vertAlign w:val="baseline"/>
        </w:rPr>
        <w:t> </w:t>
      </w:r>
      <w:r>
        <w:rPr>
          <w:sz w:val="16"/>
          <w:vertAlign w:val="baseline"/>
        </w:rPr>
        <w:t>a settlement) with multiple ‘independent’ variables (factors which might influence the dependent variable, such as the track of a claimant’s dispute) to identify the most influential factors. Further detail is available in the technical appendices.</w:t>
      </w:r>
    </w:p>
    <w:p>
      <w:pPr>
        <w:spacing w:line="276" w:lineRule="auto" w:before="0"/>
        <w:ind w:left="1337" w:right="1472" w:firstLine="0"/>
        <w:jc w:val="left"/>
        <w:rPr>
          <w:sz w:val="16"/>
        </w:rPr>
      </w:pPr>
      <w:bookmarkStart w:name="_bookmark70" w:id="249"/>
      <w:bookmarkEnd w:id="249"/>
      <w:r>
        <w:rPr/>
      </w:r>
      <w:r>
        <w:rPr>
          <w:sz w:val="16"/>
          <w:vertAlign w:val="superscript"/>
        </w:rPr>
        <w:t>21</w:t>
      </w:r>
      <w:r>
        <w:rPr>
          <w:sz w:val="16"/>
          <w:vertAlign w:val="baseline"/>
        </w:rPr>
        <w:t> For the EC survey, the claimant-side and employer-side samples used different selection rules to exclude</w:t>
      </w:r>
      <w:r>
        <w:rPr>
          <w:spacing w:val="-2"/>
          <w:sz w:val="16"/>
          <w:vertAlign w:val="baseline"/>
        </w:rPr>
        <w:t> </w:t>
      </w:r>
      <w:r>
        <w:rPr>
          <w:sz w:val="16"/>
          <w:vertAlign w:val="baseline"/>
        </w:rPr>
        <w:t>cases</w:t>
      </w:r>
      <w:r>
        <w:rPr>
          <w:spacing w:val="-2"/>
          <w:sz w:val="16"/>
          <w:vertAlign w:val="baseline"/>
        </w:rPr>
        <w:t> </w:t>
      </w:r>
      <w:r>
        <w:rPr>
          <w:sz w:val="16"/>
          <w:vertAlign w:val="baseline"/>
        </w:rPr>
        <w:t>the</w:t>
      </w:r>
      <w:r>
        <w:rPr>
          <w:spacing w:val="-4"/>
          <w:sz w:val="16"/>
          <w:vertAlign w:val="baseline"/>
        </w:rPr>
        <w:t> </w:t>
      </w:r>
      <w:r>
        <w:rPr>
          <w:sz w:val="16"/>
          <w:vertAlign w:val="baseline"/>
        </w:rPr>
        <w:t>where</w:t>
      </w:r>
      <w:r>
        <w:rPr>
          <w:spacing w:val="-2"/>
          <w:sz w:val="16"/>
          <w:vertAlign w:val="baseline"/>
        </w:rPr>
        <w:t> </w:t>
      </w:r>
      <w:r>
        <w:rPr>
          <w:sz w:val="16"/>
          <w:vertAlign w:val="baseline"/>
        </w:rPr>
        <w:t>claimants</w:t>
      </w:r>
      <w:r>
        <w:rPr>
          <w:spacing w:val="-2"/>
          <w:sz w:val="16"/>
          <w:vertAlign w:val="baseline"/>
        </w:rPr>
        <w:t> </w:t>
      </w:r>
      <w:r>
        <w:rPr>
          <w:sz w:val="16"/>
          <w:vertAlign w:val="baseline"/>
        </w:rPr>
        <w:t>may</w:t>
      </w:r>
      <w:r>
        <w:rPr>
          <w:spacing w:val="-3"/>
          <w:sz w:val="16"/>
          <w:vertAlign w:val="baseline"/>
        </w:rPr>
        <w:t> </w:t>
      </w:r>
      <w:r>
        <w:rPr>
          <w:sz w:val="16"/>
          <w:vertAlign w:val="baseline"/>
        </w:rPr>
        <w:t>have</w:t>
      </w:r>
      <w:r>
        <w:rPr>
          <w:spacing w:val="-4"/>
          <w:sz w:val="16"/>
          <w:vertAlign w:val="baseline"/>
        </w:rPr>
        <w:t> </w:t>
      </w:r>
      <w:r>
        <w:rPr>
          <w:sz w:val="16"/>
          <w:vertAlign w:val="baseline"/>
        </w:rPr>
        <w:t>been</w:t>
      </w:r>
      <w:r>
        <w:rPr>
          <w:spacing w:val="-2"/>
          <w:sz w:val="16"/>
          <w:vertAlign w:val="baseline"/>
        </w:rPr>
        <w:t> </w:t>
      </w:r>
      <w:r>
        <w:rPr>
          <w:sz w:val="16"/>
          <w:vertAlign w:val="baseline"/>
        </w:rPr>
        <w:t>in</w:t>
      </w:r>
      <w:r>
        <w:rPr>
          <w:spacing w:val="-2"/>
          <w:sz w:val="16"/>
          <w:vertAlign w:val="baseline"/>
        </w:rPr>
        <w:t> </w:t>
      </w:r>
      <w:r>
        <w:rPr>
          <w:sz w:val="16"/>
          <w:vertAlign w:val="baseline"/>
        </w:rPr>
        <w:t>contact</w:t>
      </w:r>
      <w:r>
        <w:rPr>
          <w:spacing w:val="-4"/>
          <w:sz w:val="16"/>
          <w:vertAlign w:val="baseline"/>
        </w:rPr>
        <w:t> </w:t>
      </w:r>
      <w:r>
        <w:rPr>
          <w:sz w:val="16"/>
          <w:vertAlign w:val="baseline"/>
        </w:rPr>
        <w:t>with</w:t>
      </w:r>
      <w:r>
        <w:rPr>
          <w:spacing w:val="-4"/>
          <w:sz w:val="16"/>
          <w:vertAlign w:val="baseline"/>
        </w:rPr>
        <w:t> </w:t>
      </w:r>
      <w:r>
        <w:rPr>
          <w:sz w:val="16"/>
          <w:vertAlign w:val="baseline"/>
        </w:rPr>
        <w:t>Acas</w:t>
      </w:r>
      <w:r>
        <w:rPr>
          <w:spacing w:val="-2"/>
          <w:sz w:val="16"/>
          <w:vertAlign w:val="baseline"/>
        </w:rPr>
        <w:t> </w:t>
      </w:r>
      <w:r>
        <w:rPr>
          <w:sz w:val="16"/>
          <w:vertAlign w:val="baseline"/>
        </w:rPr>
        <w:t>but</w:t>
      </w:r>
      <w:r>
        <w:rPr>
          <w:spacing w:val="-4"/>
          <w:sz w:val="16"/>
          <w:vertAlign w:val="baseline"/>
        </w:rPr>
        <w:t> </w:t>
      </w:r>
      <w:r>
        <w:rPr>
          <w:sz w:val="16"/>
          <w:vertAlign w:val="baseline"/>
        </w:rPr>
        <w:t>ultimately</w:t>
      </w:r>
      <w:r>
        <w:rPr>
          <w:spacing w:val="-2"/>
          <w:sz w:val="16"/>
          <w:vertAlign w:val="baseline"/>
        </w:rPr>
        <w:t> </w:t>
      </w:r>
      <w:r>
        <w:rPr>
          <w:sz w:val="16"/>
          <w:vertAlign w:val="baseline"/>
        </w:rPr>
        <w:t>decided</w:t>
      </w:r>
      <w:r>
        <w:rPr>
          <w:spacing w:val="-3"/>
          <w:sz w:val="16"/>
          <w:vertAlign w:val="baseline"/>
        </w:rPr>
        <w:t> </w:t>
      </w:r>
      <w:r>
        <w:rPr>
          <w:sz w:val="16"/>
          <w:vertAlign w:val="baseline"/>
        </w:rPr>
        <w:t>not</w:t>
      </w:r>
      <w:r>
        <w:rPr>
          <w:spacing w:val="-4"/>
          <w:sz w:val="16"/>
          <w:vertAlign w:val="baseline"/>
        </w:rPr>
        <w:t> </w:t>
      </w:r>
      <w:r>
        <w:rPr>
          <w:sz w:val="16"/>
          <w:vertAlign w:val="baseline"/>
        </w:rPr>
        <w:t>to proceed with the case (and therefore employers would never have known of their initial intention to bring one). As a result, rates of settlement differ between claimant and employer samples.</w:t>
      </w:r>
    </w:p>
    <w:p>
      <w:pPr>
        <w:spacing w:line="276" w:lineRule="auto" w:before="0"/>
        <w:ind w:left="1337" w:right="1513" w:firstLine="0"/>
        <w:jc w:val="left"/>
        <w:rPr>
          <w:sz w:val="16"/>
        </w:rPr>
      </w:pPr>
      <w:bookmarkStart w:name="_bookmark71" w:id="250"/>
      <w:bookmarkEnd w:id="250"/>
      <w:r>
        <w:rPr/>
      </w:r>
      <w:r>
        <w:rPr>
          <w:sz w:val="16"/>
          <w:vertAlign w:val="superscript"/>
        </w:rPr>
        <w:t>22</w:t>
      </w:r>
      <w:r>
        <w:rPr>
          <w:sz w:val="16"/>
          <w:vertAlign w:val="baseline"/>
        </w:rPr>
        <w:t> A binary logistic regression analysis was used: this is a technique which examines the relationships between</w:t>
      </w:r>
      <w:r>
        <w:rPr>
          <w:spacing w:val="-3"/>
          <w:sz w:val="16"/>
          <w:vertAlign w:val="baseline"/>
        </w:rPr>
        <w:t> </w:t>
      </w:r>
      <w:r>
        <w:rPr>
          <w:sz w:val="16"/>
          <w:vertAlign w:val="baseline"/>
        </w:rPr>
        <w:t>a</w:t>
      </w:r>
      <w:r>
        <w:rPr>
          <w:spacing w:val="-2"/>
          <w:sz w:val="16"/>
          <w:vertAlign w:val="baseline"/>
        </w:rPr>
        <w:t> </w:t>
      </w:r>
      <w:r>
        <w:rPr>
          <w:sz w:val="16"/>
          <w:vertAlign w:val="baseline"/>
        </w:rPr>
        <w:t>‘dependent’</w:t>
      </w:r>
      <w:r>
        <w:rPr>
          <w:spacing w:val="-2"/>
          <w:sz w:val="16"/>
          <w:vertAlign w:val="baseline"/>
        </w:rPr>
        <w:t> </w:t>
      </w:r>
      <w:r>
        <w:rPr>
          <w:sz w:val="16"/>
          <w:vertAlign w:val="baseline"/>
        </w:rPr>
        <w:t>variable</w:t>
      </w:r>
      <w:r>
        <w:rPr>
          <w:spacing w:val="-3"/>
          <w:sz w:val="16"/>
          <w:vertAlign w:val="baseline"/>
        </w:rPr>
        <w:t> </w:t>
      </w:r>
      <w:r>
        <w:rPr>
          <w:sz w:val="16"/>
          <w:vertAlign w:val="baseline"/>
        </w:rPr>
        <w:t>(in</w:t>
      </w:r>
      <w:r>
        <w:rPr>
          <w:spacing w:val="-3"/>
          <w:sz w:val="16"/>
          <w:vertAlign w:val="baseline"/>
        </w:rPr>
        <w:t> </w:t>
      </w:r>
      <w:r>
        <w:rPr>
          <w:sz w:val="16"/>
          <w:vertAlign w:val="baseline"/>
        </w:rPr>
        <w:t>this</w:t>
      </w:r>
      <w:r>
        <w:rPr>
          <w:spacing w:val="-3"/>
          <w:sz w:val="16"/>
          <w:vertAlign w:val="baseline"/>
        </w:rPr>
        <w:t> </w:t>
      </w:r>
      <w:r>
        <w:rPr>
          <w:sz w:val="16"/>
          <w:vertAlign w:val="baseline"/>
        </w:rPr>
        <w:t>case,</w:t>
      </w:r>
      <w:r>
        <w:rPr>
          <w:spacing w:val="-2"/>
          <w:sz w:val="16"/>
          <w:vertAlign w:val="baseline"/>
        </w:rPr>
        <w:t> </w:t>
      </w:r>
      <w:r>
        <w:rPr>
          <w:sz w:val="16"/>
          <w:vertAlign w:val="baseline"/>
        </w:rPr>
        <w:t>whether</w:t>
      </w:r>
      <w:r>
        <w:rPr>
          <w:spacing w:val="-2"/>
          <w:sz w:val="16"/>
          <w:vertAlign w:val="baseline"/>
        </w:rPr>
        <w:t> </w:t>
      </w:r>
      <w:r>
        <w:rPr>
          <w:sz w:val="16"/>
          <w:vertAlign w:val="baseline"/>
        </w:rPr>
        <w:t>the</w:t>
      </w:r>
      <w:r>
        <w:rPr>
          <w:spacing w:val="-3"/>
          <w:sz w:val="16"/>
          <w:vertAlign w:val="baseline"/>
        </w:rPr>
        <w:t> </w:t>
      </w:r>
      <w:r>
        <w:rPr>
          <w:sz w:val="16"/>
          <w:vertAlign w:val="baseline"/>
        </w:rPr>
        <w:t>EC</w:t>
      </w:r>
      <w:r>
        <w:rPr>
          <w:spacing w:val="-2"/>
          <w:sz w:val="16"/>
          <w:vertAlign w:val="baseline"/>
        </w:rPr>
        <w:t> </w:t>
      </w:r>
      <w:r>
        <w:rPr>
          <w:sz w:val="16"/>
          <w:vertAlign w:val="baseline"/>
        </w:rPr>
        <w:t>case</w:t>
      </w:r>
      <w:r>
        <w:rPr>
          <w:spacing w:val="-3"/>
          <w:sz w:val="16"/>
          <w:vertAlign w:val="baseline"/>
        </w:rPr>
        <w:t> </w:t>
      </w:r>
      <w:r>
        <w:rPr>
          <w:sz w:val="16"/>
          <w:vertAlign w:val="baseline"/>
        </w:rPr>
        <w:t>was</w:t>
      </w:r>
      <w:r>
        <w:rPr>
          <w:spacing w:val="-3"/>
          <w:sz w:val="16"/>
          <w:vertAlign w:val="baseline"/>
        </w:rPr>
        <w:t> </w:t>
      </w:r>
      <w:r>
        <w:rPr>
          <w:sz w:val="16"/>
          <w:vertAlign w:val="baseline"/>
        </w:rPr>
        <w:t>resolved</w:t>
      </w:r>
      <w:r>
        <w:rPr>
          <w:spacing w:val="-2"/>
          <w:sz w:val="16"/>
          <w:vertAlign w:val="baseline"/>
        </w:rPr>
        <w:t> </w:t>
      </w:r>
      <w:r>
        <w:rPr>
          <w:sz w:val="16"/>
          <w:vertAlign w:val="baseline"/>
        </w:rPr>
        <w:t>successfully</w:t>
      </w:r>
      <w:r>
        <w:rPr>
          <w:spacing w:val="-2"/>
          <w:sz w:val="16"/>
          <w:vertAlign w:val="baseline"/>
        </w:rPr>
        <w:t> </w:t>
      </w:r>
      <w:r>
        <w:rPr>
          <w:sz w:val="16"/>
          <w:vertAlign w:val="baseline"/>
        </w:rPr>
        <w:t>through</w:t>
      </w:r>
      <w:r>
        <w:rPr>
          <w:spacing w:val="-3"/>
          <w:sz w:val="16"/>
          <w:vertAlign w:val="baseline"/>
        </w:rPr>
        <w:t> </w:t>
      </w:r>
      <w:r>
        <w:rPr>
          <w:sz w:val="16"/>
          <w:vertAlign w:val="baseline"/>
        </w:rPr>
        <w:t>a </w:t>
      </w:r>
      <w:bookmarkStart w:name="_bookmark72" w:id="251"/>
      <w:bookmarkEnd w:id="251"/>
      <w:r>
        <w:rPr>
          <w:sz w:val="16"/>
          <w:vertAlign w:val="baseline"/>
        </w:rPr>
        <w:t>se</w:t>
      </w:r>
      <w:r>
        <w:rPr>
          <w:sz w:val="16"/>
          <w:vertAlign w:val="baseline"/>
        </w:rPr>
        <w:t>ttlement) with multiple ‘independent’ variables (factors which might influence the dependent variable, such as the track of a claimant’s dispute) to identify the most influential factors. Further detail is available in the technical appendices.</w:t>
      </w:r>
    </w:p>
    <w:p>
      <w:pPr>
        <w:spacing w:line="276" w:lineRule="auto" w:before="0"/>
        <w:ind w:left="1337" w:right="1553" w:firstLine="0"/>
        <w:jc w:val="left"/>
        <w:rPr>
          <w:sz w:val="16"/>
        </w:rPr>
      </w:pPr>
      <w:r>
        <w:rPr>
          <w:sz w:val="16"/>
          <w:vertAlign w:val="superscript"/>
        </w:rPr>
        <w:t>23</w:t>
      </w:r>
      <w:r>
        <w:rPr>
          <w:spacing w:val="-2"/>
          <w:sz w:val="16"/>
          <w:vertAlign w:val="baseline"/>
        </w:rPr>
        <w:t> </w:t>
      </w:r>
      <w:r>
        <w:rPr>
          <w:sz w:val="16"/>
          <w:vertAlign w:val="baseline"/>
        </w:rPr>
        <w:t>N.B.</w:t>
      </w:r>
      <w:r>
        <w:rPr>
          <w:spacing w:val="-3"/>
          <w:sz w:val="16"/>
          <w:vertAlign w:val="baseline"/>
        </w:rPr>
        <w:t> </w:t>
      </w:r>
      <w:r>
        <w:rPr>
          <w:sz w:val="16"/>
          <w:vertAlign w:val="baseline"/>
        </w:rPr>
        <w:t>This</w:t>
      </w:r>
      <w:r>
        <w:rPr>
          <w:spacing w:val="-3"/>
          <w:sz w:val="16"/>
          <w:vertAlign w:val="baseline"/>
        </w:rPr>
        <w:t> </w:t>
      </w:r>
      <w:r>
        <w:rPr>
          <w:sz w:val="16"/>
          <w:vertAlign w:val="baseline"/>
        </w:rPr>
        <w:t>outcome</w:t>
      </w:r>
      <w:r>
        <w:rPr>
          <w:spacing w:val="-3"/>
          <w:sz w:val="16"/>
          <w:vertAlign w:val="baseline"/>
        </w:rPr>
        <w:t> </w:t>
      </w:r>
      <w:r>
        <w:rPr>
          <w:sz w:val="16"/>
          <w:vertAlign w:val="baseline"/>
        </w:rPr>
        <w:t>is</w:t>
      </w:r>
      <w:r>
        <w:rPr>
          <w:spacing w:val="-3"/>
          <w:sz w:val="16"/>
          <w:vertAlign w:val="baseline"/>
        </w:rPr>
        <w:t> </w:t>
      </w:r>
      <w:r>
        <w:rPr>
          <w:sz w:val="16"/>
          <w:vertAlign w:val="baseline"/>
        </w:rPr>
        <w:t>taken</w:t>
      </w:r>
      <w:r>
        <w:rPr>
          <w:spacing w:val="-3"/>
          <w:sz w:val="16"/>
          <w:vertAlign w:val="baseline"/>
        </w:rPr>
        <w:t> </w:t>
      </w:r>
      <w:r>
        <w:rPr>
          <w:sz w:val="16"/>
          <w:vertAlign w:val="baseline"/>
        </w:rPr>
        <w:t>from</w:t>
      </w:r>
      <w:r>
        <w:rPr>
          <w:spacing w:val="-3"/>
          <w:sz w:val="16"/>
          <w:vertAlign w:val="baseline"/>
        </w:rPr>
        <w:t> </w:t>
      </w:r>
      <w:r>
        <w:rPr>
          <w:sz w:val="16"/>
          <w:vertAlign w:val="baseline"/>
        </w:rPr>
        <w:t>data</w:t>
      </w:r>
      <w:r>
        <w:rPr>
          <w:spacing w:val="-1"/>
          <w:sz w:val="16"/>
          <w:vertAlign w:val="baseline"/>
        </w:rPr>
        <w:t> </w:t>
      </w:r>
      <w:r>
        <w:rPr>
          <w:sz w:val="16"/>
          <w:vertAlign w:val="baseline"/>
        </w:rPr>
        <w:t>in</w:t>
      </w:r>
      <w:r>
        <w:rPr>
          <w:spacing w:val="-3"/>
          <w:sz w:val="16"/>
          <w:vertAlign w:val="baseline"/>
        </w:rPr>
        <w:t> </w:t>
      </w:r>
      <w:r>
        <w:rPr>
          <w:sz w:val="16"/>
          <w:vertAlign w:val="baseline"/>
        </w:rPr>
        <w:t>the</w:t>
      </w:r>
      <w:r>
        <w:rPr>
          <w:spacing w:val="-1"/>
          <w:sz w:val="16"/>
          <w:vertAlign w:val="baseline"/>
        </w:rPr>
        <w:t> </w:t>
      </w:r>
      <w:r>
        <w:rPr>
          <w:sz w:val="16"/>
          <w:vertAlign w:val="baseline"/>
        </w:rPr>
        <w:t>Acas</w:t>
      </w:r>
      <w:r>
        <w:rPr>
          <w:spacing w:val="-3"/>
          <w:sz w:val="16"/>
          <w:vertAlign w:val="baseline"/>
        </w:rPr>
        <w:t> </w:t>
      </w:r>
      <w:r>
        <w:rPr>
          <w:sz w:val="16"/>
          <w:vertAlign w:val="baseline"/>
        </w:rPr>
        <w:t>Management</w:t>
      </w:r>
      <w:r>
        <w:rPr>
          <w:spacing w:val="-3"/>
          <w:sz w:val="16"/>
          <w:vertAlign w:val="baseline"/>
        </w:rPr>
        <w:t> </w:t>
      </w:r>
      <w:r>
        <w:rPr>
          <w:sz w:val="16"/>
          <w:vertAlign w:val="baseline"/>
        </w:rPr>
        <w:t>Information</w:t>
      </w:r>
      <w:r>
        <w:rPr>
          <w:spacing w:val="-3"/>
          <w:sz w:val="16"/>
          <w:vertAlign w:val="baseline"/>
        </w:rPr>
        <w:t> </w:t>
      </w:r>
      <w:r>
        <w:rPr>
          <w:sz w:val="16"/>
          <w:vertAlign w:val="baseline"/>
        </w:rPr>
        <w:t>(MI)</w:t>
      </w:r>
      <w:r>
        <w:rPr>
          <w:spacing w:val="-3"/>
          <w:sz w:val="16"/>
          <w:vertAlign w:val="baseline"/>
        </w:rPr>
        <w:t> </w:t>
      </w:r>
      <w:r>
        <w:rPr>
          <w:sz w:val="16"/>
          <w:vertAlign w:val="baseline"/>
        </w:rPr>
        <w:t>system.</w:t>
      </w:r>
      <w:r>
        <w:rPr>
          <w:spacing w:val="-3"/>
          <w:sz w:val="16"/>
          <w:vertAlign w:val="baseline"/>
        </w:rPr>
        <w:t> </w:t>
      </w:r>
      <w:r>
        <w:rPr>
          <w:sz w:val="16"/>
          <w:vertAlign w:val="baseline"/>
        </w:rPr>
        <w:t>In</w:t>
      </w:r>
      <w:r>
        <w:rPr>
          <w:spacing w:val="-3"/>
          <w:sz w:val="16"/>
          <w:vertAlign w:val="baseline"/>
        </w:rPr>
        <w:t> </w:t>
      </w:r>
      <w:r>
        <w:rPr>
          <w:sz w:val="16"/>
          <w:vertAlign w:val="baseline"/>
        </w:rPr>
        <w:t>a</w:t>
      </w:r>
      <w:r>
        <w:rPr>
          <w:spacing w:val="-2"/>
          <w:sz w:val="16"/>
          <w:vertAlign w:val="baseline"/>
        </w:rPr>
        <w:t> </w:t>
      </w:r>
      <w:r>
        <w:rPr>
          <w:sz w:val="16"/>
          <w:vertAlign w:val="baseline"/>
        </w:rPr>
        <w:t>small minority of cases, the outcome recorded in the survey differed to that recorded by Acas (questions were asked in the survey to collect this). The analysis in this section uses a combination of MI outcome categories and survey data to reach conclusions.</w:t>
      </w:r>
    </w:p>
    <w:p>
      <w:pPr>
        <w:spacing w:before="0"/>
        <w:ind w:left="1337" w:right="0" w:firstLine="0"/>
        <w:jc w:val="left"/>
        <w:rPr>
          <w:sz w:val="16"/>
        </w:rPr>
      </w:pPr>
      <w:r>
        <w:rPr>
          <w:sz w:val="16"/>
          <w:vertAlign w:val="superscript"/>
        </w:rPr>
        <w:t>24</w:t>
      </w:r>
      <w:r>
        <w:rPr>
          <w:spacing w:val="-5"/>
          <w:sz w:val="16"/>
          <w:vertAlign w:val="baseline"/>
        </w:rPr>
        <w:t> </w:t>
      </w:r>
      <w:bookmarkStart w:name="_bookmark73" w:id="252"/>
      <w:bookmarkEnd w:id="252"/>
      <w:r>
        <w:rPr>
          <w:sz w:val="16"/>
          <w:vertAlign w:val="baseline"/>
        </w:rPr>
        <w:t>T</w:t>
      </w:r>
      <w:r>
        <w:rPr>
          <w:sz w:val="16"/>
          <w:vertAlign w:val="baseline"/>
        </w:rPr>
        <w:t>he</w:t>
      </w:r>
      <w:r>
        <w:rPr>
          <w:spacing w:val="-6"/>
          <w:sz w:val="16"/>
          <w:vertAlign w:val="baseline"/>
        </w:rPr>
        <w:t> </w:t>
      </w:r>
      <w:r>
        <w:rPr>
          <w:sz w:val="16"/>
          <w:vertAlign w:val="baseline"/>
        </w:rPr>
        <w:t>base</w:t>
      </w:r>
      <w:r>
        <w:rPr>
          <w:spacing w:val="-6"/>
          <w:sz w:val="16"/>
          <w:vertAlign w:val="baseline"/>
        </w:rPr>
        <w:t> </w:t>
      </w:r>
      <w:r>
        <w:rPr>
          <w:sz w:val="16"/>
          <w:vertAlign w:val="baseline"/>
        </w:rPr>
        <w:t>size</w:t>
      </w:r>
      <w:r>
        <w:rPr>
          <w:spacing w:val="-4"/>
          <w:sz w:val="16"/>
          <w:vertAlign w:val="baseline"/>
        </w:rPr>
        <w:t> </w:t>
      </w:r>
      <w:r>
        <w:rPr>
          <w:sz w:val="16"/>
          <w:vertAlign w:val="baseline"/>
        </w:rPr>
        <w:t>for</w:t>
      </w:r>
      <w:r>
        <w:rPr>
          <w:spacing w:val="-5"/>
          <w:sz w:val="16"/>
          <w:vertAlign w:val="baseline"/>
        </w:rPr>
        <w:t> </w:t>
      </w:r>
      <w:r>
        <w:rPr>
          <w:sz w:val="16"/>
          <w:vertAlign w:val="baseline"/>
        </w:rPr>
        <w:t>employer</w:t>
      </w:r>
      <w:r>
        <w:rPr>
          <w:spacing w:val="-5"/>
          <w:sz w:val="16"/>
          <w:vertAlign w:val="baseline"/>
        </w:rPr>
        <w:t> </w:t>
      </w:r>
      <w:r>
        <w:rPr>
          <w:sz w:val="16"/>
          <w:vertAlign w:val="baseline"/>
        </w:rPr>
        <w:t>demographics</w:t>
      </w:r>
      <w:r>
        <w:rPr>
          <w:spacing w:val="-5"/>
          <w:sz w:val="16"/>
          <w:vertAlign w:val="baseline"/>
        </w:rPr>
        <w:t> </w:t>
      </w:r>
      <w:r>
        <w:rPr>
          <w:sz w:val="16"/>
          <w:vertAlign w:val="baseline"/>
        </w:rPr>
        <w:t>in</w:t>
      </w:r>
      <w:r>
        <w:rPr>
          <w:spacing w:val="-4"/>
          <w:sz w:val="16"/>
          <w:vertAlign w:val="baseline"/>
        </w:rPr>
        <w:t> </w:t>
      </w:r>
      <w:r>
        <w:rPr>
          <w:sz w:val="16"/>
          <w:vertAlign w:val="baseline"/>
        </w:rPr>
        <w:t>2016</w:t>
      </w:r>
      <w:r>
        <w:rPr>
          <w:spacing w:val="-5"/>
          <w:sz w:val="16"/>
          <w:vertAlign w:val="baseline"/>
        </w:rPr>
        <w:t> </w:t>
      </w:r>
      <w:r>
        <w:rPr>
          <w:sz w:val="16"/>
          <w:vertAlign w:val="baseline"/>
        </w:rPr>
        <w:t>was</w:t>
      </w:r>
      <w:r>
        <w:rPr>
          <w:spacing w:val="-6"/>
          <w:sz w:val="16"/>
          <w:vertAlign w:val="baseline"/>
        </w:rPr>
        <w:t> </w:t>
      </w:r>
      <w:r>
        <w:rPr>
          <w:spacing w:val="-5"/>
          <w:sz w:val="16"/>
          <w:vertAlign w:val="baseline"/>
        </w:rPr>
        <w:t>99.</w:t>
      </w:r>
    </w:p>
    <w:p>
      <w:pPr>
        <w:spacing w:line="276" w:lineRule="auto" w:before="29"/>
        <w:ind w:left="1337" w:right="1472" w:firstLine="0"/>
        <w:jc w:val="left"/>
        <w:rPr>
          <w:sz w:val="16"/>
        </w:rPr>
      </w:pPr>
      <w:r>
        <w:rPr>
          <w:sz w:val="16"/>
          <w:vertAlign w:val="superscript"/>
        </w:rPr>
        <w:t>25</w:t>
      </w:r>
      <w:r>
        <w:rPr>
          <w:spacing w:val="-2"/>
          <w:sz w:val="16"/>
          <w:vertAlign w:val="baseline"/>
        </w:rPr>
        <w:t> </w:t>
      </w:r>
      <w:bookmarkStart w:name="_bookmark74" w:id="253"/>
      <w:bookmarkEnd w:id="253"/>
      <w:r>
        <w:rPr>
          <w:sz w:val="16"/>
          <w:vertAlign w:val="baseline"/>
        </w:rPr>
        <w:t>N</w:t>
      </w:r>
      <w:r>
        <w:rPr>
          <w:sz w:val="16"/>
          <w:vertAlign w:val="baseline"/>
        </w:rPr>
        <w:t>ote</w:t>
      </w:r>
      <w:r>
        <w:rPr>
          <w:spacing w:val="-1"/>
          <w:sz w:val="16"/>
          <w:vertAlign w:val="baseline"/>
        </w:rPr>
        <w:t> </w:t>
      </w:r>
      <w:r>
        <w:rPr>
          <w:sz w:val="16"/>
          <w:vertAlign w:val="baseline"/>
        </w:rPr>
        <w:t>that</w:t>
      </w:r>
      <w:r>
        <w:rPr>
          <w:spacing w:val="-3"/>
          <w:sz w:val="16"/>
          <w:vertAlign w:val="baseline"/>
        </w:rPr>
        <w:t> </w:t>
      </w:r>
      <w:r>
        <w:rPr>
          <w:sz w:val="16"/>
          <w:vertAlign w:val="baseline"/>
        </w:rPr>
        <w:t>some</w:t>
      </w:r>
      <w:r>
        <w:rPr>
          <w:spacing w:val="-3"/>
          <w:sz w:val="16"/>
          <w:vertAlign w:val="baseline"/>
        </w:rPr>
        <w:t> </w:t>
      </w:r>
      <w:r>
        <w:rPr>
          <w:sz w:val="16"/>
          <w:vertAlign w:val="baseline"/>
        </w:rPr>
        <w:t>solicitors/barristers</w:t>
      </w:r>
      <w:r>
        <w:rPr>
          <w:spacing w:val="-3"/>
          <w:sz w:val="16"/>
          <w:vertAlign w:val="baseline"/>
        </w:rPr>
        <w:t> </w:t>
      </w:r>
      <w:r>
        <w:rPr>
          <w:sz w:val="16"/>
          <w:vertAlign w:val="baseline"/>
        </w:rPr>
        <w:t>are</w:t>
      </w:r>
      <w:r>
        <w:rPr>
          <w:spacing w:val="-3"/>
          <w:sz w:val="16"/>
          <w:vertAlign w:val="baseline"/>
        </w:rPr>
        <w:t> </w:t>
      </w:r>
      <w:r>
        <w:rPr>
          <w:sz w:val="16"/>
          <w:vertAlign w:val="baseline"/>
        </w:rPr>
        <w:t>instructed</w:t>
      </w:r>
      <w:r>
        <w:rPr>
          <w:spacing w:val="-2"/>
          <w:sz w:val="16"/>
          <w:vertAlign w:val="baseline"/>
        </w:rPr>
        <w:t> </w:t>
      </w:r>
      <w:r>
        <w:rPr>
          <w:sz w:val="16"/>
          <w:vertAlign w:val="baseline"/>
        </w:rPr>
        <w:t>by</w:t>
      </w:r>
      <w:r>
        <w:rPr>
          <w:spacing w:val="-2"/>
          <w:sz w:val="16"/>
          <w:vertAlign w:val="baseline"/>
        </w:rPr>
        <w:t> </w:t>
      </w:r>
      <w:r>
        <w:rPr>
          <w:sz w:val="16"/>
          <w:vertAlign w:val="baseline"/>
        </w:rPr>
        <w:t>a</w:t>
      </w:r>
      <w:r>
        <w:rPr>
          <w:spacing w:val="-2"/>
          <w:sz w:val="16"/>
          <w:vertAlign w:val="baseline"/>
        </w:rPr>
        <w:t> </w:t>
      </w:r>
      <w:r>
        <w:rPr>
          <w:sz w:val="16"/>
          <w:vertAlign w:val="baseline"/>
        </w:rPr>
        <w:t>Trade</w:t>
      </w:r>
      <w:r>
        <w:rPr>
          <w:spacing w:val="-3"/>
          <w:sz w:val="16"/>
          <w:vertAlign w:val="baseline"/>
        </w:rPr>
        <w:t> </w:t>
      </w:r>
      <w:r>
        <w:rPr>
          <w:sz w:val="16"/>
          <w:vertAlign w:val="baseline"/>
        </w:rPr>
        <w:t>Union</w:t>
      </w:r>
      <w:r>
        <w:rPr>
          <w:spacing w:val="-3"/>
          <w:sz w:val="16"/>
          <w:vertAlign w:val="baseline"/>
        </w:rPr>
        <w:t> </w:t>
      </w:r>
      <w:r>
        <w:rPr>
          <w:sz w:val="16"/>
          <w:vertAlign w:val="baseline"/>
        </w:rPr>
        <w:t>or</w:t>
      </w:r>
      <w:r>
        <w:rPr>
          <w:spacing w:val="-2"/>
          <w:sz w:val="16"/>
          <w:vertAlign w:val="baseline"/>
        </w:rPr>
        <w:t> </w:t>
      </w:r>
      <w:r>
        <w:rPr>
          <w:sz w:val="16"/>
          <w:vertAlign w:val="baseline"/>
        </w:rPr>
        <w:t>be</w:t>
      </w:r>
      <w:r>
        <w:rPr>
          <w:spacing w:val="-3"/>
          <w:sz w:val="16"/>
          <w:vertAlign w:val="baseline"/>
        </w:rPr>
        <w:t> </w:t>
      </w:r>
      <w:r>
        <w:rPr>
          <w:sz w:val="16"/>
          <w:vertAlign w:val="baseline"/>
        </w:rPr>
        <w:t>Trade</w:t>
      </w:r>
      <w:r>
        <w:rPr>
          <w:spacing w:val="-3"/>
          <w:sz w:val="16"/>
          <w:vertAlign w:val="baseline"/>
        </w:rPr>
        <w:t> </w:t>
      </w:r>
      <w:r>
        <w:rPr>
          <w:sz w:val="16"/>
          <w:vertAlign w:val="baseline"/>
        </w:rPr>
        <w:t>Union</w:t>
      </w:r>
      <w:r>
        <w:rPr>
          <w:spacing w:val="-1"/>
          <w:sz w:val="16"/>
          <w:vertAlign w:val="baseline"/>
        </w:rPr>
        <w:t> </w:t>
      </w:r>
      <w:r>
        <w:rPr>
          <w:sz w:val="16"/>
          <w:vertAlign w:val="baseline"/>
        </w:rPr>
        <w:t>appointed,</w:t>
      </w:r>
      <w:r>
        <w:rPr>
          <w:spacing w:val="-3"/>
          <w:sz w:val="16"/>
          <w:vertAlign w:val="baseline"/>
        </w:rPr>
        <w:t> </w:t>
      </w:r>
      <w:r>
        <w:rPr>
          <w:sz w:val="16"/>
          <w:vertAlign w:val="baseline"/>
        </w:rPr>
        <w:t>so this may be an underestimate of Trade Union representation per se.</w:t>
      </w:r>
    </w:p>
    <w:p>
      <w:pPr>
        <w:spacing w:line="252" w:lineRule="auto" w:before="0"/>
        <w:ind w:left="1337" w:right="1513" w:firstLine="0"/>
        <w:jc w:val="left"/>
        <w:rPr>
          <w:sz w:val="16"/>
        </w:rPr>
      </w:pPr>
      <w:r>
        <w:rPr>
          <w:rFonts w:ascii="Calibri"/>
          <w:position w:val="7"/>
          <w:sz w:val="13"/>
        </w:rPr>
        <w:t>26</w:t>
      </w:r>
      <w:r>
        <w:rPr>
          <w:rFonts w:ascii="Calibri"/>
          <w:spacing w:val="14"/>
          <w:position w:val="7"/>
          <w:sz w:val="13"/>
        </w:rPr>
        <w:t> </w:t>
      </w:r>
      <w:r>
        <w:rPr>
          <w:sz w:val="16"/>
        </w:rPr>
        <w:t>77</w:t>
      </w:r>
      <w:r>
        <w:rPr>
          <w:spacing w:val="-2"/>
          <w:sz w:val="16"/>
        </w:rPr>
        <w:t> </w:t>
      </w:r>
      <w:r>
        <w:rPr>
          <w:sz w:val="16"/>
        </w:rPr>
        <w:t>(of</w:t>
      </w:r>
      <w:r>
        <w:rPr>
          <w:spacing w:val="-2"/>
          <w:sz w:val="16"/>
        </w:rPr>
        <w:t> </w:t>
      </w:r>
      <w:r>
        <w:rPr>
          <w:sz w:val="16"/>
        </w:rPr>
        <w:t>389)</w:t>
      </w:r>
      <w:r>
        <w:rPr>
          <w:spacing w:val="-3"/>
          <w:sz w:val="16"/>
        </w:rPr>
        <w:t> </w:t>
      </w:r>
      <w:r>
        <w:rPr>
          <w:sz w:val="16"/>
        </w:rPr>
        <w:t>claimants</w:t>
      </w:r>
      <w:r>
        <w:rPr>
          <w:spacing w:val="-3"/>
          <w:sz w:val="16"/>
        </w:rPr>
        <w:t> </w:t>
      </w:r>
      <w:r>
        <w:rPr>
          <w:sz w:val="16"/>
        </w:rPr>
        <w:t>gave</w:t>
      </w:r>
      <w:r>
        <w:rPr>
          <w:spacing w:val="-1"/>
          <w:sz w:val="16"/>
        </w:rPr>
        <w:t> </w:t>
      </w:r>
      <w:r>
        <w:rPr>
          <w:sz w:val="16"/>
        </w:rPr>
        <w:t>an</w:t>
      </w:r>
      <w:r>
        <w:rPr>
          <w:spacing w:val="-2"/>
          <w:sz w:val="16"/>
        </w:rPr>
        <w:t> </w:t>
      </w:r>
      <w:r>
        <w:rPr>
          <w:sz w:val="16"/>
        </w:rPr>
        <w:t>ethnicity</w:t>
      </w:r>
      <w:r>
        <w:rPr>
          <w:spacing w:val="-2"/>
          <w:sz w:val="16"/>
        </w:rPr>
        <w:t> </w:t>
      </w:r>
      <w:r>
        <w:rPr>
          <w:sz w:val="16"/>
        </w:rPr>
        <w:t>other</w:t>
      </w:r>
      <w:r>
        <w:rPr>
          <w:spacing w:val="-2"/>
          <w:sz w:val="16"/>
        </w:rPr>
        <w:t> </w:t>
      </w:r>
      <w:r>
        <w:rPr>
          <w:sz w:val="16"/>
        </w:rPr>
        <w:t>than</w:t>
      </w:r>
      <w:r>
        <w:rPr>
          <w:spacing w:val="-3"/>
          <w:sz w:val="16"/>
        </w:rPr>
        <w:t> </w:t>
      </w:r>
      <w:r>
        <w:rPr>
          <w:sz w:val="16"/>
        </w:rPr>
        <w:t>White.</w:t>
      </w:r>
      <w:r>
        <w:rPr>
          <w:spacing w:val="-3"/>
          <w:sz w:val="16"/>
        </w:rPr>
        <w:t> </w:t>
      </w:r>
      <w:r>
        <w:rPr>
          <w:sz w:val="16"/>
        </w:rPr>
        <w:t>These</w:t>
      </w:r>
      <w:r>
        <w:rPr>
          <w:spacing w:val="-1"/>
          <w:sz w:val="16"/>
        </w:rPr>
        <w:t> </w:t>
      </w:r>
      <w:r>
        <w:rPr>
          <w:sz w:val="16"/>
        </w:rPr>
        <w:t>small</w:t>
      </w:r>
      <w:r>
        <w:rPr>
          <w:spacing w:val="-3"/>
          <w:sz w:val="16"/>
        </w:rPr>
        <w:t> </w:t>
      </w:r>
      <w:r>
        <w:rPr>
          <w:sz w:val="16"/>
        </w:rPr>
        <w:t>base</w:t>
      </w:r>
      <w:r>
        <w:rPr>
          <w:spacing w:val="-3"/>
          <w:sz w:val="16"/>
        </w:rPr>
        <w:t> </w:t>
      </w:r>
      <w:r>
        <w:rPr>
          <w:sz w:val="16"/>
        </w:rPr>
        <w:t>sizes</w:t>
      </w:r>
      <w:r>
        <w:rPr>
          <w:spacing w:val="-3"/>
          <w:sz w:val="16"/>
        </w:rPr>
        <w:t> </w:t>
      </w:r>
      <w:r>
        <w:rPr>
          <w:sz w:val="16"/>
        </w:rPr>
        <w:t>mean</w:t>
      </w:r>
      <w:r>
        <w:rPr>
          <w:spacing w:val="-1"/>
          <w:sz w:val="16"/>
        </w:rPr>
        <w:t> </w:t>
      </w:r>
      <w:r>
        <w:rPr>
          <w:sz w:val="16"/>
        </w:rPr>
        <w:t>that</w:t>
      </w:r>
      <w:r>
        <w:rPr>
          <w:spacing w:val="-2"/>
          <w:sz w:val="16"/>
        </w:rPr>
        <w:t> </w:t>
      </w:r>
      <w:r>
        <w:rPr>
          <w:sz w:val="16"/>
        </w:rPr>
        <w:t>there</w:t>
      </w:r>
      <w:r>
        <w:rPr>
          <w:spacing w:val="-3"/>
          <w:sz w:val="16"/>
        </w:rPr>
        <w:t> </w:t>
      </w:r>
      <w:r>
        <w:rPr>
          <w:sz w:val="16"/>
        </w:rPr>
        <w:t>is a high level of uncertainty that any differences exist in the wider population, and caution should be taken ascribing meaning to statistical significance found.</w:t>
      </w:r>
    </w:p>
    <w:p>
      <w:pPr>
        <w:spacing w:line="186" w:lineRule="exact" w:before="0"/>
        <w:ind w:left="1337" w:right="0" w:firstLine="0"/>
        <w:jc w:val="left"/>
        <w:rPr>
          <w:sz w:val="16"/>
        </w:rPr>
      </w:pPr>
      <w:bookmarkStart w:name="_bookmark75" w:id="254"/>
      <w:bookmarkEnd w:id="254"/>
      <w:r>
        <w:rPr/>
      </w:r>
      <w:r>
        <w:rPr>
          <w:sz w:val="16"/>
          <w:vertAlign w:val="superscript"/>
        </w:rPr>
        <w:t>27</w:t>
      </w:r>
      <w:r>
        <w:rPr>
          <w:spacing w:val="-6"/>
          <w:sz w:val="16"/>
          <w:vertAlign w:val="baseline"/>
        </w:rPr>
        <w:t> </w:t>
      </w:r>
      <w:r>
        <w:rPr>
          <w:sz w:val="16"/>
          <w:vertAlign w:val="baseline"/>
        </w:rPr>
        <w:t>N.B.</w:t>
      </w:r>
      <w:r>
        <w:rPr>
          <w:spacing w:val="-7"/>
          <w:sz w:val="16"/>
          <w:vertAlign w:val="baseline"/>
        </w:rPr>
        <w:t> </w:t>
      </w:r>
      <w:r>
        <w:rPr>
          <w:sz w:val="16"/>
          <w:vertAlign w:val="baseline"/>
        </w:rPr>
        <w:t>When</w:t>
      </w:r>
      <w:r>
        <w:rPr>
          <w:spacing w:val="-6"/>
          <w:sz w:val="16"/>
          <w:vertAlign w:val="baseline"/>
        </w:rPr>
        <w:t> </w:t>
      </w:r>
      <w:r>
        <w:rPr>
          <w:sz w:val="16"/>
          <w:vertAlign w:val="baseline"/>
        </w:rPr>
        <w:t>considering</w:t>
      </w:r>
      <w:r>
        <w:rPr>
          <w:spacing w:val="-6"/>
          <w:sz w:val="16"/>
          <w:vertAlign w:val="baseline"/>
        </w:rPr>
        <w:t> </w:t>
      </w:r>
      <w:r>
        <w:rPr>
          <w:sz w:val="16"/>
          <w:vertAlign w:val="baseline"/>
        </w:rPr>
        <w:t>these</w:t>
      </w:r>
      <w:r>
        <w:rPr>
          <w:spacing w:val="-6"/>
          <w:sz w:val="16"/>
          <w:vertAlign w:val="baseline"/>
        </w:rPr>
        <w:t> </w:t>
      </w:r>
      <w:r>
        <w:rPr>
          <w:sz w:val="16"/>
          <w:vertAlign w:val="baseline"/>
        </w:rPr>
        <w:t>results,</w:t>
      </w:r>
      <w:r>
        <w:rPr>
          <w:spacing w:val="-7"/>
          <w:sz w:val="16"/>
          <w:vertAlign w:val="baseline"/>
        </w:rPr>
        <w:t> </w:t>
      </w:r>
      <w:r>
        <w:rPr>
          <w:sz w:val="16"/>
          <w:vertAlign w:val="baseline"/>
        </w:rPr>
        <w:t>it</w:t>
      </w:r>
      <w:r>
        <w:rPr>
          <w:spacing w:val="-6"/>
          <w:sz w:val="16"/>
          <w:vertAlign w:val="baseline"/>
        </w:rPr>
        <w:t> </w:t>
      </w:r>
      <w:r>
        <w:rPr>
          <w:sz w:val="16"/>
          <w:vertAlign w:val="baseline"/>
        </w:rPr>
        <w:t>should</w:t>
      </w:r>
      <w:r>
        <w:rPr>
          <w:spacing w:val="-6"/>
          <w:sz w:val="16"/>
          <w:vertAlign w:val="baseline"/>
        </w:rPr>
        <w:t> </w:t>
      </w:r>
      <w:r>
        <w:rPr>
          <w:sz w:val="16"/>
          <w:vertAlign w:val="baseline"/>
        </w:rPr>
        <w:t>be</w:t>
      </w:r>
      <w:r>
        <w:rPr>
          <w:spacing w:val="-4"/>
          <w:sz w:val="16"/>
          <w:vertAlign w:val="baseline"/>
        </w:rPr>
        <w:t> </w:t>
      </w:r>
      <w:r>
        <w:rPr>
          <w:sz w:val="16"/>
          <w:vertAlign w:val="baseline"/>
        </w:rPr>
        <w:t>noted</w:t>
      </w:r>
      <w:r>
        <w:rPr>
          <w:spacing w:val="-6"/>
          <w:sz w:val="16"/>
          <w:vertAlign w:val="baseline"/>
        </w:rPr>
        <w:t> </w:t>
      </w:r>
      <w:r>
        <w:rPr>
          <w:sz w:val="16"/>
          <w:vertAlign w:val="baseline"/>
        </w:rPr>
        <w:t>that</w:t>
      </w:r>
      <w:r>
        <w:rPr>
          <w:spacing w:val="-6"/>
          <w:sz w:val="16"/>
          <w:vertAlign w:val="baseline"/>
        </w:rPr>
        <w:t> </w:t>
      </w:r>
      <w:r>
        <w:rPr>
          <w:sz w:val="16"/>
          <w:vertAlign w:val="baseline"/>
        </w:rPr>
        <w:t>an</w:t>
      </w:r>
      <w:r>
        <w:rPr>
          <w:spacing w:val="-7"/>
          <w:sz w:val="16"/>
          <w:vertAlign w:val="baseline"/>
        </w:rPr>
        <w:t> </w:t>
      </w:r>
      <w:r>
        <w:rPr>
          <w:sz w:val="16"/>
          <w:vertAlign w:val="baseline"/>
        </w:rPr>
        <w:t>Acas</w:t>
      </w:r>
      <w:r>
        <w:rPr>
          <w:spacing w:val="-5"/>
          <w:sz w:val="16"/>
          <w:vertAlign w:val="baseline"/>
        </w:rPr>
        <w:t> </w:t>
      </w:r>
      <w:r>
        <w:rPr>
          <w:sz w:val="16"/>
          <w:vertAlign w:val="baseline"/>
        </w:rPr>
        <w:t>conciliator</w:t>
      </w:r>
      <w:r>
        <w:rPr>
          <w:spacing w:val="-5"/>
          <w:sz w:val="16"/>
          <w:vertAlign w:val="baseline"/>
        </w:rPr>
        <w:t> </w:t>
      </w:r>
      <w:r>
        <w:rPr>
          <w:sz w:val="16"/>
          <w:vertAlign w:val="baseline"/>
        </w:rPr>
        <w:t>cannot</w:t>
      </w:r>
      <w:r>
        <w:rPr>
          <w:spacing w:val="-7"/>
          <w:sz w:val="16"/>
          <w:vertAlign w:val="baseline"/>
        </w:rPr>
        <w:t> </w:t>
      </w:r>
      <w:r>
        <w:rPr>
          <w:spacing w:val="-2"/>
          <w:sz w:val="16"/>
          <w:vertAlign w:val="baseline"/>
        </w:rPr>
        <w:t>attempt</w:t>
      </w:r>
    </w:p>
    <w:p>
      <w:pPr>
        <w:spacing w:line="276" w:lineRule="auto" w:before="26"/>
        <w:ind w:left="1337" w:right="1472" w:firstLine="0"/>
        <w:jc w:val="left"/>
        <w:rPr>
          <w:sz w:val="16"/>
        </w:rPr>
      </w:pPr>
      <w:r>
        <w:rPr>
          <w:sz w:val="16"/>
        </w:rPr>
        <w:t>contact</w:t>
      </w:r>
      <w:r>
        <w:rPr>
          <w:spacing w:val="-3"/>
          <w:sz w:val="16"/>
        </w:rPr>
        <w:t> </w:t>
      </w:r>
      <w:r>
        <w:rPr>
          <w:sz w:val="16"/>
        </w:rPr>
        <w:t>with</w:t>
      </w:r>
      <w:r>
        <w:rPr>
          <w:spacing w:val="-3"/>
          <w:sz w:val="16"/>
        </w:rPr>
        <w:t> </w:t>
      </w:r>
      <w:r>
        <w:rPr>
          <w:sz w:val="16"/>
        </w:rPr>
        <w:t>either</w:t>
      </w:r>
      <w:r>
        <w:rPr>
          <w:spacing w:val="-2"/>
          <w:sz w:val="16"/>
        </w:rPr>
        <w:t> </w:t>
      </w:r>
      <w:r>
        <w:rPr>
          <w:sz w:val="16"/>
        </w:rPr>
        <w:t>party</w:t>
      </w:r>
      <w:r>
        <w:rPr>
          <w:spacing w:val="-2"/>
          <w:sz w:val="16"/>
        </w:rPr>
        <w:t> </w:t>
      </w:r>
      <w:r>
        <w:rPr>
          <w:sz w:val="16"/>
        </w:rPr>
        <w:t>until</w:t>
      </w:r>
      <w:r>
        <w:rPr>
          <w:spacing w:val="-2"/>
          <w:sz w:val="16"/>
        </w:rPr>
        <w:t> </w:t>
      </w:r>
      <w:r>
        <w:rPr>
          <w:sz w:val="16"/>
        </w:rPr>
        <w:t>the</w:t>
      </w:r>
      <w:r>
        <w:rPr>
          <w:spacing w:val="-3"/>
          <w:sz w:val="16"/>
        </w:rPr>
        <w:t> </w:t>
      </w:r>
      <w:r>
        <w:rPr>
          <w:sz w:val="16"/>
        </w:rPr>
        <w:t>ET1</w:t>
      </w:r>
      <w:r>
        <w:rPr>
          <w:spacing w:val="-2"/>
          <w:sz w:val="16"/>
        </w:rPr>
        <w:t> </w:t>
      </w:r>
      <w:r>
        <w:rPr>
          <w:sz w:val="16"/>
        </w:rPr>
        <w:t>–</w:t>
      </w:r>
      <w:r>
        <w:rPr>
          <w:spacing w:val="-2"/>
          <w:sz w:val="16"/>
        </w:rPr>
        <w:t> </w:t>
      </w:r>
      <w:r>
        <w:rPr>
          <w:sz w:val="16"/>
        </w:rPr>
        <w:t>which</w:t>
      </w:r>
      <w:r>
        <w:rPr>
          <w:spacing w:val="-3"/>
          <w:sz w:val="16"/>
        </w:rPr>
        <w:t> </w:t>
      </w:r>
      <w:r>
        <w:rPr>
          <w:sz w:val="16"/>
        </w:rPr>
        <w:t>the</w:t>
      </w:r>
      <w:r>
        <w:rPr>
          <w:spacing w:val="-3"/>
          <w:sz w:val="16"/>
        </w:rPr>
        <w:t> </w:t>
      </w:r>
      <w:r>
        <w:rPr>
          <w:sz w:val="16"/>
        </w:rPr>
        <w:t>claimant</w:t>
      </w:r>
      <w:r>
        <w:rPr>
          <w:spacing w:val="-3"/>
          <w:sz w:val="16"/>
        </w:rPr>
        <w:t> </w:t>
      </w:r>
      <w:r>
        <w:rPr>
          <w:sz w:val="16"/>
        </w:rPr>
        <w:t>submits</w:t>
      </w:r>
      <w:r>
        <w:rPr>
          <w:spacing w:val="-3"/>
          <w:sz w:val="16"/>
        </w:rPr>
        <w:t> </w:t>
      </w:r>
      <w:r>
        <w:rPr>
          <w:sz w:val="16"/>
        </w:rPr>
        <w:t>to</w:t>
      </w:r>
      <w:r>
        <w:rPr>
          <w:spacing w:val="-2"/>
          <w:sz w:val="16"/>
        </w:rPr>
        <w:t> </w:t>
      </w:r>
      <w:r>
        <w:rPr>
          <w:sz w:val="16"/>
        </w:rPr>
        <w:t>the</w:t>
      </w:r>
      <w:r>
        <w:rPr>
          <w:spacing w:val="-3"/>
          <w:sz w:val="16"/>
        </w:rPr>
        <w:t> </w:t>
      </w:r>
      <w:r>
        <w:rPr>
          <w:sz w:val="16"/>
        </w:rPr>
        <w:t>employment</w:t>
      </w:r>
      <w:r>
        <w:rPr>
          <w:spacing w:val="-2"/>
          <w:sz w:val="16"/>
        </w:rPr>
        <w:t> </w:t>
      </w:r>
      <w:r>
        <w:rPr>
          <w:sz w:val="16"/>
        </w:rPr>
        <w:t>tribunal</w:t>
      </w:r>
      <w:r>
        <w:rPr>
          <w:spacing w:val="-3"/>
          <w:sz w:val="16"/>
        </w:rPr>
        <w:t> </w:t>
      </w:r>
      <w:r>
        <w:rPr>
          <w:sz w:val="16"/>
        </w:rPr>
        <w:t>–</w:t>
      </w:r>
      <w:r>
        <w:rPr>
          <w:spacing w:val="-2"/>
          <w:sz w:val="16"/>
        </w:rPr>
        <w:t> </w:t>
      </w:r>
      <w:r>
        <w:rPr>
          <w:sz w:val="16"/>
        </w:rPr>
        <w:t>has </w:t>
      </w:r>
      <w:bookmarkStart w:name="_bookmark76" w:id="255"/>
      <w:bookmarkEnd w:id="255"/>
      <w:r>
        <w:rPr>
          <w:sz w:val="16"/>
        </w:rPr>
        <w:t>b</w:t>
      </w:r>
      <w:r>
        <w:rPr>
          <w:sz w:val="16"/>
        </w:rPr>
        <w:t>een copied to Acas.</w:t>
      </w:r>
    </w:p>
    <w:p>
      <w:pPr>
        <w:spacing w:line="194" w:lineRule="exact" w:before="0"/>
        <w:ind w:left="1337" w:right="0" w:firstLine="0"/>
        <w:jc w:val="left"/>
        <w:rPr>
          <w:sz w:val="16"/>
        </w:rPr>
      </w:pPr>
      <w:r>
        <w:rPr>
          <w:sz w:val="16"/>
          <w:vertAlign w:val="superscript"/>
        </w:rPr>
        <w:t>28</w:t>
      </w:r>
      <w:r>
        <w:rPr>
          <w:sz w:val="16"/>
          <w:vertAlign w:val="baseline"/>
        </w:rPr>
        <w:t>256</w:t>
      </w:r>
      <w:r>
        <w:rPr>
          <w:spacing w:val="-7"/>
          <w:sz w:val="16"/>
          <w:vertAlign w:val="baseline"/>
        </w:rPr>
        <w:t> </w:t>
      </w:r>
      <w:r>
        <w:rPr>
          <w:sz w:val="16"/>
          <w:vertAlign w:val="baseline"/>
        </w:rPr>
        <w:t>claimants</w:t>
      </w:r>
      <w:r>
        <w:rPr>
          <w:spacing w:val="-5"/>
          <w:sz w:val="16"/>
          <w:vertAlign w:val="baseline"/>
        </w:rPr>
        <w:t> </w:t>
      </w:r>
      <w:r>
        <w:rPr>
          <w:sz w:val="16"/>
          <w:vertAlign w:val="baseline"/>
        </w:rPr>
        <w:t>and</w:t>
      </w:r>
      <w:r>
        <w:rPr>
          <w:spacing w:val="-7"/>
          <w:sz w:val="16"/>
          <w:vertAlign w:val="baseline"/>
        </w:rPr>
        <w:t> </w:t>
      </w:r>
      <w:r>
        <w:rPr>
          <w:sz w:val="16"/>
          <w:vertAlign w:val="baseline"/>
        </w:rPr>
        <w:t>151</w:t>
      </w:r>
      <w:r>
        <w:rPr>
          <w:spacing w:val="-6"/>
          <w:sz w:val="16"/>
          <w:vertAlign w:val="baseline"/>
        </w:rPr>
        <w:t> </w:t>
      </w:r>
      <w:r>
        <w:rPr>
          <w:sz w:val="16"/>
          <w:vertAlign w:val="baseline"/>
        </w:rPr>
        <w:t>claimant</w:t>
      </w:r>
      <w:r>
        <w:rPr>
          <w:spacing w:val="-7"/>
          <w:sz w:val="16"/>
          <w:vertAlign w:val="baseline"/>
        </w:rPr>
        <w:t> </w:t>
      </w:r>
      <w:r>
        <w:rPr>
          <w:spacing w:val="-2"/>
          <w:sz w:val="16"/>
          <w:vertAlign w:val="baseline"/>
        </w:rPr>
        <w:t>representatives.</w:t>
      </w:r>
    </w:p>
    <w:p>
      <w:pPr>
        <w:spacing w:before="30"/>
        <w:ind w:left="1337" w:right="0" w:firstLine="0"/>
        <w:jc w:val="left"/>
        <w:rPr>
          <w:sz w:val="16"/>
        </w:rPr>
      </w:pPr>
      <w:r>
        <w:rPr>
          <w:sz w:val="16"/>
          <w:vertAlign w:val="superscript"/>
        </w:rPr>
        <w:t>29</w:t>
      </w:r>
      <w:r>
        <w:rPr>
          <w:spacing w:val="-5"/>
          <w:sz w:val="16"/>
          <w:vertAlign w:val="baseline"/>
        </w:rPr>
        <w:t> </w:t>
      </w:r>
      <w:r>
        <w:rPr>
          <w:sz w:val="16"/>
          <w:vertAlign w:val="baseline"/>
        </w:rPr>
        <w:t>N.B.</w:t>
      </w:r>
      <w:r>
        <w:rPr>
          <w:spacing w:val="-5"/>
          <w:sz w:val="16"/>
          <w:vertAlign w:val="baseline"/>
        </w:rPr>
        <w:t> </w:t>
      </w:r>
      <w:r>
        <w:rPr>
          <w:sz w:val="16"/>
          <w:vertAlign w:val="baseline"/>
        </w:rPr>
        <w:t>base</w:t>
      </w:r>
      <w:r>
        <w:rPr>
          <w:spacing w:val="-5"/>
          <w:sz w:val="16"/>
          <w:vertAlign w:val="baseline"/>
        </w:rPr>
        <w:t> </w:t>
      </w:r>
      <w:r>
        <w:rPr>
          <w:sz w:val="16"/>
          <w:vertAlign w:val="baseline"/>
        </w:rPr>
        <w:t>sizes</w:t>
      </w:r>
      <w:r>
        <w:rPr>
          <w:spacing w:val="-5"/>
          <w:sz w:val="16"/>
          <w:vertAlign w:val="baseline"/>
        </w:rPr>
        <w:t> </w:t>
      </w:r>
      <w:r>
        <w:rPr>
          <w:sz w:val="16"/>
          <w:vertAlign w:val="baseline"/>
        </w:rPr>
        <w:t>here</w:t>
      </w:r>
      <w:r>
        <w:rPr>
          <w:spacing w:val="-5"/>
          <w:sz w:val="16"/>
          <w:vertAlign w:val="baseline"/>
        </w:rPr>
        <w:t> </w:t>
      </w:r>
      <w:r>
        <w:rPr>
          <w:sz w:val="16"/>
          <w:vertAlign w:val="baseline"/>
        </w:rPr>
        <w:t>are</w:t>
      </w:r>
      <w:r>
        <w:rPr>
          <w:spacing w:val="-6"/>
          <w:sz w:val="16"/>
          <w:vertAlign w:val="baseline"/>
        </w:rPr>
        <w:t> </w:t>
      </w:r>
      <w:r>
        <w:rPr>
          <w:sz w:val="16"/>
          <w:vertAlign w:val="baseline"/>
        </w:rPr>
        <w:t>low</w:t>
      </w:r>
      <w:r>
        <w:rPr>
          <w:spacing w:val="-3"/>
          <w:sz w:val="16"/>
          <w:vertAlign w:val="baseline"/>
        </w:rPr>
        <w:t> </w:t>
      </w:r>
      <w:r>
        <w:rPr>
          <w:sz w:val="16"/>
          <w:vertAlign w:val="baseline"/>
        </w:rPr>
        <w:t>(61</w:t>
      </w:r>
      <w:r>
        <w:rPr>
          <w:spacing w:val="-4"/>
          <w:sz w:val="16"/>
          <w:vertAlign w:val="baseline"/>
        </w:rPr>
        <w:t> </w:t>
      </w:r>
      <w:r>
        <w:rPr>
          <w:sz w:val="16"/>
          <w:vertAlign w:val="baseline"/>
        </w:rPr>
        <w:t>fast</w:t>
      </w:r>
      <w:r>
        <w:rPr>
          <w:spacing w:val="-5"/>
          <w:sz w:val="16"/>
          <w:vertAlign w:val="baseline"/>
        </w:rPr>
        <w:t> </w:t>
      </w:r>
      <w:r>
        <w:rPr>
          <w:sz w:val="16"/>
          <w:vertAlign w:val="baseline"/>
        </w:rPr>
        <w:t>track,</w:t>
      </w:r>
      <w:r>
        <w:rPr>
          <w:spacing w:val="-5"/>
          <w:sz w:val="16"/>
          <w:vertAlign w:val="baseline"/>
        </w:rPr>
        <w:t> </w:t>
      </w:r>
      <w:r>
        <w:rPr>
          <w:sz w:val="16"/>
          <w:vertAlign w:val="baseline"/>
        </w:rPr>
        <w:t>48</w:t>
      </w:r>
      <w:r>
        <w:rPr>
          <w:spacing w:val="-4"/>
          <w:sz w:val="16"/>
          <w:vertAlign w:val="baseline"/>
        </w:rPr>
        <w:t> </w:t>
      </w:r>
      <w:r>
        <w:rPr>
          <w:sz w:val="16"/>
          <w:vertAlign w:val="baseline"/>
        </w:rPr>
        <w:t>open</w:t>
      </w:r>
      <w:r>
        <w:rPr>
          <w:spacing w:val="-5"/>
          <w:sz w:val="16"/>
          <w:vertAlign w:val="baseline"/>
        </w:rPr>
        <w:t> </w:t>
      </w:r>
      <w:r>
        <w:rPr>
          <w:sz w:val="16"/>
          <w:vertAlign w:val="baseline"/>
        </w:rPr>
        <w:t>track</w:t>
      </w:r>
      <w:r>
        <w:rPr>
          <w:spacing w:val="-3"/>
          <w:sz w:val="16"/>
          <w:vertAlign w:val="baseline"/>
        </w:rPr>
        <w:t> </w:t>
      </w:r>
      <w:r>
        <w:rPr>
          <w:sz w:val="16"/>
          <w:vertAlign w:val="baseline"/>
        </w:rPr>
        <w:t>and</w:t>
      </w:r>
      <w:r>
        <w:rPr>
          <w:spacing w:val="-5"/>
          <w:sz w:val="16"/>
          <w:vertAlign w:val="baseline"/>
        </w:rPr>
        <w:t> </w:t>
      </w:r>
      <w:r>
        <w:rPr>
          <w:sz w:val="16"/>
          <w:vertAlign w:val="baseline"/>
        </w:rPr>
        <w:t>66</w:t>
      </w:r>
      <w:r>
        <w:rPr>
          <w:spacing w:val="-4"/>
          <w:sz w:val="16"/>
          <w:vertAlign w:val="baseline"/>
        </w:rPr>
        <w:t> </w:t>
      </w:r>
      <w:r>
        <w:rPr>
          <w:sz w:val="16"/>
          <w:vertAlign w:val="baseline"/>
        </w:rPr>
        <w:t>standard</w:t>
      </w:r>
      <w:r>
        <w:rPr>
          <w:spacing w:val="-4"/>
          <w:sz w:val="16"/>
          <w:vertAlign w:val="baseline"/>
        </w:rPr>
        <w:t> </w:t>
      </w:r>
      <w:r>
        <w:rPr>
          <w:spacing w:val="-2"/>
          <w:sz w:val="16"/>
          <w:vertAlign w:val="baseline"/>
        </w:rPr>
        <w:t>track)</w:t>
      </w:r>
    </w:p>
    <w:p>
      <w:pPr>
        <w:spacing w:line="276" w:lineRule="auto" w:before="29"/>
        <w:ind w:left="1337" w:right="1553" w:firstLine="0"/>
        <w:jc w:val="left"/>
        <w:rPr>
          <w:sz w:val="16"/>
        </w:rPr>
      </w:pPr>
      <w:r>
        <w:rPr>
          <w:sz w:val="16"/>
          <w:vertAlign w:val="superscript"/>
        </w:rPr>
        <w:t>30</w:t>
      </w:r>
      <w:r>
        <w:rPr>
          <w:spacing w:val="-2"/>
          <w:sz w:val="16"/>
          <w:vertAlign w:val="baseline"/>
        </w:rPr>
        <w:t> </w:t>
      </w:r>
      <w:r>
        <w:rPr>
          <w:sz w:val="16"/>
          <w:vertAlign w:val="baseline"/>
        </w:rPr>
        <w:t>We</w:t>
      </w:r>
      <w:r>
        <w:rPr>
          <w:spacing w:val="-3"/>
          <w:sz w:val="16"/>
          <w:vertAlign w:val="baseline"/>
        </w:rPr>
        <w:t> </w:t>
      </w:r>
      <w:r>
        <w:rPr>
          <w:sz w:val="16"/>
          <w:vertAlign w:val="baseline"/>
        </w:rPr>
        <w:t>should</w:t>
      </w:r>
      <w:r>
        <w:rPr>
          <w:spacing w:val="-2"/>
          <w:sz w:val="16"/>
          <w:vertAlign w:val="baseline"/>
        </w:rPr>
        <w:t> </w:t>
      </w:r>
      <w:r>
        <w:rPr>
          <w:sz w:val="16"/>
          <w:vertAlign w:val="baseline"/>
        </w:rPr>
        <w:t>acknowledge</w:t>
      </w:r>
      <w:r>
        <w:rPr>
          <w:spacing w:val="-3"/>
          <w:sz w:val="16"/>
          <w:vertAlign w:val="baseline"/>
        </w:rPr>
        <w:t> </w:t>
      </w:r>
      <w:r>
        <w:rPr>
          <w:sz w:val="16"/>
          <w:vertAlign w:val="baseline"/>
        </w:rPr>
        <w:t>here</w:t>
      </w:r>
      <w:r>
        <w:rPr>
          <w:spacing w:val="-1"/>
          <w:sz w:val="16"/>
          <w:vertAlign w:val="baseline"/>
        </w:rPr>
        <w:t> </w:t>
      </w:r>
      <w:r>
        <w:rPr>
          <w:sz w:val="16"/>
          <w:vertAlign w:val="baseline"/>
        </w:rPr>
        <w:t>that</w:t>
      </w:r>
      <w:r>
        <w:rPr>
          <w:spacing w:val="-2"/>
          <w:sz w:val="16"/>
          <w:vertAlign w:val="baseline"/>
        </w:rPr>
        <w:t> </w:t>
      </w:r>
      <w:r>
        <w:rPr>
          <w:sz w:val="16"/>
          <w:vertAlign w:val="baseline"/>
        </w:rPr>
        <w:t>this</w:t>
      </w:r>
      <w:r>
        <w:rPr>
          <w:spacing w:val="-1"/>
          <w:sz w:val="16"/>
          <w:vertAlign w:val="baseline"/>
        </w:rPr>
        <w:t> </w:t>
      </w:r>
      <w:r>
        <w:rPr>
          <w:sz w:val="16"/>
          <w:vertAlign w:val="baseline"/>
        </w:rPr>
        <w:t>is</w:t>
      </w:r>
      <w:r>
        <w:rPr>
          <w:spacing w:val="-3"/>
          <w:sz w:val="16"/>
          <w:vertAlign w:val="baseline"/>
        </w:rPr>
        <w:t> </w:t>
      </w:r>
      <w:r>
        <w:rPr>
          <w:sz w:val="16"/>
          <w:vertAlign w:val="baseline"/>
        </w:rPr>
        <w:t>just</w:t>
      </w:r>
      <w:r>
        <w:rPr>
          <w:spacing w:val="-3"/>
          <w:sz w:val="16"/>
          <w:vertAlign w:val="baseline"/>
        </w:rPr>
        <w:t> </w:t>
      </w:r>
      <w:r>
        <w:rPr>
          <w:sz w:val="16"/>
          <w:vertAlign w:val="baseline"/>
        </w:rPr>
        <w:t>what</w:t>
      </w:r>
      <w:r>
        <w:rPr>
          <w:spacing w:val="-3"/>
          <w:sz w:val="16"/>
          <w:vertAlign w:val="baseline"/>
        </w:rPr>
        <w:t> </w:t>
      </w:r>
      <w:r>
        <w:rPr>
          <w:sz w:val="16"/>
          <w:vertAlign w:val="baseline"/>
        </w:rPr>
        <w:t>survey</w:t>
      </w:r>
      <w:r>
        <w:rPr>
          <w:spacing w:val="-1"/>
          <w:sz w:val="16"/>
          <w:vertAlign w:val="baseline"/>
        </w:rPr>
        <w:t> </w:t>
      </w:r>
      <w:r>
        <w:rPr>
          <w:sz w:val="16"/>
          <w:vertAlign w:val="baseline"/>
        </w:rPr>
        <w:t>participants</w:t>
      </w:r>
      <w:r>
        <w:rPr>
          <w:spacing w:val="-3"/>
          <w:sz w:val="16"/>
          <w:vertAlign w:val="baseline"/>
        </w:rPr>
        <w:t> </w:t>
      </w:r>
      <w:r>
        <w:rPr>
          <w:sz w:val="16"/>
          <w:vertAlign w:val="baseline"/>
        </w:rPr>
        <w:t>reported.</w:t>
      </w:r>
      <w:r>
        <w:rPr>
          <w:spacing w:val="-3"/>
          <w:sz w:val="16"/>
          <w:vertAlign w:val="baseline"/>
        </w:rPr>
        <w:t> </w:t>
      </w:r>
      <w:r>
        <w:rPr>
          <w:sz w:val="16"/>
          <w:vertAlign w:val="baseline"/>
        </w:rPr>
        <w:t>It</w:t>
      </w:r>
      <w:r>
        <w:rPr>
          <w:spacing w:val="-2"/>
          <w:sz w:val="16"/>
          <w:vertAlign w:val="baseline"/>
        </w:rPr>
        <w:t> </w:t>
      </w:r>
      <w:r>
        <w:rPr>
          <w:sz w:val="16"/>
          <w:vertAlign w:val="baseline"/>
        </w:rPr>
        <w:t>may</w:t>
      </w:r>
      <w:r>
        <w:rPr>
          <w:spacing w:val="-2"/>
          <w:sz w:val="16"/>
          <w:vertAlign w:val="baseline"/>
        </w:rPr>
        <w:t> </w:t>
      </w:r>
      <w:r>
        <w:rPr>
          <w:sz w:val="16"/>
          <w:vertAlign w:val="baseline"/>
        </w:rPr>
        <w:t>well</w:t>
      </w:r>
      <w:r>
        <w:rPr>
          <w:spacing w:val="-3"/>
          <w:sz w:val="16"/>
          <w:vertAlign w:val="baseline"/>
        </w:rPr>
        <w:t> </w:t>
      </w:r>
      <w:r>
        <w:rPr>
          <w:sz w:val="16"/>
          <w:vertAlign w:val="baseline"/>
        </w:rPr>
        <w:t>be</w:t>
      </w:r>
      <w:r>
        <w:rPr>
          <w:spacing w:val="-3"/>
          <w:sz w:val="16"/>
          <w:vertAlign w:val="baseline"/>
        </w:rPr>
        <w:t> </w:t>
      </w:r>
      <w:r>
        <w:rPr>
          <w:sz w:val="16"/>
          <w:vertAlign w:val="baseline"/>
        </w:rPr>
        <w:t>that </w:t>
      </w:r>
      <w:bookmarkStart w:name="_bookmark77" w:id="256"/>
      <w:bookmarkEnd w:id="256"/>
      <w:r>
        <w:rPr>
          <w:sz w:val="16"/>
          <w:vertAlign w:val="baseline"/>
        </w:rPr>
        <w:t>c</w:t>
      </w:r>
      <w:r>
        <w:rPr>
          <w:sz w:val="16"/>
          <w:vertAlign w:val="baseline"/>
        </w:rPr>
        <w:t>ontact was attempted by Acas but the survey participant was unaware of this contact for some reason e.g. wrong number or missed call.</w:t>
      </w:r>
    </w:p>
    <w:p>
      <w:pPr>
        <w:spacing w:line="276" w:lineRule="auto" w:before="0"/>
        <w:ind w:left="1337" w:right="1514" w:firstLine="0"/>
        <w:jc w:val="left"/>
        <w:rPr>
          <w:sz w:val="16"/>
        </w:rPr>
      </w:pPr>
      <w:r>
        <w:rPr>
          <w:sz w:val="16"/>
          <w:vertAlign w:val="superscript"/>
        </w:rPr>
        <w:t>31</w:t>
      </w:r>
      <w:r>
        <w:rPr>
          <w:sz w:val="16"/>
          <w:vertAlign w:val="baseline"/>
        </w:rPr>
        <w:t> It is important to note that participants may not recall correctly if they took part in post-ET1 conciliation. There are examples in the survey data of participants who reported not taking part in </w:t>
      </w:r>
      <w:bookmarkStart w:name="_bookmark78" w:id="257"/>
      <w:bookmarkEnd w:id="257"/>
      <w:r>
        <w:rPr>
          <w:sz w:val="16"/>
          <w:vertAlign w:val="baseline"/>
        </w:rPr>
        <w:t>po</w:t>
      </w:r>
      <w:r>
        <w:rPr>
          <w:sz w:val="16"/>
          <w:vertAlign w:val="baseline"/>
        </w:rPr>
        <w:t>st-ET1</w:t>
      </w:r>
      <w:r>
        <w:rPr>
          <w:spacing w:val="-3"/>
          <w:sz w:val="16"/>
          <w:vertAlign w:val="baseline"/>
        </w:rPr>
        <w:t> </w:t>
      </w:r>
      <w:r>
        <w:rPr>
          <w:sz w:val="16"/>
          <w:vertAlign w:val="baseline"/>
        </w:rPr>
        <w:t>but</w:t>
      </w:r>
      <w:r>
        <w:rPr>
          <w:spacing w:val="-4"/>
          <w:sz w:val="16"/>
          <w:vertAlign w:val="baseline"/>
        </w:rPr>
        <w:t> </w:t>
      </w:r>
      <w:r>
        <w:rPr>
          <w:sz w:val="16"/>
          <w:vertAlign w:val="baseline"/>
        </w:rPr>
        <w:t>nevertheless</w:t>
      </w:r>
      <w:r>
        <w:rPr>
          <w:spacing w:val="-4"/>
          <w:sz w:val="16"/>
          <w:vertAlign w:val="baseline"/>
        </w:rPr>
        <w:t> </w:t>
      </w:r>
      <w:r>
        <w:rPr>
          <w:sz w:val="16"/>
          <w:vertAlign w:val="baseline"/>
        </w:rPr>
        <w:t>reported</w:t>
      </w:r>
      <w:r>
        <w:rPr>
          <w:spacing w:val="-3"/>
          <w:sz w:val="16"/>
          <w:vertAlign w:val="baseline"/>
        </w:rPr>
        <w:t> </w:t>
      </w:r>
      <w:r>
        <w:rPr>
          <w:sz w:val="16"/>
          <w:vertAlign w:val="baseline"/>
        </w:rPr>
        <w:t>reaching</w:t>
      </w:r>
      <w:r>
        <w:rPr>
          <w:spacing w:val="-3"/>
          <w:sz w:val="16"/>
          <w:vertAlign w:val="baseline"/>
        </w:rPr>
        <w:t> </w:t>
      </w:r>
      <w:r>
        <w:rPr>
          <w:sz w:val="16"/>
          <w:vertAlign w:val="baseline"/>
        </w:rPr>
        <w:t>a</w:t>
      </w:r>
      <w:r>
        <w:rPr>
          <w:spacing w:val="-3"/>
          <w:sz w:val="16"/>
          <w:vertAlign w:val="baseline"/>
        </w:rPr>
        <w:t> </w:t>
      </w:r>
      <w:r>
        <w:rPr>
          <w:sz w:val="16"/>
          <w:vertAlign w:val="baseline"/>
        </w:rPr>
        <w:t>settlement.</w:t>
      </w:r>
      <w:r>
        <w:rPr>
          <w:spacing w:val="-3"/>
          <w:sz w:val="16"/>
          <w:vertAlign w:val="baseline"/>
        </w:rPr>
        <w:t> </w:t>
      </w:r>
      <w:r>
        <w:rPr>
          <w:sz w:val="16"/>
          <w:vertAlign w:val="baseline"/>
        </w:rPr>
        <w:t>This</w:t>
      </w:r>
      <w:r>
        <w:rPr>
          <w:spacing w:val="-3"/>
          <w:sz w:val="16"/>
          <w:vertAlign w:val="baseline"/>
        </w:rPr>
        <w:t> </w:t>
      </w:r>
      <w:r>
        <w:rPr>
          <w:sz w:val="16"/>
          <w:vertAlign w:val="baseline"/>
        </w:rPr>
        <w:t>may</w:t>
      </w:r>
      <w:r>
        <w:rPr>
          <w:spacing w:val="-3"/>
          <w:sz w:val="16"/>
          <w:vertAlign w:val="baseline"/>
        </w:rPr>
        <w:t> </w:t>
      </w:r>
      <w:r>
        <w:rPr>
          <w:sz w:val="16"/>
          <w:vertAlign w:val="baseline"/>
        </w:rPr>
        <w:t>suggest</w:t>
      </w:r>
      <w:r>
        <w:rPr>
          <w:spacing w:val="-3"/>
          <w:sz w:val="16"/>
          <w:vertAlign w:val="baseline"/>
        </w:rPr>
        <w:t> </w:t>
      </w:r>
      <w:r>
        <w:rPr>
          <w:sz w:val="16"/>
          <w:vertAlign w:val="baseline"/>
        </w:rPr>
        <w:t>that</w:t>
      </w:r>
      <w:r>
        <w:rPr>
          <w:spacing w:val="-4"/>
          <w:sz w:val="16"/>
          <w:vertAlign w:val="baseline"/>
        </w:rPr>
        <w:t> </w:t>
      </w:r>
      <w:r>
        <w:rPr>
          <w:sz w:val="16"/>
          <w:vertAlign w:val="baseline"/>
        </w:rPr>
        <w:t>the</w:t>
      </w:r>
      <w:r>
        <w:rPr>
          <w:spacing w:val="-4"/>
          <w:sz w:val="16"/>
          <w:vertAlign w:val="baseline"/>
        </w:rPr>
        <w:t> </w:t>
      </w:r>
      <w:r>
        <w:rPr>
          <w:sz w:val="16"/>
          <w:vertAlign w:val="baseline"/>
        </w:rPr>
        <w:t>reported</w:t>
      </w:r>
      <w:r>
        <w:rPr>
          <w:spacing w:val="-3"/>
          <w:sz w:val="16"/>
          <w:vertAlign w:val="baseline"/>
        </w:rPr>
        <w:t> </w:t>
      </w:r>
      <w:r>
        <w:rPr>
          <w:sz w:val="16"/>
          <w:vertAlign w:val="baseline"/>
        </w:rPr>
        <w:t>level</w:t>
      </w:r>
      <w:r>
        <w:rPr>
          <w:spacing w:val="-4"/>
          <w:sz w:val="16"/>
          <w:vertAlign w:val="baseline"/>
        </w:rPr>
        <w:t> </w:t>
      </w:r>
      <w:r>
        <w:rPr>
          <w:sz w:val="16"/>
          <w:vertAlign w:val="baseline"/>
        </w:rPr>
        <w:t>of contact and engagement with Acas is an underestimate.</w:t>
      </w:r>
    </w:p>
    <w:p>
      <w:pPr>
        <w:spacing w:line="276" w:lineRule="auto" w:before="0"/>
        <w:ind w:left="1337" w:right="1553" w:firstLine="0"/>
        <w:jc w:val="left"/>
        <w:rPr>
          <w:sz w:val="16"/>
        </w:rPr>
      </w:pPr>
      <w:r>
        <w:rPr>
          <w:sz w:val="16"/>
          <w:vertAlign w:val="superscript"/>
        </w:rPr>
        <w:t>32</w:t>
      </w:r>
      <w:r>
        <w:rPr>
          <w:sz w:val="16"/>
          <w:vertAlign w:val="baseline"/>
        </w:rPr>
        <w:t> </w:t>
      </w:r>
      <w:bookmarkStart w:name="_bookmark79" w:id="258"/>
      <w:bookmarkEnd w:id="258"/>
      <w:r>
        <w:rPr>
          <w:sz w:val="16"/>
          <w:vertAlign w:val="baseline"/>
        </w:rPr>
        <w:t>T</w:t>
      </w:r>
      <w:r>
        <w:rPr>
          <w:sz w:val="16"/>
          <w:vertAlign w:val="baseline"/>
        </w:rPr>
        <w:t>he questions in the EC survey asked participants why they had decided not to use Acas conciliation,</w:t>
      </w:r>
      <w:r>
        <w:rPr>
          <w:spacing w:val="-4"/>
          <w:sz w:val="16"/>
          <w:vertAlign w:val="baseline"/>
        </w:rPr>
        <w:t> </w:t>
      </w:r>
      <w:r>
        <w:rPr>
          <w:sz w:val="16"/>
          <w:vertAlign w:val="baseline"/>
        </w:rPr>
        <w:t>while</w:t>
      </w:r>
      <w:r>
        <w:rPr>
          <w:spacing w:val="-4"/>
          <w:sz w:val="16"/>
          <w:vertAlign w:val="baseline"/>
        </w:rPr>
        <w:t> </w:t>
      </w:r>
      <w:r>
        <w:rPr>
          <w:sz w:val="16"/>
          <w:vertAlign w:val="baseline"/>
        </w:rPr>
        <w:t>these</w:t>
      </w:r>
      <w:r>
        <w:rPr>
          <w:spacing w:val="-4"/>
          <w:sz w:val="16"/>
          <w:vertAlign w:val="baseline"/>
        </w:rPr>
        <w:t> </w:t>
      </w:r>
      <w:r>
        <w:rPr>
          <w:sz w:val="16"/>
          <w:vertAlign w:val="baseline"/>
        </w:rPr>
        <w:t>questions</w:t>
      </w:r>
      <w:r>
        <w:rPr>
          <w:spacing w:val="-4"/>
          <w:sz w:val="16"/>
          <w:vertAlign w:val="baseline"/>
        </w:rPr>
        <w:t> </w:t>
      </w:r>
      <w:r>
        <w:rPr>
          <w:sz w:val="16"/>
          <w:vertAlign w:val="baseline"/>
        </w:rPr>
        <w:t>asked</w:t>
      </w:r>
      <w:r>
        <w:rPr>
          <w:spacing w:val="-3"/>
          <w:sz w:val="16"/>
          <w:vertAlign w:val="baseline"/>
        </w:rPr>
        <w:t> </w:t>
      </w:r>
      <w:r>
        <w:rPr>
          <w:sz w:val="16"/>
          <w:vertAlign w:val="baseline"/>
        </w:rPr>
        <w:t>why</w:t>
      </w:r>
      <w:r>
        <w:rPr>
          <w:spacing w:val="-3"/>
          <w:sz w:val="16"/>
          <w:vertAlign w:val="baseline"/>
        </w:rPr>
        <w:t> </w:t>
      </w:r>
      <w:r>
        <w:rPr>
          <w:sz w:val="16"/>
          <w:vertAlign w:val="baseline"/>
        </w:rPr>
        <w:t>participants</w:t>
      </w:r>
      <w:r>
        <w:rPr>
          <w:spacing w:val="-3"/>
          <w:sz w:val="16"/>
          <w:vertAlign w:val="baseline"/>
        </w:rPr>
        <w:t> </w:t>
      </w:r>
      <w:r>
        <w:rPr>
          <w:sz w:val="16"/>
          <w:vertAlign w:val="baseline"/>
        </w:rPr>
        <w:t>had</w:t>
      </w:r>
      <w:r>
        <w:rPr>
          <w:spacing w:val="-3"/>
          <w:sz w:val="16"/>
          <w:vertAlign w:val="baseline"/>
        </w:rPr>
        <w:t> </w:t>
      </w:r>
      <w:r>
        <w:rPr>
          <w:sz w:val="16"/>
          <w:vertAlign w:val="baseline"/>
        </w:rPr>
        <w:t>not</w:t>
      </w:r>
      <w:r>
        <w:rPr>
          <w:spacing w:val="-3"/>
          <w:sz w:val="16"/>
          <w:vertAlign w:val="baseline"/>
        </w:rPr>
        <w:t> </w:t>
      </w:r>
      <w:r>
        <w:rPr>
          <w:sz w:val="16"/>
          <w:vertAlign w:val="baseline"/>
        </w:rPr>
        <w:t>taken</w:t>
      </w:r>
      <w:r>
        <w:rPr>
          <w:spacing w:val="-2"/>
          <w:sz w:val="16"/>
          <w:vertAlign w:val="baseline"/>
        </w:rPr>
        <w:t> </w:t>
      </w:r>
      <w:r>
        <w:rPr>
          <w:sz w:val="16"/>
          <w:vertAlign w:val="baseline"/>
        </w:rPr>
        <w:t>part;</w:t>
      </w:r>
      <w:r>
        <w:rPr>
          <w:spacing w:val="-4"/>
          <w:sz w:val="16"/>
          <w:vertAlign w:val="baseline"/>
        </w:rPr>
        <w:t> </w:t>
      </w:r>
      <w:r>
        <w:rPr>
          <w:sz w:val="16"/>
          <w:vertAlign w:val="baseline"/>
        </w:rPr>
        <w:t>a</w:t>
      </w:r>
      <w:r>
        <w:rPr>
          <w:spacing w:val="-3"/>
          <w:sz w:val="16"/>
          <w:vertAlign w:val="baseline"/>
        </w:rPr>
        <w:t> </w:t>
      </w:r>
      <w:r>
        <w:rPr>
          <w:sz w:val="16"/>
          <w:vertAlign w:val="baseline"/>
        </w:rPr>
        <w:t>subtle</w:t>
      </w:r>
      <w:r>
        <w:rPr>
          <w:spacing w:val="-2"/>
          <w:sz w:val="16"/>
          <w:vertAlign w:val="baseline"/>
        </w:rPr>
        <w:t> </w:t>
      </w:r>
      <w:r>
        <w:rPr>
          <w:sz w:val="16"/>
          <w:vertAlign w:val="baseline"/>
        </w:rPr>
        <w:t>distinction which should be borne in mind when making comparisons between results</w:t>
      </w:r>
    </w:p>
    <w:p>
      <w:pPr>
        <w:spacing w:line="276" w:lineRule="auto" w:before="0"/>
        <w:ind w:left="1337" w:right="1475" w:firstLine="0"/>
        <w:jc w:val="both"/>
        <w:rPr>
          <w:sz w:val="16"/>
        </w:rPr>
      </w:pPr>
      <w:r>
        <w:rPr>
          <w:sz w:val="16"/>
          <w:vertAlign w:val="superscript"/>
        </w:rPr>
        <w:t>33</w:t>
      </w:r>
      <w:r>
        <w:rPr>
          <w:sz w:val="16"/>
          <w:vertAlign w:val="baseline"/>
        </w:rPr>
        <w:t> A binary logistic regression analysis was used: this is a technique which examines the relationships </w:t>
      </w:r>
      <w:bookmarkStart w:name="_bookmark80" w:id="259"/>
      <w:bookmarkEnd w:id="259"/>
      <w:r>
        <w:rPr>
          <w:sz w:val="16"/>
          <w:vertAlign w:val="baseline"/>
        </w:rPr>
        <w:t>b</w:t>
      </w:r>
      <w:r>
        <w:rPr>
          <w:sz w:val="16"/>
          <w:vertAlign w:val="baseline"/>
        </w:rPr>
        <w:t>etween</w:t>
      </w:r>
      <w:r>
        <w:rPr>
          <w:spacing w:val="-2"/>
          <w:sz w:val="16"/>
          <w:vertAlign w:val="baseline"/>
        </w:rPr>
        <w:t> </w:t>
      </w:r>
      <w:r>
        <w:rPr>
          <w:sz w:val="16"/>
          <w:vertAlign w:val="baseline"/>
        </w:rPr>
        <w:t>a</w:t>
      </w:r>
      <w:r>
        <w:rPr>
          <w:spacing w:val="-3"/>
          <w:sz w:val="16"/>
          <w:vertAlign w:val="baseline"/>
        </w:rPr>
        <w:t> </w:t>
      </w:r>
      <w:r>
        <w:rPr>
          <w:sz w:val="16"/>
          <w:vertAlign w:val="baseline"/>
        </w:rPr>
        <w:t>‘dependent’</w:t>
      </w:r>
      <w:r>
        <w:rPr>
          <w:spacing w:val="-3"/>
          <w:sz w:val="16"/>
          <w:vertAlign w:val="baseline"/>
        </w:rPr>
        <w:t> </w:t>
      </w:r>
      <w:r>
        <w:rPr>
          <w:sz w:val="16"/>
          <w:vertAlign w:val="baseline"/>
        </w:rPr>
        <w:t>variable</w:t>
      </w:r>
      <w:r>
        <w:rPr>
          <w:spacing w:val="-4"/>
          <w:sz w:val="16"/>
          <w:vertAlign w:val="baseline"/>
        </w:rPr>
        <w:t> </w:t>
      </w:r>
      <w:r>
        <w:rPr>
          <w:sz w:val="16"/>
          <w:vertAlign w:val="baseline"/>
        </w:rPr>
        <w:t>(in</w:t>
      </w:r>
      <w:r>
        <w:rPr>
          <w:spacing w:val="-2"/>
          <w:sz w:val="16"/>
          <w:vertAlign w:val="baseline"/>
        </w:rPr>
        <w:t> </w:t>
      </w:r>
      <w:r>
        <w:rPr>
          <w:sz w:val="16"/>
          <w:vertAlign w:val="baseline"/>
        </w:rPr>
        <w:t>this</w:t>
      </w:r>
      <w:r>
        <w:rPr>
          <w:spacing w:val="-2"/>
          <w:sz w:val="16"/>
          <w:vertAlign w:val="baseline"/>
        </w:rPr>
        <w:t> </w:t>
      </w:r>
      <w:r>
        <w:rPr>
          <w:sz w:val="16"/>
          <w:vertAlign w:val="baseline"/>
        </w:rPr>
        <w:t>case,</w:t>
      </w:r>
      <w:r>
        <w:rPr>
          <w:spacing w:val="-3"/>
          <w:sz w:val="16"/>
          <w:vertAlign w:val="baseline"/>
        </w:rPr>
        <w:t> </w:t>
      </w:r>
      <w:r>
        <w:rPr>
          <w:sz w:val="16"/>
          <w:vertAlign w:val="baseline"/>
        </w:rPr>
        <w:t>whether</w:t>
      </w:r>
      <w:r>
        <w:rPr>
          <w:spacing w:val="-2"/>
          <w:sz w:val="16"/>
          <w:vertAlign w:val="baseline"/>
        </w:rPr>
        <w:t> </w:t>
      </w:r>
      <w:r>
        <w:rPr>
          <w:sz w:val="16"/>
          <w:vertAlign w:val="baseline"/>
        </w:rPr>
        <w:t>someone</w:t>
      </w:r>
      <w:r>
        <w:rPr>
          <w:spacing w:val="-4"/>
          <w:sz w:val="16"/>
          <w:vertAlign w:val="baseline"/>
        </w:rPr>
        <w:t> </w:t>
      </w:r>
      <w:r>
        <w:rPr>
          <w:sz w:val="16"/>
          <w:vertAlign w:val="baseline"/>
        </w:rPr>
        <w:t>takes</w:t>
      </w:r>
      <w:r>
        <w:rPr>
          <w:spacing w:val="-3"/>
          <w:sz w:val="16"/>
          <w:vertAlign w:val="baseline"/>
        </w:rPr>
        <w:t> </w:t>
      </w:r>
      <w:r>
        <w:rPr>
          <w:sz w:val="16"/>
          <w:vertAlign w:val="baseline"/>
        </w:rPr>
        <w:t>part</w:t>
      </w:r>
      <w:r>
        <w:rPr>
          <w:spacing w:val="-3"/>
          <w:sz w:val="16"/>
          <w:vertAlign w:val="baseline"/>
        </w:rPr>
        <w:t> </w:t>
      </w:r>
      <w:r>
        <w:rPr>
          <w:sz w:val="16"/>
          <w:vertAlign w:val="baseline"/>
        </w:rPr>
        <w:t>in</w:t>
      </w:r>
      <w:r>
        <w:rPr>
          <w:spacing w:val="-2"/>
          <w:sz w:val="16"/>
          <w:vertAlign w:val="baseline"/>
        </w:rPr>
        <w:t> </w:t>
      </w:r>
      <w:r>
        <w:rPr>
          <w:sz w:val="16"/>
          <w:vertAlign w:val="baseline"/>
        </w:rPr>
        <w:t>conciliation)</w:t>
      </w:r>
      <w:r>
        <w:rPr>
          <w:spacing w:val="-3"/>
          <w:sz w:val="16"/>
          <w:vertAlign w:val="baseline"/>
        </w:rPr>
        <w:t> </w:t>
      </w:r>
      <w:r>
        <w:rPr>
          <w:sz w:val="16"/>
          <w:vertAlign w:val="baseline"/>
        </w:rPr>
        <w:t>with</w:t>
      </w:r>
      <w:r>
        <w:rPr>
          <w:spacing w:val="-2"/>
          <w:sz w:val="16"/>
          <w:vertAlign w:val="baseline"/>
        </w:rPr>
        <w:t> </w:t>
      </w:r>
      <w:r>
        <w:rPr>
          <w:sz w:val="16"/>
          <w:vertAlign w:val="baseline"/>
        </w:rPr>
        <w:t>multiple ‘independent’ variables (factors which might influence the dependent variable, such as the track of a </w:t>
      </w:r>
      <w:bookmarkStart w:name="_bookmark81" w:id="260"/>
      <w:bookmarkEnd w:id="260"/>
      <w:r>
        <w:rPr>
          <w:sz w:val="16"/>
          <w:vertAlign w:val="baseline"/>
        </w:rPr>
        <w:t>cl</w:t>
      </w:r>
      <w:r>
        <w:rPr>
          <w:sz w:val="16"/>
          <w:vertAlign w:val="baseline"/>
        </w:rPr>
        <w:t>aimant’s dispute) to identify the most influential factors. Further detail is available in the technical </w:t>
      </w:r>
      <w:r>
        <w:rPr>
          <w:spacing w:val="-2"/>
          <w:sz w:val="16"/>
          <w:vertAlign w:val="baseline"/>
        </w:rPr>
        <w:t>appendices.</w:t>
      </w:r>
    </w:p>
    <w:p>
      <w:pPr>
        <w:spacing w:line="276" w:lineRule="auto" w:before="0"/>
        <w:ind w:left="1337" w:right="1472" w:firstLine="0"/>
        <w:jc w:val="left"/>
        <w:rPr>
          <w:sz w:val="16"/>
        </w:rPr>
      </w:pPr>
      <w:r>
        <w:rPr>
          <w:sz w:val="16"/>
          <w:vertAlign w:val="superscript"/>
        </w:rPr>
        <w:t>34</w:t>
      </w:r>
      <w:r>
        <w:rPr>
          <w:spacing w:val="-2"/>
          <w:sz w:val="16"/>
          <w:vertAlign w:val="baseline"/>
        </w:rPr>
        <w:t> </w:t>
      </w:r>
      <w:r>
        <w:rPr>
          <w:sz w:val="16"/>
          <w:vertAlign w:val="baseline"/>
        </w:rPr>
        <w:t>It</w:t>
      </w:r>
      <w:r>
        <w:rPr>
          <w:spacing w:val="-3"/>
          <w:sz w:val="16"/>
          <w:vertAlign w:val="baseline"/>
        </w:rPr>
        <w:t> </w:t>
      </w:r>
      <w:r>
        <w:rPr>
          <w:sz w:val="16"/>
          <w:vertAlign w:val="baseline"/>
        </w:rPr>
        <w:t>should</w:t>
      </w:r>
      <w:r>
        <w:rPr>
          <w:spacing w:val="-2"/>
          <w:sz w:val="16"/>
          <w:vertAlign w:val="baseline"/>
        </w:rPr>
        <w:t> </w:t>
      </w:r>
      <w:r>
        <w:rPr>
          <w:sz w:val="16"/>
          <w:vertAlign w:val="baseline"/>
        </w:rPr>
        <w:t>also</w:t>
      </w:r>
      <w:r>
        <w:rPr>
          <w:spacing w:val="-1"/>
          <w:sz w:val="16"/>
          <w:vertAlign w:val="baseline"/>
        </w:rPr>
        <w:t> </w:t>
      </w:r>
      <w:r>
        <w:rPr>
          <w:sz w:val="16"/>
          <w:vertAlign w:val="baseline"/>
        </w:rPr>
        <w:t>be</w:t>
      </w:r>
      <w:r>
        <w:rPr>
          <w:spacing w:val="-3"/>
          <w:sz w:val="16"/>
          <w:vertAlign w:val="baseline"/>
        </w:rPr>
        <w:t> </w:t>
      </w:r>
      <w:r>
        <w:rPr>
          <w:sz w:val="16"/>
          <w:vertAlign w:val="baseline"/>
        </w:rPr>
        <w:t>noted</w:t>
      </w:r>
      <w:r>
        <w:rPr>
          <w:spacing w:val="-2"/>
          <w:sz w:val="16"/>
          <w:vertAlign w:val="baseline"/>
        </w:rPr>
        <w:t> </w:t>
      </w:r>
      <w:r>
        <w:rPr>
          <w:sz w:val="16"/>
          <w:vertAlign w:val="baseline"/>
        </w:rPr>
        <w:t>that,</w:t>
      </w:r>
      <w:r>
        <w:rPr>
          <w:spacing w:val="-3"/>
          <w:sz w:val="16"/>
          <w:vertAlign w:val="baseline"/>
        </w:rPr>
        <w:t> </w:t>
      </w:r>
      <w:r>
        <w:rPr>
          <w:sz w:val="16"/>
          <w:vertAlign w:val="baseline"/>
        </w:rPr>
        <w:t>where</w:t>
      </w:r>
      <w:r>
        <w:rPr>
          <w:spacing w:val="-3"/>
          <w:sz w:val="16"/>
          <w:vertAlign w:val="baseline"/>
        </w:rPr>
        <w:t> </w:t>
      </w:r>
      <w:r>
        <w:rPr>
          <w:sz w:val="16"/>
          <w:vertAlign w:val="baseline"/>
        </w:rPr>
        <w:t>a</w:t>
      </w:r>
      <w:r>
        <w:rPr>
          <w:spacing w:val="-1"/>
          <w:sz w:val="16"/>
          <w:vertAlign w:val="baseline"/>
        </w:rPr>
        <w:t> </w:t>
      </w:r>
      <w:r>
        <w:rPr>
          <w:sz w:val="16"/>
          <w:vertAlign w:val="baseline"/>
        </w:rPr>
        <w:t>case</w:t>
      </w:r>
      <w:r>
        <w:rPr>
          <w:spacing w:val="-1"/>
          <w:sz w:val="16"/>
          <w:vertAlign w:val="baseline"/>
        </w:rPr>
        <w:t> </w:t>
      </w:r>
      <w:r>
        <w:rPr>
          <w:sz w:val="16"/>
          <w:vertAlign w:val="baseline"/>
        </w:rPr>
        <w:t>has</w:t>
      </w:r>
      <w:r>
        <w:rPr>
          <w:spacing w:val="-3"/>
          <w:sz w:val="16"/>
          <w:vertAlign w:val="baseline"/>
        </w:rPr>
        <w:t> </w:t>
      </w:r>
      <w:r>
        <w:rPr>
          <w:sz w:val="16"/>
          <w:vertAlign w:val="baseline"/>
        </w:rPr>
        <w:t>already</w:t>
      </w:r>
      <w:r>
        <w:rPr>
          <w:spacing w:val="-2"/>
          <w:sz w:val="16"/>
          <w:vertAlign w:val="baseline"/>
        </w:rPr>
        <w:t> </w:t>
      </w:r>
      <w:r>
        <w:rPr>
          <w:sz w:val="16"/>
          <w:vertAlign w:val="baseline"/>
        </w:rPr>
        <w:t>gone</w:t>
      </w:r>
      <w:r>
        <w:rPr>
          <w:spacing w:val="-3"/>
          <w:sz w:val="16"/>
          <w:vertAlign w:val="baseline"/>
        </w:rPr>
        <w:t> </w:t>
      </w:r>
      <w:r>
        <w:rPr>
          <w:sz w:val="16"/>
          <w:vertAlign w:val="baseline"/>
        </w:rPr>
        <w:t>through</w:t>
      </w:r>
      <w:r>
        <w:rPr>
          <w:spacing w:val="-3"/>
          <w:sz w:val="16"/>
          <w:vertAlign w:val="baseline"/>
        </w:rPr>
        <w:t> </w:t>
      </w:r>
      <w:r>
        <w:rPr>
          <w:sz w:val="16"/>
          <w:vertAlign w:val="baseline"/>
        </w:rPr>
        <w:t>EC,</w:t>
      </w:r>
      <w:r>
        <w:rPr>
          <w:spacing w:val="-3"/>
          <w:sz w:val="16"/>
          <w:vertAlign w:val="baseline"/>
        </w:rPr>
        <w:t> </w:t>
      </w:r>
      <w:r>
        <w:rPr>
          <w:sz w:val="16"/>
          <w:vertAlign w:val="baseline"/>
        </w:rPr>
        <w:t>the</w:t>
      </w:r>
      <w:r>
        <w:rPr>
          <w:spacing w:val="-1"/>
          <w:sz w:val="16"/>
          <w:vertAlign w:val="baseline"/>
        </w:rPr>
        <w:t> </w:t>
      </w:r>
      <w:r>
        <w:rPr>
          <w:sz w:val="16"/>
          <w:vertAlign w:val="baseline"/>
        </w:rPr>
        <w:t>same</w:t>
      </w:r>
      <w:r>
        <w:rPr>
          <w:spacing w:val="-3"/>
          <w:sz w:val="16"/>
          <w:vertAlign w:val="baseline"/>
        </w:rPr>
        <w:t> </w:t>
      </w:r>
      <w:r>
        <w:rPr>
          <w:sz w:val="16"/>
          <w:vertAlign w:val="baseline"/>
        </w:rPr>
        <w:t>Acas</w:t>
      </w:r>
      <w:r>
        <w:rPr>
          <w:spacing w:val="-1"/>
          <w:sz w:val="16"/>
          <w:vertAlign w:val="baseline"/>
        </w:rPr>
        <w:t> </w:t>
      </w:r>
      <w:r>
        <w:rPr>
          <w:sz w:val="16"/>
          <w:vertAlign w:val="baseline"/>
        </w:rPr>
        <w:t>conciliator </w:t>
      </w:r>
      <w:bookmarkStart w:name="_bookmark82" w:id="261"/>
      <w:bookmarkEnd w:id="261"/>
      <w:r>
        <w:rPr>
          <w:sz w:val="16"/>
          <w:vertAlign w:val="baseline"/>
        </w:rPr>
        <w:t>w</w:t>
      </w:r>
      <w:r>
        <w:rPr>
          <w:sz w:val="16"/>
          <w:vertAlign w:val="baseline"/>
        </w:rPr>
        <w:t>ill (in most cases) be assigned to the post-ET1 case, and therefore will already be known to both parties. This may influence ratings given by participants during the ET survey.</w:t>
      </w:r>
    </w:p>
    <w:p>
      <w:pPr>
        <w:spacing w:line="276" w:lineRule="auto" w:before="0"/>
        <w:ind w:left="1337" w:right="1472" w:firstLine="0"/>
        <w:jc w:val="left"/>
        <w:rPr>
          <w:sz w:val="16"/>
        </w:rPr>
      </w:pPr>
      <w:r>
        <w:rPr>
          <w:sz w:val="16"/>
          <w:vertAlign w:val="superscript"/>
        </w:rPr>
        <w:t>35</w:t>
      </w:r>
      <w:r>
        <w:rPr>
          <w:spacing w:val="-3"/>
          <w:sz w:val="16"/>
          <w:vertAlign w:val="baseline"/>
        </w:rPr>
        <w:t> </w:t>
      </w:r>
      <w:r>
        <w:rPr>
          <w:sz w:val="16"/>
          <w:vertAlign w:val="baseline"/>
        </w:rPr>
        <w:t>The</w:t>
      </w:r>
      <w:r>
        <w:rPr>
          <w:spacing w:val="-4"/>
          <w:sz w:val="16"/>
          <w:vertAlign w:val="baseline"/>
        </w:rPr>
        <w:t> </w:t>
      </w:r>
      <w:r>
        <w:rPr>
          <w:sz w:val="16"/>
          <w:vertAlign w:val="baseline"/>
        </w:rPr>
        <w:t>survey</w:t>
      </w:r>
      <w:r>
        <w:rPr>
          <w:spacing w:val="-3"/>
          <w:sz w:val="16"/>
          <w:vertAlign w:val="baseline"/>
        </w:rPr>
        <w:t> </w:t>
      </w:r>
      <w:r>
        <w:rPr>
          <w:sz w:val="16"/>
          <w:vertAlign w:val="baseline"/>
        </w:rPr>
        <w:t>wording</w:t>
      </w:r>
      <w:r>
        <w:rPr>
          <w:spacing w:val="-3"/>
          <w:sz w:val="16"/>
          <w:vertAlign w:val="baseline"/>
        </w:rPr>
        <w:t> </w:t>
      </w:r>
      <w:r>
        <w:rPr>
          <w:sz w:val="16"/>
          <w:vertAlign w:val="baseline"/>
        </w:rPr>
        <w:t>for</w:t>
      </w:r>
      <w:r>
        <w:rPr>
          <w:spacing w:val="-3"/>
          <w:sz w:val="16"/>
          <w:vertAlign w:val="baseline"/>
        </w:rPr>
        <w:t> </w:t>
      </w:r>
      <w:r>
        <w:rPr>
          <w:sz w:val="16"/>
          <w:vertAlign w:val="baseline"/>
        </w:rPr>
        <w:t>this</w:t>
      </w:r>
      <w:r>
        <w:rPr>
          <w:spacing w:val="-2"/>
          <w:sz w:val="16"/>
          <w:vertAlign w:val="baseline"/>
        </w:rPr>
        <w:t> </w:t>
      </w:r>
      <w:r>
        <w:rPr>
          <w:sz w:val="16"/>
          <w:vertAlign w:val="baseline"/>
        </w:rPr>
        <w:t>section</w:t>
      </w:r>
      <w:r>
        <w:rPr>
          <w:spacing w:val="-4"/>
          <w:sz w:val="16"/>
          <w:vertAlign w:val="baseline"/>
        </w:rPr>
        <w:t> </w:t>
      </w:r>
      <w:r>
        <w:rPr>
          <w:sz w:val="16"/>
          <w:vertAlign w:val="baseline"/>
        </w:rPr>
        <w:t>was</w:t>
      </w:r>
      <w:r>
        <w:rPr>
          <w:spacing w:val="-4"/>
          <w:sz w:val="16"/>
          <w:vertAlign w:val="baseline"/>
        </w:rPr>
        <w:t> </w:t>
      </w:r>
      <w:r>
        <w:rPr>
          <w:sz w:val="16"/>
          <w:vertAlign w:val="baseline"/>
        </w:rPr>
        <w:t>amended</w:t>
      </w:r>
      <w:r>
        <w:rPr>
          <w:spacing w:val="-3"/>
          <w:sz w:val="16"/>
          <w:vertAlign w:val="baseline"/>
        </w:rPr>
        <w:t> </w:t>
      </w:r>
      <w:r>
        <w:rPr>
          <w:sz w:val="16"/>
          <w:vertAlign w:val="baseline"/>
        </w:rPr>
        <w:t>for</w:t>
      </w:r>
      <w:r>
        <w:rPr>
          <w:spacing w:val="-3"/>
          <w:sz w:val="16"/>
          <w:vertAlign w:val="baseline"/>
        </w:rPr>
        <w:t> </w:t>
      </w:r>
      <w:r>
        <w:rPr>
          <w:sz w:val="16"/>
          <w:vertAlign w:val="baseline"/>
        </w:rPr>
        <w:t>those</w:t>
      </w:r>
      <w:r>
        <w:rPr>
          <w:spacing w:val="-4"/>
          <w:sz w:val="16"/>
          <w:vertAlign w:val="baseline"/>
        </w:rPr>
        <w:t> </w:t>
      </w:r>
      <w:r>
        <w:rPr>
          <w:sz w:val="16"/>
          <w:vertAlign w:val="baseline"/>
        </w:rPr>
        <w:t>with</w:t>
      </w:r>
      <w:r>
        <w:rPr>
          <w:spacing w:val="-2"/>
          <w:sz w:val="16"/>
          <w:vertAlign w:val="baseline"/>
        </w:rPr>
        <w:t> </w:t>
      </w:r>
      <w:r>
        <w:rPr>
          <w:sz w:val="16"/>
          <w:vertAlign w:val="baseline"/>
        </w:rPr>
        <w:t>multiple</w:t>
      </w:r>
      <w:r>
        <w:rPr>
          <w:spacing w:val="-4"/>
          <w:sz w:val="16"/>
          <w:vertAlign w:val="baseline"/>
        </w:rPr>
        <w:t> </w:t>
      </w:r>
      <w:r>
        <w:rPr>
          <w:sz w:val="16"/>
          <w:vertAlign w:val="baseline"/>
        </w:rPr>
        <w:t>conciliators</w:t>
      </w:r>
      <w:r>
        <w:rPr>
          <w:spacing w:val="-2"/>
          <w:sz w:val="16"/>
          <w:vertAlign w:val="baseline"/>
        </w:rPr>
        <w:t> </w:t>
      </w:r>
      <w:r>
        <w:rPr>
          <w:sz w:val="16"/>
          <w:vertAlign w:val="baseline"/>
        </w:rPr>
        <w:t>to</w:t>
      </w:r>
      <w:r>
        <w:rPr>
          <w:spacing w:val="-3"/>
          <w:sz w:val="16"/>
          <w:vertAlign w:val="baseline"/>
        </w:rPr>
        <w:t> </w:t>
      </w:r>
      <w:r>
        <w:rPr>
          <w:sz w:val="16"/>
          <w:vertAlign w:val="baseline"/>
        </w:rPr>
        <w:t>ask</w:t>
      </w:r>
      <w:r>
        <w:rPr>
          <w:spacing w:val="-3"/>
          <w:sz w:val="16"/>
          <w:vertAlign w:val="baseline"/>
        </w:rPr>
        <w:t> </w:t>
      </w:r>
      <w:r>
        <w:rPr>
          <w:sz w:val="16"/>
          <w:vertAlign w:val="baseline"/>
        </w:rPr>
        <w:t>about </w:t>
      </w:r>
      <w:bookmarkStart w:name="_bookmark83" w:id="262"/>
      <w:bookmarkEnd w:id="262"/>
      <w:r>
        <w:rPr>
          <w:sz w:val="16"/>
          <w:vertAlign w:val="baseline"/>
        </w:rPr>
        <w:t>e</w:t>
      </w:r>
      <w:r>
        <w:rPr>
          <w:sz w:val="16"/>
          <w:vertAlign w:val="baseline"/>
        </w:rPr>
        <w:t>xperience with “conciliators” rather than “the conciliator”</w:t>
      </w:r>
    </w:p>
    <w:p>
      <w:pPr>
        <w:spacing w:line="276" w:lineRule="auto" w:before="0"/>
        <w:ind w:left="1337" w:right="1483" w:firstLine="0"/>
        <w:jc w:val="left"/>
        <w:rPr>
          <w:sz w:val="16"/>
        </w:rPr>
      </w:pPr>
      <w:r>
        <w:rPr>
          <w:sz w:val="16"/>
          <w:vertAlign w:val="superscript"/>
        </w:rPr>
        <w:t>36</w:t>
      </w:r>
      <w:r>
        <w:rPr>
          <w:sz w:val="16"/>
          <w:vertAlign w:val="baseline"/>
        </w:rPr>
        <w:t> Acas outcome data for 2018-2019 showed that 22 per cent of post-ET1 conciliation cases had been settled</w:t>
      </w:r>
      <w:r>
        <w:rPr>
          <w:spacing w:val="-2"/>
          <w:sz w:val="16"/>
          <w:vertAlign w:val="baseline"/>
        </w:rPr>
        <w:t> </w:t>
      </w:r>
      <w:r>
        <w:rPr>
          <w:sz w:val="16"/>
          <w:vertAlign w:val="baseline"/>
        </w:rPr>
        <w:t>and</w:t>
      </w:r>
      <w:r>
        <w:rPr>
          <w:spacing w:val="-2"/>
          <w:sz w:val="16"/>
          <w:vertAlign w:val="baseline"/>
        </w:rPr>
        <w:t> </w:t>
      </w:r>
      <w:r>
        <w:rPr>
          <w:sz w:val="16"/>
          <w:vertAlign w:val="baseline"/>
        </w:rPr>
        <w:t>a</w:t>
      </w:r>
      <w:r>
        <w:rPr>
          <w:spacing w:val="-2"/>
          <w:sz w:val="16"/>
          <w:vertAlign w:val="baseline"/>
        </w:rPr>
        <w:t> </w:t>
      </w:r>
      <w:r>
        <w:rPr>
          <w:sz w:val="16"/>
          <w:vertAlign w:val="baseline"/>
        </w:rPr>
        <w:t>COT3</w:t>
      </w:r>
      <w:r>
        <w:rPr>
          <w:spacing w:val="-2"/>
          <w:sz w:val="16"/>
          <w:vertAlign w:val="baseline"/>
        </w:rPr>
        <w:t> </w:t>
      </w:r>
      <w:r>
        <w:rPr>
          <w:sz w:val="16"/>
          <w:vertAlign w:val="baseline"/>
        </w:rPr>
        <w:t>issued,</w:t>
      </w:r>
      <w:r>
        <w:rPr>
          <w:spacing w:val="-3"/>
          <w:sz w:val="16"/>
          <w:vertAlign w:val="baseline"/>
        </w:rPr>
        <w:t> </w:t>
      </w:r>
      <w:r>
        <w:rPr>
          <w:sz w:val="16"/>
          <w:vertAlign w:val="baseline"/>
        </w:rPr>
        <w:t>9</w:t>
      </w:r>
      <w:r>
        <w:rPr>
          <w:spacing w:val="-2"/>
          <w:sz w:val="16"/>
          <w:vertAlign w:val="baseline"/>
        </w:rPr>
        <w:t> </w:t>
      </w:r>
      <w:r>
        <w:rPr>
          <w:sz w:val="16"/>
          <w:vertAlign w:val="baseline"/>
        </w:rPr>
        <w:t>per</w:t>
      </w:r>
      <w:r>
        <w:rPr>
          <w:spacing w:val="-2"/>
          <w:sz w:val="16"/>
          <w:vertAlign w:val="baseline"/>
        </w:rPr>
        <w:t> </w:t>
      </w:r>
      <w:r>
        <w:rPr>
          <w:sz w:val="16"/>
          <w:vertAlign w:val="baseline"/>
        </w:rPr>
        <w:t>cent</w:t>
      </w:r>
      <w:r>
        <w:rPr>
          <w:spacing w:val="-3"/>
          <w:sz w:val="16"/>
          <w:vertAlign w:val="baseline"/>
        </w:rPr>
        <w:t> </w:t>
      </w:r>
      <w:r>
        <w:rPr>
          <w:sz w:val="16"/>
          <w:vertAlign w:val="baseline"/>
        </w:rPr>
        <w:t>had</w:t>
      </w:r>
      <w:r>
        <w:rPr>
          <w:spacing w:val="-2"/>
          <w:sz w:val="16"/>
          <w:vertAlign w:val="baseline"/>
        </w:rPr>
        <w:t> </w:t>
      </w:r>
      <w:r>
        <w:rPr>
          <w:sz w:val="16"/>
          <w:vertAlign w:val="baseline"/>
        </w:rPr>
        <w:t>proceeded</w:t>
      </w:r>
      <w:r>
        <w:rPr>
          <w:spacing w:val="-2"/>
          <w:sz w:val="16"/>
          <w:vertAlign w:val="baseline"/>
        </w:rPr>
        <w:t> </w:t>
      </w:r>
      <w:r>
        <w:rPr>
          <w:sz w:val="16"/>
          <w:vertAlign w:val="baseline"/>
        </w:rPr>
        <w:t>to</w:t>
      </w:r>
      <w:r>
        <w:rPr>
          <w:spacing w:val="-2"/>
          <w:sz w:val="16"/>
          <w:vertAlign w:val="baseline"/>
        </w:rPr>
        <w:t> </w:t>
      </w:r>
      <w:r>
        <w:rPr>
          <w:sz w:val="16"/>
          <w:vertAlign w:val="baseline"/>
        </w:rPr>
        <w:t>Employment</w:t>
      </w:r>
      <w:r>
        <w:rPr>
          <w:spacing w:val="-3"/>
          <w:sz w:val="16"/>
          <w:vertAlign w:val="baseline"/>
        </w:rPr>
        <w:t> </w:t>
      </w:r>
      <w:r>
        <w:rPr>
          <w:sz w:val="16"/>
          <w:vertAlign w:val="baseline"/>
        </w:rPr>
        <w:t>Tribunal</w:t>
      </w:r>
      <w:r>
        <w:rPr>
          <w:spacing w:val="-3"/>
          <w:sz w:val="16"/>
          <w:vertAlign w:val="baseline"/>
        </w:rPr>
        <w:t> </w:t>
      </w:r>
      <w:r>
        <w:rPr>
          <w:sz w:val="16"/>
          <w:vertAlign w:val="baseline"/>
        </w:rPr>
        <w:t>and</w:t>
      </w:r>
      <w:r>
        <w:rPr>
          <w:spacing w:val="-2"/>
          <w:sz w:val="16"/>
          <w:vertAlign w:val="baseline"/>
        </w:rPr>
        <w:t> </w:t>
      </w:r>
      <w:r>
        <w:rPr>
          <w:sz w:val="16"/>
          <w:vertAlign w:val="baseline"/>
        </w:rPr>
        <w:t>7</w:t>
      </w:r>
      <w:r>
        <w:rPr>
          <w:spacing w:val="-2"/>
          <w:sz w:val="16"/>
          <w:vertAlign w:val="baseline"/>
        </w:rPr>
        <w:t> </w:t>
      </w:r>
      <w:r>
        <w:rPr>
          <w:sz w:val="16"/>
          <w:vertAlign w:val="baseline"/>
        </w:rPr>
        <w:t>per</w:t>
      </w:r>
      <w:r>
        <w:rPr>
          <w:spacing w:val="-2"/>
          <w:sz w:val="16"/>
          <w:vertAlign w:val="baseline"/>
        </w:rPr>
        <w:t> </w:t>
      </w:r>
      <w:r>
        <w:rPr>
          <w:sz w:val="16"/>
          <w:vertAlign w:val="baseline"/>
        </w:rPr>
        <w:t>cent</w:t>
      </w:r>
      <w:r>
        <w:rPr>
          <w:spacing w:val="-3"/>
          <w:sz w:val="16"/>
          <w:vertAlign w:val="baseline"/>
        </w:rPr>
        <w:t> </w:t>
      </w:r>
      <w:r>
        <w:rPr>
          <w:sz w:val="16"/>
          <w:vertAlign w:val="baseline"/>
        </w:rPr>
        <w:t>had</w:t>
      </w:r>
      <w:r>
        <w:rPr>
          <w:spacing w:val="-2"/>
          <w:sz w:val="16"/>
          <w:vertAlign w:val="baseline"/>
        </w:rPr>
        <w:t> </w:t>
      </w:r>
      <w:r>
        <w:rPr>
          <w:sz w:val="16"/>
          <w:vertAlign w:val="baseline"/>
        </w:rPr>
        <w:t>been withdrawn. The majority (62 per cent) remained in progress at the time of reporting. </w:t>
      </w:r>
      <w:hyperlink r:id="rId65">
        <w:r>
          <w:rPr>
            <w:color w:val="0562C1"/>
            <w:spacing w:val="-2"/>
            <w:sz w:val="16"/>
            <w:u w:val="single" w:color="0562C1"/>
            <w:vertAlign w:val="baseline"/>
          </w:rPr>
          <w:t>https://archive.acas.org.uk/media/6205/Individual-Conciliation-Update-April-2018---December-</w:t>
        </w:r>
      </w:hyperlink>
      <w:r>
        <w:rPr>
          <w:color w:val="0562C1"/>
          <w:spacing w:val="-2"/>
          <w:sz w:val="16"/>
          <w:vertAlign w:val="baseline"/>
        </w:rPr>
        <w:t> </w:t>
      </w:r>
      <w:bookmarkStart w:name="_bookmark84" w:id="263"/>
      <w:bookmarkEnd w:id="263"/>
      <w:r>
        <w:rPr>
          <w:color w:val="0562C1"/>
          <w:w w:val="99"/>
          <w:sz w:val="16"/>
          <w:vertAlign w:val="baseline"/>
        </w:rPr>
      </w:r>
      <w:hyperlink r:id="rId65">
        <w:r>
          <w:rPr>
            <w:color w:val="0562C1"/>
            <w:spacing w:val="-2"/>
            <w:sz w:val="16"/>
            <w:u w:val="single" w:color="0562C1"/>
            <w:vertAlign w:val="baseline"/>
          </w:rPr>
          <w:t>2018/pdf/Individual_Conciliation_Update_-_2018-19_Q3.pdf</w:t>
        </w:r>
      </w:hyperlink>
    </w:p>
    <w:p>
      <w:pPr>
        <w:spacing w:after="0" w:line="276" w:lineRule="auto"/>
        <w:jc w:val="left"/>
        <w:rPr>
          <w:sz w:val="16"/>
        </w:rPr>
        <w:sectPr>
          <w:pgSz w:w="11910" w:h="16840"/>
          <w:pgMar w:header="0" w:footer="996" w:top="1580" w:bottom="1180" w:left="460" w:right="320"/>
        </w:sectPr>
      </w:pPr>
    </w:p>
    <w:p>
      <w:pPr>
        <w:pStyle w:val="BodyText"/>
        <w:spacing w:line="20" w:lineRule="exact"/>
        <w:ind w:left="1337"/>
        <w:rPr>
          <w:sz w:val="2"/>
        </w:rPr>
      </w:pPr>
      <w:bookmarkStart w:name="_bookmark104" w:id="264"/>
      <w:bookmarkEnd w:id="264"/>
      <w:r>
        <w:rPr/>
      </w:r>
      <w:bookmarkStart w:name="_bookmark103" w:id="265"/>
      <w:bookmarkEnd w:id="265"/>
      <w:r>
        <w:rPr/>
      </w:r>
      <w:bookmarkStart w:name="_bookmark102" w:id="266"/>
      <w:bookmarkEnd w:id="266"/>
      <w:r>
        <w:rPr/>
      </w:r>
      <w:bookmarkStart w:name="_bookmark101" w:id="267"/>
      <w:bookmarkEnd w:id="267"/>
      <w:r>
        <w:rPr/>
      </w:r>
      <w:bookmarkStart w:name="_bookmark100" w:id="268"/>
      <w:bookmarkEnd w:id="268"/>
      <w:r>
        <w:rPr/>
      </w:r>
      <w:bookmarkStart w:name="_bookmark99" w:id="269"/>
      <w:bookmarkEnd w:id="269"/>
      <w:r>
        <w:rPr/>
      </w:r>
      <w:bookmarkStart w:name="_bookmark98" w:id="270"/>
      <w:bookmarkEnd w:id="270"/>
      <w:r>
        <w:rPr/>
      </w:r>
      <w:bookmarkStart w:name="_bookmark97" w:id="271"/>
      <w:bookmarkEnd w:id="271"/>
      <w:r>
        <w:rPr/>
      </w:r>
      <w:bookmarkStart w:name="_bookmark96" w:id="272"/>
      <w:bookmarkEnd w:id="272"/>
      <w:r>
        <w:rPr/>
      </w:r>
      <w:bookmarkStart w:name="_bookmark95" w:id="273"/>
      <w:bookmarkEnd w:id="273"/>
      <w:r>
        <w:rPr/>
      </w:r>
      <w:bookmarkStart w:name="_bookmark94" w:id="274"/>
      <w:bookmarkEnd w:id="274"/>
      <w:r>
        <w:rPr/>
      </w:r>
      <w:bookmarkStart w:name="_bookmark93" w:id="275"/>
      <w:bookmarkEnd w:id="275"/>
      <w:r>
        <w:rPr/>
      </w:r>
      <w:r>
        <w:rPr>
          <w:sz w:val="2"/>
        </w:rPr>
        <w:pict>
          <v:group style="width:415.65pt;height:.75pt;mso-position-horizontal-relative:char;mso-position-vertical-relative:line" id="docshapegroup418" coordorigin="0,0" coordsize="8313,15">
            <v:rect style="position:absolute;left:0;top:0;width:8313;height:15" id="docshape419" filled="true" fillcolor="#000000" stroked="false">
              <v:fill type="solid"/>
            </v:rect>
          </v:group>
        </w:pict>
      </w:r>
      <w:r>
        <w:rPr>
          <w:sz w:val="2"/>
        </w:rPr>
      </w:r>
    </w:p>
    <w:p>
      <w:pPr>
        <w:spacing w:line="276" w:lineRule="auto" w:before="90"/>
        <w:ind w:left="1337" w:right="1472" w:firstLine="0"/>
        <w:jc w:val="left"/>
        <w:rPr>
          <w:sz w:val="16"/>
        </w:rPr>
      </w:pPr>
      <w:bookmarkStart w:name="_bookmark86" w:id="276"/>
      <w:bookmarkEnd w:id="276"/>
      <w:r>
        <w:rPr/>
      </w:r>
      <w:r>
        <w:rPr>
          <w:sz w:val="16"/>
          <w:vertAlign w:val="superscript"/>
        </w:rPr>
        <w:t>37</w:t>
      </w:r>
      <w:r>
        <w:rPr>
          <w:spacing w:val="-2"/>
          <w:sz w:val="16"/>
          <w:vertAlign w:val="baseline"/>
        </w:rPr>
        <w:t> </w:t>
      </w:r>
      <w:r>
        <w:rPr>
          <w:sz w:val="16"/>
          <w:vertAlign w:val="baseline"/>
        </w:rPr>
        <w:t>A</w:t>
      </w:r>
      <w:r>
        <w:rPr>
          <w:spacing w:val="-2"/>
          <w:sz w:val="16"/>
          <w:vertAlign w:val="baseline"/>
        </w:rPr>
        <w:t> </w:t>
      </w:r>
      <w:r>
        <w:rPr>
          <w:sz w:val="16"/>
          <w:vertAlign w:val="baseline"/>
        </w:rPr>
        <w:t>binary</w:t>
      </w:r>
      <w:r>
        <w:rPr>
          <w:spacing w:val="-2"/>
          <w:sz w:val="16"/>
          <w:vertAlign w:val="baseline"/>
        </w:rPr>
        <w:t> </w:t>
      </w:r>
      <w:r>
        <w:rPr>
          <w:sz w:val="16"/>
          <w:vertAlign w:val="baseline"/>
        </w:rPr>
        <w:t>logistic</w:t>
      </w:r>
      <w:r>
        <w:rPr>
          <w:spacing w:val="-3"/>
          <w:sz w:val="16"/>
          <w:vertAlign w:val="baseline"/>
        </w:rPr>
        <w:t> </w:t>
      </w:r>
      <w:r>
        <w:rPr>
          <w:sz w:val="16"/>
          <w:vertAlign w:val="baseline"/>
        </w:rPr>
        <w:t>regression</w:t>
      </w:r>
      <w:r>
        <w:rPr>
          <w:spacing w:val="-3"/>
          <w:sz w:val="16"/>
          <w:vertAlign w:val="baseline"/>
        </w:rPr>
        <w:t> </w:t>
      </w:r>
      <w:r>
        <w:rPr>
          <w:sz w:val="16"/>
          <w:vertAlign w:val="baseline"/>
        </w:rPr>
        <w:t>analysis</w:t>
      </w:r>
      <w:r>
        <w:rPr>
          <w:spacing w:val="-3"/>
          <w:sz w:val="16"/>
          <w:vertAlign w:val="baseline"/>
        </w:rPr>
        <w:t> </w:t>
      </w:r>
      <w:r>
        <w:rPr>
          <w:sz w:val="16"/>
          <w:vertAlign w:val="baseline"/>
        </w:rPr>
        <w:t>was</w:t>
      </w:r>
      <w:r>
        <w:rPr>
          <w:spacing w:val="-3"/>
          <w:sz w:val="16"/>
          <w:vertAlign w:val="baseline"/>
        </w:rPr>
        <w:t> </w:t>
      </w:r>
      <w:r>
        <w:rPr>
          <w:sz w:val="16"/>
          <w:vertAlign w:val="baseline"/>
        </w:rPr>
        <w:t>used:</w:t>
      </w:r>
      <w:r>
        <w:rPr>
          <w:spacing w:val="-3"/>
          <w:sz w:val="16"/>
          <w:vertAlign w:val="baseline"/>
        </w:rPr>
        <w:t> </w:t>
      </w:r>
      <w:r>
        <w:rPr>
          <w:sz w:val="16"/>
          <w:vertAlign w:val="baseline"/>
        </w:rPr>
        <w:t>this</w:t>
      </w:r>
      <w:r>
        <w:rPr>
          <w:spacing w:val="-3"/>
          <w:sz w:val="16"/>
          <w:vertAlign w:val="baseline"/>
        </w:rPr>
        <w:t> </w:t>
      </w:r>
      <w:r>
        <w:rPr>
          <w:sz w:val="16"/>
          <w:vertAlign w:val="baseline"/>
        </w:rPr>
        <w:t>is</w:t>
      </w:r>
      <w:r>
        <w:rPr>
          <w:spacing w:val="-3"/>
          <w:sz w:val="16"/>
          <w:vertAlign w:val="baseline"/>
        </w:rPr>
        <w:t> </w:t>
      </w:r>
      <w:r>
        <w:rPr>
          <w:sz w:val="16"/>
          <w:vertAlign w:val="baseline"/>
        </w:rPr>
        <w:t>a</w:t>
      </w:r>
      <w:r>
        <w:rPr>
          <w:spacing w:val="-2"/>
          <w:sz w:val="16"/>
          <w:vertAlign w:val="baseline"/>
        </w:rPr>
        <w:t> </w:t>
      </w:r>
      <w:r>
        <w:rPr>
          <w:sz w:val="16"/>
          <w:vertAlign w:val="baseline"/>
        </w:rPr>
        <w:t>technique</w:t>
      </w:r>
      <w:r>
        <w:rPr>
          <w:spacing w:val="-3"/>
          <w:sz w:val="16"/>
          <w:vertAlign w:val="baseline"/>
        </w:rPr>
        <w:t> </w:t>
      </w:r>
      <w:r>
        <w:rPr>
          <w:sz w:val="16"/>
          <w:vertAlign w:val="baseline"/>
        </w:rPr>
        <w:t>which</w:t>
      </w:r>
      <w:r>
        <w:rPr>
          <w:spacing w:val="-1"/>
          <w:sz w:val="16"/>
          <w:vertAlign w:val="baseline"/>
        </w:rPr>
        <w:t> </w:t>
      </w:r>
      <w:r>
        <w:rPr>
          <w:sz w:val="16"/>
          <w:vertAlign w:val="baseline"/>
        </w:rPr>
        <w:t>examines</w:t>
      </w:r>
      <w:r>
        <w:rPr>
          <w:spacing w:val="-3"/>
          <w:sz w:val="16"/>
          <w:vertAlign w:val="baseline"/>
        </w:rPr>
        <w:t> </w:t>
      </w:r>
      <w:r>
        <w:rPr>
          <w:sz w:val="16"/>
          <w:vertAlign w:val="baseline"/>
        </w:rPr>
        <w:t>the</w:t>
      </w:r>
      <w:r>
        <w:rPr>
          <w:spacing w:val="-3"/>
          <w:sz w:val="16"/>
          <w:vertAlign w:val="baseline"/>
        </w:rPr>
        <w:t> </w:t>
      </w:r>
      <w:r>
        <w:rPr>
          <w:sz w:val="16"/>
          <w:vertAlign w:val="baseline"/>
        </w:rPr>
        <w:t>relationships between a ‘dependent’ variable (in this case, whether the conciliation case was resolved successfully </w:t>
      </w:r>
      <w:bookmarkStart w:name="_bookmark85" w:id="277"/>
      <w:bookmarkEnd w:id="277"/>
      <w:r>
        <w:rPr>
          <w:sz w:val="16"/>
          <w:vertAlign w:val="baseline"/>
        </w:rPr>
        <w:t>t</w:t>
      </w:r>
      <w:r>
        <w:rPr>
          <w:sz w:val="16"/>
          <w:vertAlign w:val="baseline"/>
        </w:rPr>
        <w:t>hrough a settlement) with multiple ‘independent’ variables (factors which might influence the dependent variable, such as the track of a claimant’s dispute) to identify the most influential factors. Further detail is available in the technical appendices.</w:t>
      </w:r>
    </w:p>
    <w:p>
      <w:pPr>
        <w:spacing w:before="160"/>
        <w:ind w:left="1337" w:right="0" w:firstLine="0"/>
        <w:jc w:val="left"/>
        <w:rPr>
          <w:sz w:val="16"/>
        </w:rPr>
      </w:pPr>
      <w:bookmarkStart w:name="_bookmark87" w:id="278"/>
      <w:bookmarkEnd w:id="278"/>
      <w:r>
        <w:rPr/>
      </w:r>
      <w:r>
        <w:rPr>
          <w:sz w:val="16"/>
          <w:vertAlign w:val="superscript"/>
        </w:rPr>
        <w:t>38</w:t>
      </w:r>
      <w:r>
        <w:rPr>
          <w:spacing w:val="-7"/>
          <w:sz w:val="16"/>
          <w:vertAlign w:val="baseline"/>
        </w:rPr>
        <w:t> </w:t>
      </w:r>
      <w:r>
        <w:rPr>
          <w:sz w:val="16"/>
          <w:vertAlign w:val="baseline"/>
        </w:rPr>
        <w:t>The</w:t>
      </w:r>
      <w:r>
        <w:rPr>
          <w:spacing w:val="-7"/>
          <w:sz w:val="16"/>
          <w:vertAlign w:val="baseline"/>
        </w:rPr>
        <w:t> </w:t>
      </w:r>
      <w:r>
        <w:rPr>
          <w:sz w:val="16"/>
          <w:vertAlign w:val="baseline"/>
        </w:rPr>
        <w:t>number</w:t>
      </w:r>
      <w:r>
        <w:rPr>
          <w:spacing w:val="-6"/>
          <w:sz w:val="16"/>
          <w:vertAlign w:val="baseline"/>
        </w:rPr>
        <w:t> </w:t>
      </w:r>
      <w:r>
        <w:rPr>
          <w:sz w:val="16"/>
          <w:vertAlign w:val="baseline"/>
        </w:rPr>
        <w:t>of</w:t>
      </w:r>
      <w:r>
        <w:rPr>
          <w:spacing w:val="-7"/>
          <w:sz w:val="16"/>
          <w:vertAlign w:val="baseline"/>
        </w:rPr>
        <w:t> </w:t>
      </w:r>
      <w:r>
        <w:rPr>
          <w:sz w:val="16"/>
          <w:vertAlign w:val="baseline"/>
        </w:rPr>
        <w:t>survey</w:t>
      </w:r>
      <w:r>
        <w:rPr>
          <w:spacing w:val="-6"/>
          <w:sz w:val="16"/>
          <w:vertAlign w:val="baseline"/>
        </w:rPr>
        <w:t> </w:t>
      </w:r>
      <w:r>
        <w:rPr>
          <w:sz w:val="16"/>
          <w:vertAlign w:val="baseline"/>
        </w:rPr>
        <w:t>respondents</w:t>
      </w:r>
      <w:r>
        <w:rPr>
          <w:spacing w:val="-5"/>
          <w:sz w:val="16"/>
          <w:vertAlign w:val="baseline"/>
        </w:rPr>
        <w:t> </w:t>
      </w:r>
      <w:r>
        <w:rPr>
          <w:sz w:val="16"/>
          <w:vertAlign w:val="baseline"/>
        </w:rPr>
        <w:t>in</w:t>
      </w:r>
      <w:r>
        <w:rPr>
          <w:spacing w:val="-8"/>
          <w:sz w:val="16"/>
          <w:vertAlign w:val="baseline"/>
        </w:rPr>
        <w:t> </w:t>
      </w:r>
      <w:r>
        <w:rPr>
          <w:sz w:val="16"/>
          <w:vertAlign w:val="baseline"/>
        </w:rPr>
        <w:t>this</w:t>
      </w:r>
      <w:r>
        <w:rPr>
          <w:spacing w:val="-5"/>
          <w:sz w:val="16"/>
          <w:vertAlign w:val="baseline"/>
        </w:rPr>
        <w:t> </w:t>
      </w:r>
      <w:r>
        <w:rPr>
          <w:sz w:val="16"/>
          <w:vertAlign w:val="baseline"/>
        </w:rPr>
        <w:t>scenario</w:t>
      </w:r>
      <w:r>
        <w:rPr>
          <w:spacing w:val="-5"/>
          <w:sz w:val="16"/>
          <w:vertAlign w:val="baseline"/>
        </w:rPr>
        <w:t> </w:t>
      </w:r>
      <w:r>
        <w:rPr>
          <w:sz w:val="16"/>
          <w:vertAlign w:val="baseline"/>
        </w:rPr>
        <w:t>is</w:t>
      </w:r>
      <w:r>
        <w:rPr>
          <w:spacing w:val="-8"/>
          <w:sz w:val="16"/>
          <w:vertAlign w:val="baseline"/>
        </w:rPr>
        <w:t> </w:t>
      </w:r>
      <w:r>
        <w:rPr>
          <w:sz w:val="16"/>
          <w:vertAlign w:val="baseline"/>
        </w:rPr>
        <w:t>small:</w:t>
      </w:r>
      <w:r>
        <w:rPr>
          <w:spacing w:val="-7"/>
          <w:sz w:val="16"/>
          <w:vertAlign w:val="baseline"/>
        </w:rPr>
        <w:t> </w:t>
      </w:r>
      <w:r>
        <w:rPr>
          <w:sz w:val="16"/>
          <w:vertAlign w:val="baseline"/>
        </w:rPr>
        <w:t>68</w:t>
      </w:r>
      <w:r>
        <w:rPr>
          <w:spacing w:val="-6"/>
          <w:sz w:val="16"/>
          <w:vertAlign w:val="baseline"/>
        </w:rPr>
        <w:t> </w:t>
      </w:r>
      <w:r>
        <w:rPr>
          <w:sz w:val="16"/>
          <w:vertAlign w:val="baseline"/>
        </w:rPr>
        <w:t>claimant-side</w:t>
      </w:r>
      <w:r>
        <w:rPr>
          <w:spacing w:val="-7"/>
          <w:sz w:val="16"/>
          <w:vertAlign w:val="baseline"/>
        </w:rPr>
        <w:t> </w:t>
      </w:r>
      <w:r>
        <w:rPr>
          <w:sz w:val="16"/>
          <w:vertAlign w:val="baseline"/>
        </w:rPr>
        <w:t>and</w:t>
      </w:r>
      <w:r>
        <w:rPr>
          <w:spacing w:val="-7"/>
          <w:sz w:val="16"/>
          <w:vertAlign w:val="baseline"/>
        </w:rPr>
        <w:t> </w:t>
      </w:r>
      <w:r>
        <w:rPr>
          <w:sz w:val="16"/>
          <w:vertAlign w:val="baseline"/>
        </w:rPr>
        <w:t>30</w:t>
      </w:r>
      <w:r>
        <w:rPr>
          <w:spacing w:val="-6"/>
          <w:sz w:val="16"/>
          <w:vertAlign w:val="baseline"/>
        </w:rPr>
        <w:t> </w:t>
      </w:r>
      <w:r>
        <w:rPr>
          <w:sz w:val="16"/>
          <w:vertAlign w:val="baseline"/>
        </w:rPr>
        <w:t>employer-</w:t>
      </w:r>
      <w:r>
        <w:rPr>
          <w:spacing w:val="-4"/>
          <w:sz w:val="16"/>
          <w:vertAlign w:val="baseline"/>
        </w:rPr>
        <w:t>side</w:t>
      </w:r>
    </w:p>
    <w:p>
      <w:pPr>
        <w:spacing w:before="29"/>
        <w:ind w:left="1337" w:right="1517" w:firstLine="0"/>
        <w:jc w:val="left"/>
        <w:rPr>
          <w:sz w:val="16"/>
        </w:rPr>
      </w:pPr>
      <w:bookmarkStart w:name="_bookmark89" w:id="279"/>
      <w:bookmarkEnd w:id="279"/>
      <w:r>
        <w:rPr/>
      </w:r>
      <w:r>
        <w:rPr>
          <w:sz w:val="16"/>
          <w:vertAlign w:val="superscript"/>
        </w:rPr>
        <w:t>39</w:t>
      </w:r>
      <w:r>
        <w:rPr>
          <w:spacing w:val="-2"/>
          <w:sz w:val="16"/>
          <w:vertAlign w:val="baseline"/>
        </w:rPr>
        <w:t> </w:t>
      </w:r>
      <w:r>
        <w:rPr>
          <w:sz w:val="16"/>
          <w:vertAlign w:val="baseline"/>
        </w:rPr>
        <w:t>Since</w:t>
      </w:r>
      <w:r>
        <w:rPr>
          <w:spacing w:val="-3"/>
          <w:sz w:val="16"/>
          <w:vertAlign w:val="baseline"/>
        </w:rPr>
        <w:t> </w:t>
      </w:r>
      <w:r>
        <w:rPr>
          <w:sz w:val="16"/>
          <w:vertAlign w:val="baseline"/>
        </w:rPr>
        <w:t>the</w:t>
      </w:r>
      <w:r>
        <w:rPr>
          <w:spacing w:val="-3"/>
          <w:sz w:val="16"/>
          <w:vertAlign w:val="baseline"/>
        </w:rPr>
        <w:t> </w:t>
      </w:r>
      <w:r>
        <w:rPr>
          <w:sz w:val="16"/>
          <w:vertAlign w:val="baseline"/>
        </w:rPr>
        <w:t>2019</w:t>
      </w:r>
      <w:r>
        <w:rPr>
          <w:spacing w:val="-2"/>
          <w:sz w:val="16"/>
          <w:vertAlign w:val="baseline"/>
        </w:rPr>
        <w:t> </w:t>
      </w:r>
      <w:r>
        <w:rPr>
          <w:sz w:val="16"/>
          <w:vertAlign w:val="baseline"/>
        </w:rPr>
        <w:t>survey,</w:t>
      </w:r>
      <w:r>
        <w:rPr>
          <w:spacing w:val="-3"/>
          <w:sz w:val="16"/>
          <w:vertAlign w:val="baseline"/>
        </w:rPr>
        <w:t> </w:t>
      </w:r>
      <w:r>
        <w:rPr>
          <w:sz w:val="16"/>
          <w:vertAlign w:val="baseline"/>
        </w:rPr>
        <w:t>Acas</w:t>
      </w:r>
      <w:r>
        <w:rPr>
          <w:spacing w:val="-1"/>
          <w:sz w:val="16"/>
          <w:vertAlign w:val="baseline"/>
        </w:rPr>
        <w:t> </w:t>
      </w:r>
      <w:r>
        <w:rPr>
          <w:sz w:val="16"/>
          <w:vertAlign w:val="baseline"/>
        </w:rPr>
        <w:t>has</w:t>
      </w:r>
      <w:r>
        <w:rPr>
          <w:spacing w:val="-3"/>
          <w:sz w:val="16"/>
          <w:vertAlign w:val="baseline"/>
        </w:rPr>
        <w:t> </w:t>
      </w:r>
      <w:r>
        <w:rPr>
          <w:sz w:val="16"/>
          <w:vertAlign w:val="baseline"/>
        </w:rPr>
        <w:t>launched</w:t>
      </w:r>
      <w:r>
        <w:rPr>
          <w:spacing w:val="-1"/>
          <w:sz w:val="16"/>
          <w:vertAlign w:val="baseline"/>
        </w:rPr>
        <w:t> </w:t>
      </w:r>
      <w:r>
        <w:rPr>
          <w:sz w:val="16"/>
          <w:vertAlign w:val="baseline"/>
        </w:rPr>
        <w:t>a</w:t>
      </w:r>
      <w:r>
        <w:rPr>
          <w:spacing w:val="-2"/>
          <w:sz w:val="16"/>
          <w:vertAlign w:val="baseline"/>
        </w:rPr>
        <w:t> </w:t>
      </w:r>
      <w:r>
        <w:rPr>
          <w:sz w:val="16"/>
          <w:vertAlign w:val="baseline"/>
        </w:rPr>
        <w:t>new</w:t>
      </w:r>
      <w:r>
        <w:rPr>
          <w:spacing w:val="-2"/>
          <w:sz w:val="16"/>
          <w:vertAlign w:val="baseline"/>
        </w:rPr>
        <w:t> </w:t>
      </w:r>
      <w:r>
        <w:rPr>
          <w:sz w:val="16"/>
          <w:vertAlign w:val="baseline"/>
        </w:rPr>
        <w:t>EC</w:t>
      </w:r>
      <w:r>
        <w:rPr>
          <w:spacing w:val="-2"/>
          <w:sz w:val="16"/>
          <w:vertAlign w:val="baseline"/>
        </w:rPr>
        <w:t> </w:t>
      </w:r>
      <w:r>
        <w:rPr>
          <w:sz w:val="16"/>
          <w:vertAlign w:val="baseline"/>
        </w:rPr>
        <w:t>notification</w:t>
      </w:r>
      <w:r>
        <w:rPr>
          <w:spacing w:val="-3"/>
          <w:sz w:val="16"/>
          <w:vertAlign w:val="baseline"/>
        </w:rPr>
        <w:t> </w:t>
      </w:r>
      <w:r>
        <w:rPr>
          <w:sz w:val="16"/>
          <w:vertAlign w:val="baseline"/>
        </w:rPr>
        <w:t>form</w:t>
      </w:r>
      <w:r>
        <w:rPr>
          <w:spacing w:val="-2"/>
          <w:sz w:val="16"/>
          <w:vertAlign w:val="baseline"/>
        </w:rPr>
        <w:t> </w:t>
      </w:r>
      <w:r>
        <w:rPr>
          <w:sz w:val="16"/>
          <w:vertAlign w:val="baseline"/>
        </w:rPr>
        <w:t>that</w:t>
      </w:r>
      <w:r>
        <w:rPr>
          <w:spacing w:val="-3"/>
          <w:sz w:val="16"/>
          <w:vertAlign w:val="baseline"/>
        </w:rPr>
        <w:t> </w:t>
      </w:r>
      <w:r>
        <w:rPr>
          <w:sz w:val="16"/>
          <w:vertAlign w:val="baseline"/>
        </w:rPr>
        <w:t>puts</w:t>
      </w:r>
      <w:r>
        <w:rPr>
          <w:spacing w:val="-3"/>
          <w:sz w:val="16"/>
          <w:vertAlign w:val="baseline"/>
        </w:rPr>
        <w:t> </w:t>
      </w:r>
      <w:r>
        <w:rPr>
          <w:sz w:val="16"/>
          <w:vertAlign w:val="baseline"/>
        </w:rPr>
        <w:t>greater</w:t>
      </w:r>
      <w:r>
        <w:rPr>
          <w:spacing w:val="-1"/>
          <w:sz w:val="16"/>
          <w:vertAlign w:val="baseline"/>
        </w:rPr>
        <w:t> </w:t>
      </w:r>
      <w:r>
        <w:rPr>
          <w:sz w:val="16"/>
          <w:vertAlign w:val="baseline"/>
        </w:rPr>
        <w:t>emphasis</w:t>
      </w:r>
      <w:r>
        <w:rPr>
          <w:spacing w:val="-3"/>
          <w:sz w:val="16"/>
          <w:vertAlign w:val="baseline"/>
        </w:rPr>
        <w:t> </w:t>
      </w:r>
      <w:r>
        <w:rPr>
          <w:sz w:val="16"/>
          <w:vertAlign w:val="baseline"/>
        </w:rPr>
        <w:t>on explaining the EC process with a more user-centred design. The data in this report suggests that this </w:t>
      </w:r>
      <w:bookmarkStart w:name="_bookmark88" w:id="280"/>
      <w:bookmarkEnd w:id="280"/>
      <w:r>
        <w:rPr>
          <w:sz w:val="16"/>
          <w:vertAlign w:val="baseline"/>
        </w:rPr>
        <w:t>i</w:t>
      </w:r>
      <w:r>
        <w:rPr>
          <w:sz w:val="16"/>
          <w:vertAlign w:val="baseline"/>
        </w:rPr>
        <w:t>s an important and worthwhile exercise.</w:t>
      </w:r>
    </w:p>
    <w:p>
      <w:pPr>
        <w:spacing w:before="0"/>
        <w:ind w:left="1337" w:right="1472" w:firstLine="0"/>
        <w:jc w:val="left"/>
        <w:rPr>
          <w:sz w:val="16"/>
        </w:rPr>
      </w:pPr>
      <w:bookmarkStart w:name="_bookmark90" w:id="281"/>
      <w:bookmarkEnd w:id="281"/>
      <w:r>
        <w:rPr/>
      </w:r>
      <w:r>
        <w:rPr>
          <w:sz w:val="16"/>
          <w:vertAlign w:val="superscript"/>
        </w:rPr>
        <w:t>40</w:t>
      </w:r>
      <w:r>
        <w:rPr>
          <w:spacing w:val="-2"/>
          <w:sz w:val="16"/>
          <w:vertAlign w:val="baseline"/>
        </w:rPr>
        <w:t> </w:t>
      </w:r>
      <w:r>
        <w:rPr>
          <w:sz w:val="16"/>
          <w:vertAlign w:val="baseline"/>
        </w:rPr>
        <w:t>It</w:t>
      </w:r>
      <w:r>
        <w:rPr>
          <w:spacing w:val="-3"/>
          <w:sz w:val="16"/>
          <w:vertAlign w:val="baseline"/>
        </w:rPr>
        <w:t> </w:t>
      </w:r>
      <w:r>
        <w:rPr>
          <w:sz w:val="16"/>
          <w:vertAlign w:val="baseline"/>
        </w:rPr>
        <w:t>should</w:t>
      </w:r>
      <w:r>
        <w:rPr>
          <w:spacing w:val="-2"/>
          <w:sz w:val="16"/>
          <w:vertAlign w:val="baseline"/>
        </w:rPr>
        <w:t> </w:t>
      </w:r>
      <w:r>
        <w:rPr>
          <w:sz w:val="16"/>
          <w:vertAlign w:val="baseline"/>
        </w:rPr>
        <w:t>be</w:t>
      </w:r>
      <w:r>
        <w:rPr>
          <w:spacing w:val="-3"/>
          <w:sz w:val="16"/>
          <w:vertAlign w:val="baseline"/>
        </w:rPr>
        <w:t> </w:t>
      </w:r>
      <w:r>
        <w:rPr>
          <w:sz w:val="16"/>
          <w:vertAlign w:val="baseline"/>
        </w:rPr>
        <w:t>noted</w:t>
      </w:r>
      <w:r>
        <w:rPr>
          <w:spacing w:val="-2"/>
          <w:sz w:val="16"/>
          <w:vertAlign w:val="baseline"/>
        </w:rPr>
        <w:t> </w:t>
      </w:r>
      <w:r>
        <w:rPr>
          <w:sz w:val="16"/>
          <w:vertAlign w:val="baseline"/>
        </w:rPr>
        <w:t>that</w:t>
      </w:r>
      <w:r>
        <w:rPr>
          <w:spacing w:val="-3"/>
          <w:sz w:val="16"/>
          <w:vertAlign w:val="baseline"/>
        </w:rPr>
        <w:t> </w:t>
      </w:r>
      <w:r>
        <w:rPr>
          <w:sz w:val="16"/>
          <w:vertAlign w:val="baseline"/>
        </w:rPr>
        <w:t>other</w:t>
      </w:r>
      <w:r>
        <w:rPr>
          <w:spacing w:val="-1"/>
          <w:sz w:val="16"/>
          <w:vertAlign w:val="baseline"/>
        </w:rPr>
        <w:t> </w:t>
      </w:r>
      <w:r>
        <w:rPr>
          <w:sz w:val="16"/>
          <w:vertAlign w:val="baseline"/>
        </w:rPr>
        <w:t>factors</w:t>
      </w:r>
      <w:r>
        <w:rPr>
          <w:spacing w:val="-3"/>
          <w:sz w:val="16"/>
          <w:vertAlign w:val="baseline"/>
        </w:rPr>
        <w:t> </w:t>
      </w:r>
      <w:r>
        <w:rPr>
          <w:sz w:val="16"/>
          <w:vertAlign w:val="baseline"/>
        </w:rPr>
        <w:t>drive</w:t>
      </w:r>
      <w:r>
        <w:rPr>
          <w:spacing w:val="-3"/>
          <w:sz w:val="16"/>
          <w:vertAlign w:val="baseline"/>
        </w:rPr>
        <w:t> </w:t>
      </w:r>
      <w:r>
        <w:rPr>
          <w:sz w:val="16"/>
          <w:vertAlign w:val="baseline"/>
        </w:rPr>
        <w:t>claimant</w:t>
      </w:r>
      <w:r>
        <w:rPr>
          <w:spacing w:val="-3"/>
          <w:sz w:val="16"/>
          <w:vertAlign w:val="baseline"/>
        </w:rPr>
        <w:t> </w:t>
      </w:r>
      <w:r>
        <w:rPr>
          <w:sz w:val="16"/>
          <w:vertAlign w:val="baseline"/>
        </w:rPr>
        <w:t>satisfaction</w:t>
      </w:r>
      <w:r>
        <w:rPr>
          <w:spacing w:val="-3"/>
          <w:sz w:val="16"/>
          <w:vertAlign w:val="baseline"/>
        </w:rPr>
        <w:t> </w:t>
      </w:r>
      <w:r>
        <w:rPr>
          <w:sz w:val="16"/>
          <w:vertAlign w:val="baseline"/>
        </w:rPr>
        <w:t>too</w:t>
      </w:r>
      <w:r>
        <w:rPr>
          <w:spacing w:val="-2"/>
          <w:sz w:val="16"/>
          <w:vertAlign w:val="baseline"/>
        </w:rPr>
        <w:t> </w:t>
      </w:r>
      <w:r>
        <w:rPr>
          <w:sz w:val="16"/>
          <w:vertAlign w:val="baseline"/>
        </w:rPr>
        <w:t>such</w:t>
      </w:r>
      <w:r>
        <w:rPr>
          <w:spacing w:val="-1"/>
          <w:sz w:val="16"/>
          <w:vertAlign w:val="baseline"/>
        </w:rPr>
        <w:t> </w:t>
      </w:r>
      <w:r>
        <w:rPr>
          <w:sz w:val="16"/>
          <w:vertAlign w:val="baseline"/>
        </w:rPr>
        <w:t>as</w:t>
      </w:r>
      <w:r>
        <w:rPr>
          <w:spacing w:val="-3"/>
          <w:sz w:val="16"/>
          <w:vertAlign w:val="baseline"/>
        </w:rPr>
        <w:t> </w:t>
      </w:r>
      <w:r>
        <w:rPr>
          <w:sz w:val="16"/>
          <w:vertAlign w:val="baseline"/>
        </w:rPr>
        <w:t>agreement</w:t>
      </w:r>
      <w:r>
        <w:rPr>
          <w:spacing w:val="-2"/>
          <w:sz w:val="16"/>
          <w:vertAlign w:val="baseline"/>
        </w:rPr>
        <w:t> </w:t>
      </w:r>
      <w:r>
        <w:rPr>
          <w:sz w:val="16"/>
          <w:vertAlign w:val="baseline"/>
        </w:rPr>
        <w:t>that</w:t>
      </w:r>
      <w:r>
        <w:rPr>
          <w:spacing w:val="-3"/>
          <w:sz w:val="16"/>
          <w:vertAlign w:val="baseline"/>
        </w:rPr>
        <w:t> </w:t>
      </w:r>
      <w:r>
        <w:rPr>
          <w:sz w:val="16"/>
          <w:vertAlign w:val="baseline"/>
        </w:rPr>
        <w:t>“Acas involvement was important in helping move parties closer towards resolving the case” and “Acas involvement was important in helping me to decide on how to proceed with this dispute” but the importance of the early stages of the process here are clear.</w:t>
      </w:r>
    </w:p>
    <w:p>
      <w:pPr>
        <w:spacing w:before="1"/>
        <w:ind w:left="1337" w:right="0" w:firstLine="0"/>
        <w:jc w:val="left"/>
        <w:rPr>
          <w:sz w:val="16"/>
        </w:rPr>
      </w:pPr>
      <w:bookmarkStart w:name="_bookmark91" w:id="282"/>
      <w:bookmarkEnd w:id="282"/>
      <w:r>
        <w:rPr/>
      </w:r>
      <w:r>
        <w:rPr>
          <w:sz w:val="16"/>
          <w:vertAlign w:val="superscript"/>
        </w:rPr>
        <w:t>41</w:t>
      </w:r>
      <w:r>
        <w:rPr>
          <w:spacing w:val="-7"/>
          <w:sz w:val="16"/>
          <w:vertAlign w:val="baseline"/>
        </w:rPr>
        <w:t> </w:t>
      </w:r>
      <w:r>
        <w:rPr>
          <w:sz w:val="16"/>
          <w:vertAlign w:val="baseline"/>
        </w:rPr>
        <w:t>Acas</w:t>
      </w:r>
      <w:r>
        <w:rPr>
          <w:spacing w:val="-7"/>
          <w:sz w:val="16"/>
          <w:vertAlign w:val="baseline"/>
        </w:rPr>
        <w:t> </w:t>
      </w:r>
      <w:r>
        <w:rPr>
          <w:sz w:val="16"/>
          <w:vertAlign w:val="baseline"/>
        </w:rPr>
        <w:t>began</w:t>
      </w:r>
      <w:r>
        <w:rPr>
          <w:spacing w:val="-7"/>
          <w:sz w:val="16"/>
          <w:vertAlign w:val="baseline"/>
        </w:rPr>
        <w:t> </w:t>
      </w:r>
      <w:r>
        <w:rPr>
          <w:sz w:val="16"/>
          <w:vertAlign w:val="baseline"/>
        </w:rPr>
        <w:t>piloting</w:t>
      </w:r>
      <w:r>
        <w:rPr>
          <w:spacing w:val="-6"/>
          <w:sz w:val="16"/>
          <w:vertAlign w:val="baseline"/>
        </w:rPr>
        <w:t> </w:t>
      </w:r>
      <w:r>
        <w:rPr>
          <w:sz w:val="16"/>
          <w:vertAlign w:val="baseline"/>
        </w:rPr>
        <w:t>team-based</w:t>
      </w:r>
      <w:r>
        <w:rPr>
          <w:spacing w:val="-6"/>
          <w:sz w:val="16"/>
          <w:vertAlign w:val="baseline"/>
        </w:rPr>
        <w:t> </w:t>
      </w:r>
      <w:r>
        <w:rPr>
          <w:sz w:val="16"/>
          <w:vertAlign w:val="baseline"/>
        </w:rPr>
        <w:t>conciliation</w:t>
      </w:r>
      <w:r>
        <w:rPr>
          <w:spacing w:val="-5"/>
          <w:sz w:val="16"/>
          <w:vertAlign w:val="baseline"/>
        </w:rPr>
        <w:t> </w:t>
      </w:r>
      <w:r>
        <w:rPr>
          <w:sz w:val="16"/>
          <w:vertAlign w:val="baseline"/>
        </w:rPr>
        <w:t>for</w:t>
      </w:r>
      <w:r>
        <w:rPr>
          <w:spacing w:val="-7"/>
          <w:sz w:val="16"/>
          <w:vertAlign w:val="baseline"/>
        </w:rPr>
        <w:t> </w:t>
      </w:r>
      <w:r>
        <w:rPr>
          <w:sz w:val="16"/>
          <w:vertAlign w:val="baseline"/>
        </w:rPr>
        <w:t>fast</w:t>
      </w:r>
      <w:r>
        <w:rPr>
          <w:spacing w:val="-7"/>
          <w:sz w:val="16"/>
          <w:vertAlign w:val="baseline"/>
        </w:rPr>
        <w:t> </w:t>
      </w:r>
      <w:r>
        <w:rPr>
          <w:sz w:val="16"/>
          <w:vertAlign w:val="baseline"/>
        </w:rPr>
        <w:t>track</w:t>
      </w:r>
      <w:r>
        <w:rPr>
          <w:spacing w:val="-5"/>
          <w:sz w:val="16"/>
          <w:vertAlign w:val="baseline"/>
        </w:rPr>
        <w:t> </w:t>
      </w:r>
      <w:r>
        <w:rPr>
          <w:sz w:val="16"/>
          <w:vertAlign w:val="baseline"/>
        </w:rPr>
        <w:t>cases</w:t>
      </w:r>
      <w:r>
        <w:rPr>
          <w:spacing w:val="-7"/>
          <w:sz w:val="16"/>
          <w:vertAlign w:val="baseline"/>
        </w:rPr>
        <w:t> </w:t>
      </w:r>
      <w:r>
        <w:rPr>
          <w:sz w:val="16"/>
          <w:vertAlign w:val="baseline"/>
        </w:rPr>
        <w:t>after</w:t>
      </w:r>
      <w:r>
        <w:rPr>
          <w:spacing w:val="-6"/>
          <w:sz w:val="16"/>
          <w:vertAlign w:val="baseline"/>
        </w:rPr>
        <w:t> </w:t>
      </w:r>
      <w:r>
        <w:rPr>
          <w:sz w:val="16"/>
          <w:vertAlign w:val="baseline"/>
        </w:rPr>
        <w:t>these</w:t>
      </w:r>
      <w:r>
        <w:rPr>
          <w:spacing w:val="-7"/>
          <w:sz w:val="16"/>
          <w:vertAlign w:val="baseline"/>
        </w:rPr>
        <w:t> </w:t>
      </w:r>
      <w:r>
        <w:rPr>
          <w:sz w:val="16"/>
          <w:vertAlign w:val="baseline"/>
        </w:rPr>
        <w:t>surveys</w:t>
      </w:r>
      <w:r>
        <w:rPr>
          <w:spacing w:val="-7"/>
          <w:sz w:val="16"/>
          <w:vertAlign w:val="baseline"/>
        </w:rPr>
        <w:t> </w:t>
      </w:r>
      <w:r>
        <w:rPr>
          <w:sz w:val="16"/>
          <w:vertAlign w:val="baseline"/>
        </w:rPr>
        <w:t>took</w:t>
      </w:r>
      <w:r>
        <w:rPr>
          <w:spacing w:val="-5"/>
          <w:sz w:val="16"/>
          <w:vertAlign w:val="baseline"/>
        </w:rPr>
        <w:t> </w:t>
      </w:r>
      <w:r>
        <w:rPr>
          <w:spacing w:val="-2"/>
          <w:sz w:val="16"/>
          <w:vertAlign w:val="baseline"/>
        </w:rPr>
        <w:t>place.</w:t>
      </w:r>
    </w:p>
    <w:p>
      <w:pPr>
        <w:spacing w:before="0"/>
        <w:ind w:left="1337" w:right="1472" w:firstLine="0"/>
        <w:jc w:val="left"/>
        <w:rPr>
          <w:sz w:val="16"/>
        </w:rPr>
      </w:pPr>
      <w:bookmarkStart w:name="_bookmark92" w:id="283"/>
      <w:bookmarkEnd w:id="283"/>
      <w:r>
        <w:rPr/>
      </w:r>
      <w:r>
        <w:rPr>
          <w:sz w:val="16"/>
          <w:vertAlign w:val="superscript"/>
        </w:rPr>
        <w:t>42</w:t>
      </w:r>
      <w:r>
        <w:rPr>
          <w:spacing w:val="-2"/>
          <w:sz w:val="16"/>
          <w:vertAlign w:val="baseline"/>
        </w:rPr>
        <w:t> </w:t>
      </w:r>
      <w:r>
        <w:rPr>
          <w:sz w:val="16"/>
          <w:vertAlign w:val="baseline"/>
        </w:rPr>
        <w:t>52</w:t>
      </w:r>
      <w:r>
        <w:rPr>
          <w:spacing w:val="-2"/>
          <w:sz w:val="16"/>
          <w:vertAlign w:val="baseline"/>
        </w:rPr>
        <w:t> </w:t>
      </w:r>
      <w:r>
        <w:rPr>
          <w:sz w:val="16"/>
          <w:vertAlign w:val="baseline"/>
        </w:rPr>
        <w:t>survey</w:t>
      </w:r>
      <w:r>
        <w:rPr>
          <w:spacing w:val="-2"/>
          <w:sz w:val="16"/>
          <w:vertAlign w:val="baseline"/>
        </w:rPr>
        <w:t> </w:t>
      </w:r>
      <w:r>
        <w:rPr>
          <w:sz w:val="16"/>
          <w:vertAlign w:val="baseline"/>
        </w:rPr>
        <w:t>participants</w:t>
      </w:r>
      <w:r>
        <w:rPr>
          <w:spacing w:val="-3"/>
          <w:sz w:val="16"/>
          <w:vertAlign w:val="baseline"/>
        </w:rPr>
        <w:t> </w:t>
      </w:r>
      <w:r>
        <w:rPr>
          <w:sz w:val="16"/>
          <w:vertAlign w:val="baseline"/>
        </w:rPr>
        <w:t>across</w:t>
      </w:r>
      <w:r>
        <w:rPr>
          <w:spacing w:val="-3"/>
          <w:sz w:val="16"/>
          <w:vertAlign w:val="baseline"/>
        </w:rPr>
        <w:t> </w:t>
      </w:r>
      <w:r>
        <w:rPr>
          <w:sz w:val="16"/>
          <w:vertAlign w:val="baseline"/>
        </w:rPr>
        <w:t>all</w:t>
      </w:r>
      <w:r>
        <w:rPr>
          <w:spacing w:val="-3"/>
          <w:sz w:val="16"/>
          <w:vertAlign w:val="baseline"/>
        </w:rPr>
        <w:t> </w:t>
      </w:r>
      <w:r>
        <w:rPr>
          <w:sz w:val="16"/>
          <w:vertAlign w:val="baseline"/>
        </w:rPr>
        <w:t>claimant,</w:t>
      </w:r>
      <w:r>
        <w:rPr>
          <w:spacing w:val="-2"/>
          <w:sz w:val="16"/>
          <w:vertAlign w:val="baseline"/>
        </w:rPr>
        <w:t> </w:t>
      </w:r>
      <w:r>
        <w:rPr>
          <w:sz w:val="16"/>
          <w:vertAlign w:val="baseline"/>
        </w:rPr>
        <w:t>employer</w:t>
      </w:r>
      <w:r>
        <w:rPr>
          <w:spacing w:val="-2"/>
          <w:sz w:val="16"/>
          <w:vertAlign w:val="baseline"/>
        </w:rPr>
        <w:t> </w:t>
      </w:r>
      <w:r>
        <w:rPr>
          <w:sz w:val="16"/>
          <w:vertAlign w:val="baseline"/>
        </w:rPr>
        <w:t>and</w:t>
      </w:r>
      <w:r>
        <w:rPr>
          <w:spacing w:val="-2"/>
          <w:sz w:val="16"/>
          <w:vertAlign w:val="baseline"/>
        </w:rPr>
        <w:t> </w:t>
      </w:r>
      <w:r>
        <w:rPr>
          <w:sz w:val="16"/>
          <w:vertAlign w:val="baseline"/>
        </w:rPr>
        <w:t>rep</w:t>
      </w:r>
      <w:r>
        <w:rPr>
          <w:spacing w:val="-2"/>
          <w:sz w:val="16"/>
          <w:vertAlign w:val="baseline"/>
        </w:rPr>
        <w:t> </w:t>
      </w:r>
      <w:r>
        <w:rPr>
          <w:sz w:val="16"/>
          <w:vertAlign w:val="baseline"/>
        </w:rPr>
        <w:t>groups</w:t>
      </w:r>
      <w:r>
        <w:rPr>
          <w:spacing w:val="-2"/>
          <w:sz w:val="16"/>
          <w:vertAlign w:val="baseline"/>
        </w:rPr>
        <w:t> </w:t>
      </w:r>
      <w:r>
        <w:rPr>
          <w:sz w:val="16"/>
          <w:vertAlign w:val="baseline"/>
        </w:rPr>
        <w:t>that</w:t>
      </w:r>
      <w:r>
        <w:rPr>
          <w:spacing w:val="-2"/>
          <w:sz w:val="16"/>
          <w:vertAlign w:val="baseline"/>
        </w:rPr>
        <w:t> </w:t>
      </w:r>
      <w:r>
        <w:rPr>
          <w:sz w:val="16"/>
          <w:vertAlign w:val="baseline"/>
        </w:rPr>
        <w:t>took</w:t>
      </w:r>
      <w:r>
        <w:rPr>
          <w:spacing w:val="-2"/>
          <w:sz w:val="16"/>
          <w:vertAlign w:val="baseline"/>
        </w:rPr>
        <w:t> </w:t>
      </w:r>
      <w:r>
        <w:rPr>
          <w:sz w:val="16"/>
          <w:vertAlign w:val="baseline"/>
        </w:rPr>
        <w:t>part</w:t>
      </w:r>
      <w:r>
        <w:rPr>
          <w:spacing w:val="-3"/>
          <w:sz w:val="16"/>
          <w:vertAlign w:val="baseline"/>
        </w:rPr>
        <w:t> </w:t>
      </w:r>
      <w:r>
        <w:rPr>
          <w:sz w:val="16"/>
          <w:vertAlign w:val="baseline"/>
        </w:rPr>
        <w:t>in</w:t>
      </w:r>
      <w:r>
        <w:rPr>
          <w:spacing w:val="-2"/>
          <w:sz w:val="16"/>
          <w:vertAlign w:val="baseline"/>
        </w:rPr>
        <w:t> </w:t>
      </w:r>
      <w:r>
        <w:rPr>
          <w:sz w:val="16"/>
          <w:vertAlign w:val="baseline"/>
        </w:rPr>
        <w:t>conciliation</w:t>
      </w:r>
      <w:r>
        <w:rPr>
          <w:spacing w:val="-3"/>
          <w:sz w:val="16"/>
          <w:vertAlign w:val="baseline"/>
        </w:rPr>
        <w:t> </w:t>
      </w:r>
      <w:r>
        <w:rPr>
          <w:sz w:val="16"/>
          <w:vertAlign w:val="baseline"/>
        </w:rPr>
        <w:t>at the ET stage recalled using a different conciliator than at the EC stage.</w:t>
      </w:r>
    </w:p>
    <w:sectPr>
      <w:pgSz w:w="11910" w:h="16840"/>
      <w:pgMar w:header="0" w:footer="996" w:top="1580" w:bottom="1180" w:left="46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Century Gothic">
    <w:altName w:val="Century 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85.059998pt;margin-top:781.111633pt;width:26.3pt;height:12.95pt;mso-position-horizontal-relative:page;mso-position-vertical-relative:page;z-index:-18127360" type="#_x0000_t202" id="docshape4" filled="false" stroked="false">
          <v:textbox inset="0,0,0,0">
            <w:txbxContent>
              <w:p>
                <w:pPr>
                  <w:spacing w:before="20"/>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100</w:t>
                </w:r>
                <w:r>
                  <w:rPr>
                    <w:b/>
                    <w:spacing w:val="-5"/>
                    <w:sz w:val="18"/>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
    <w:multiLevelType w:val="hybridMultilevel"/>
    <w:lvl w:ilvl="0">
      <w:start w:val="0"/>
      <w:numFmt w:val="bullet"/>
      <w:lvlText w:val=""/>
      <w:lvlJc w:val="left"/>
      <w:pPr>
        <w:ind w:left="2056"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49">
    <w:multiLevelType w:val="hybridMultilevel"/>
    <w:lvl w:ilvl="0">
      <w:start w:val="0"/>
      <w:numFmt w:val="bullet"/>
      <w:lvlText w:val=""/>
      <w:lvlJc w:val="left"/>
      <w:pPr>
        <w:ind w:left="945"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1707" w:hanging="360"/>
      </w:pPr>
      <w:rPr>
        <w:rFonts w:hint="default"/>
        <w:lang w:val="en-US" w:eastAsia="en-US" w:bidi="ar-SA"/>
      </w:rPr>
    </w:lvl>
    <w:lvl w:ilvl="2">
      <w:start w:val="0"/>
      <w:numFmt w:val="bullet"/>
      <w:lvlText w:val="•"/>
      <w:lvlJc w:val="left"/>
      <w:pPr>
        <w:ind w:left="2474" w:hanging="360"/>
      </w:pPr>
      <w:rPr>
        <w:rFonts w:hint="default"/>
        <w:lang w:val="en-US" w:eastAsia="en-US" w:bidi="ar-SA"/>
      </w:rPr>
    </w:lvl>
    <w:lvl w:ilvl="3">
      <w:start w:val="0"/>
      <w:numFmt w:val="bullet"/>
      <w:lvlText w:val="•"/>
      <w:lvlJc w:val="left"/>
      <w:pPr>
        <w:ind w:left="3241" w:hanging="360"/>
      </w:pPr>
      <w:rPr>
        <w:rFonts w:hint="default"/>
        <w:lang w:val="en-US" w:eastAsia="en-US" w:bidi="ar-SA"/>
      </w:rPr>
    </w:lvl>
    <w:lvl w:ilvl="4">
      <w:start w:val="0"/>
      <w:numFmt w:val="bullet"/>
      <w:lvlText w:val="•"/>
      <w:lvlJc w:val="left"/>
      <w:pPr>
        <w:ind w:left="4008" w:hanging="360"/>
      </w:pPr>
      <w:rPr>
        <w:rFonts w:hint="default"/>
        <w:lang w:val="en-US" w:eastAsia="en-US" w:bidi="ar-SA"/>
      </w:rPr>
    </w:lvl>
    <w:lvl w:ilvl="5">
      <w:start w:val="0"/>
      <w:numFmt w:val="bullet"/>
      <w:lvlText w:val="•"/>
      <w:lvlJc w:val="left"/>
      <w:pPr>
        <w:ind w:left="4775" w:hanging="360"/>
      </w:pPr>
      <w:rPr>
        <w:rFonts w:hint="default"/>
        <w:lang w:val="en-US" w:eastAsia="en-US" w:bidi="ar-SA"/>
      </w:rPr>
    </w:lvl>
    <w:lvl w:ilvl="6">
      <w:start w:val="0"/>
      <w:numFmt w:val="bullet"/>
      <w:lvlText w:val="•"/>
      <w:lvlJc w:val="left"/>
      <w:pPr>
        <w:ind w:left="5542" w:hanging="360"/>
      </w:pPr>
      <w:rPr>
        <w:rFonts w:hint="default"/>
        <w:lang w:val="en-US" w:eastAsia="en-US" w:bidi="ar-SA"/>
      </w:rPr>
    </w:lvl>
    <w:lvl w:ilvl="7">
      <w:start w:val="0"/>
      <w:numFmt w:val="bullet"/>
      <w:lvlText w:val="•"/>
      <w:lvlJc w:val="left"/>
      <w:pPr>
        <w:ind w:left="6309" w:hanging="360"/>
      </w:pPr>
      <w:rPr>
        <w:rFonts w:hint="default"/>
        <w:lang w:val="en-US" w:eastAsia="en-US" w:bidi="ar-SA"/>
      </w:rPr>
    </w:lvl>
    <w:lvl w:ilvl="8">
      <w:start w:val="0"/>
      <w:numFmt w:val="bullet"/>
      <w:lvlText w:val="•"/>
      <w:lvlJc w:val="left"/>
      <w:pPr>
        <w:ind w:left="7076" w:hanging="360"/>
      </w:pPr>
      <w:rPr>
        <w:rFonts w:hint="default"/>
        <w:lang w:val="en-US" w:eastAsia="en-US" w:bidi="ar-SA"/>
      </w:rPr>
    </w:lvl>
  </w:abstractNum>
  <w:abstractNum w:abstractNumId="48">
    <w:multiLevelType w:val="hybridMultilevel"/>
    <w:lvl w:ilvl="0">
      <w:start w:val="17"/>
      <w:numFmt w:val="decimal"/>
      <w:lvlText w:val="%1"/>
      <w:lvlJc w:val="left"/>
      <w:pPr>
        <w:ind w:left="2187" w:hanging="851"/>
        <w:jc w:val="left"/>
      </w:pPr>
      <w:rPr>
        <w:rFonts w:hint="default"/>
        <w:lang w:val="en-US" w:eastAsia="en-US" w:bidi="ar-SA"/>
      </w:rPr>
    </w:lvl>
    <w:lvl w:ilvl="1">
      <w:start w:val="2"/>
      <w:numFmt w:val="decimal"/>
      <w:lvlText w:val="%1.%2"/>
      <w:lvlJc w:val="left"/>
      <w:pPr>
        <w:ind w:left="2187" w:hanging="851"/>
        <w:jc w:val="left"/>
      </w:pPr>
      <w:rPr>
        <w:rFonts w:hint="default"/>
        <w:lang w:val="en-US" w:eastAsia="en-US" w:bidi="ar-SA"/>
      </w:rPr>
    </w:lvl>
    <w:lvl w:ilvl="2">
      <w:start w:val="1"/>
      <w:numFmt w:val="decimal"/>
      <w:lvlText w:val="%1.%2.%3"/>
      <w:lvlJc w:val="left"/>
      <w:pPr>
        <w:ind w:left="2187" w:hanging="851"/>
        <w:jc w:val="left"/>
      </w:pPr>
      <w:rPr>
        <w:rFonts w:hint="default" w:ascii="Verdana" w:hAnsi="Verdana" w:eastAsia="Verdana" w:cs="Verdana"/>
        <w:b/>
        <w:bCs/>
        <w:i/>
        <w:iCs/>
        <w:spacing w:val="-2"/>
        <w:w w:val="100"/>
        <w:sz w:val="20"/>
        <w:szCs w:val="20"/>
        <w:lang w:val="en-US" w:eastAsia="en-US" w:bidi="ar-SA"/>
      </w:rPr>
    </w:lvl>
    <w:lvl w:ilvl="3">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4">
      <w:start w:val="0"/>
      <w:numFmt w:val="bullet"/>
      <w:lvlText w:val="•"/>
      <w:lvlJc w:val="left"/>
      <w:pPr>
        <w:ind w:left="5162" w:hanging="360"/>
      </w:pPr>
      <w:rPr>
        <w:rFonts w:hint="default"/>
        <w:lang w:val="en-US" w:eastAsia="en-US" w:bidi="ar-SA"/>
      </w:rPr>
    </w:lvl>
    <w:lvl w:ilvl="5">
      <w:start w:val="0"/>
      <w:numFmt w:val="bullet"/>
      <w:lvlText w:val="•"/>
      <w:lvlJc w:val="left"/>
      <w:pPr>
        <w:ind w:left="6156" w:hanging="360"/>
      </w:pPr>
      <w:rPr>
        <w:rFonts w:hint="default"/>
        <w:lang w:val="en-US" w:eastAsia="en-US" w:bidi="ar-SA"/>
      </w:rPr>
    </w:lvl>
    <w:lvl w:ilvl="6">
      <w:start w:val="0"/>
      <w:numFmt w:val="bullet"/>
      <w:lvlText w:val="•"/>
      <w:lvlJc w:val="left"/>
      <w:pPr>
        <w:ind w:left="7150" w:hanging="360"/>
      </w:pPr>
      <w:rPr>
        <w:rFonts w:hint="default"/>
        <w:lang w:val="en-US" w:eastAsia="en-US" w:bidi="ar-SA"/>
      </w:rPr>
    </w:lvl>
    <w:lvl w:ilvl="7">
      <w:start w:val="0"/>
      <w:numFmt w:val="bullet"/>
      <w:lvlText w:val="•"/>
      <w:lvlJc w:val="left"/>
      <w:pPr>
        <w:ind w:left="8144" w:hanging="360"/>
      </w:pPr>
      <w:rPr>
        <w:rFonts w:hint="default"/>
        <w:lang w:val="en-US" w:eastAsia="en-US" w:bidi="ar-SA"/>
      </w:rPr>
    </w:lvl>
    <w:lvl w:ilvl="8">
      <w:start w:val="0"/>
      <w:numFmt w:val="bullet"/>
      <w:lvlText w:val="•"/>
      <w:lvlJc w:val="left"/>
      <w:pPr>
        <w:ind w:left="9138" w:hanging="360"/>
      </w:pPr>
      <w:rPr>
        <w:rFonts w:hint="default"/>
        <w:lang w:val="en-US" w:eastAsia="en-US" w:bidi="ar-SA"/>
      </w:rPr>
    </w:lvl>
  </w:abstractNum>
  <w:abstractNum w:abstractNumId="47">
    <w:multiLevelType w:val="hybridMultilevel"/>
    <w:lvl w:ilvl="0">
      <w:start w:val="0"/>
      <w:numFmt w:val="bullet"/>
      <w:lvlText w:val=""/>
      <w:lvlJc w:val="left"/>
      <w:pPr>
        <w:ind w:left="2075"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889" w:hanging="360"/>
      </w:pPr>
      <w:rPr>
        <w:rFonts w:hint="default"/>
        <w:lang w:val="en-US" w:eastAsia="en-US" w:bidi="ar-SA"/>
      </w:rPr>
    </w:lvl>
    <w:lvl w:ilvl="3">
      <w:start w:val="0"/>
      <w:numFmt w:val="bullet"/>
      <w:lvlText w:val="•"/>
      <w:lvlJc w:val="left"/>
      <w:pPr>
        <w:ind w:left="4793" w:hanging="360"/>
      </w:pPr>
      <w:rPr>
        <w:rFonts w:hint="default"/>
        <w:lang w:val="en-US" w:eastAsia="en-US" w:bidi="ar-SA"/>
      </w:rPr>
    </w:lvl>
    <w:lvl w:ilvl="4">
      <w:start w:val="0"/>
      <w:numFmt w:val="bullet"/>
      <w:lvlText w:val="•"/>
      <w:lvlJc w:val="left"/>
      <w:pPr>
        <w:ind w:left="5698" w:hanging="360"/>
      </w:pPr>
      <w:rPr>
        <w:rFonts w:hint="default"/>
        <w:lang w:val="en-US" w:eastAsia="en-US" w:bidi="ar-SA"/>
      </w:rPr>
    </w:lvl>
    <w:lvl w:ilvl="5">
      <w:start w:val="0"/>
      <w:numFmt w:val="bullet"/>
      <w:lvlText w:val="•"/>
      <w:lvlJc w:val="left"/>
      <w:pPr>
        <w:ind w:left="6603" w:hanging="360"/>
      </w:pPr>
      <w:rPr>
        <w:rFonts w:hint="default"/>
        <w:lang w:val="en-US" w:eastAsia="en-US" w:bidi="ar-SA"/>
      </w:rPr>
    </w:lvl>
    <w:lvl w:ilvl="6">
      <w:start w:val="0"/>
      <w:numFmt w:val="bullet"/>
      <w:lvlText w:val="•"/>
      <w:lvlJc w:val="left"/>
      <w:pPr>
        <w:ind w:left="7507" w:hanging="360"/>
      </w:pPr>
      <w:rPr>
        <w:rFonts w:hint="default"/>
        <w:lang w:val="en-US" w:eastAsia="en-US" w:bidi="ar-SA"/>
      </w:rPr>
    </w:lvl>
    <w:lvl w:ilvl="7">
      <w:start w:val="0"/>
      <w:numFmt w:val="bullet"/>
      <w:lvlText w:val="•"/>
      <w:lvlJc w:val="left"/>
      <w:pPr>
        <w:ind w:left="8412" w:hanging="360"/>
      </w:pPr>
      <w:rPr>
        <w:rFonts w:hint="default"/>
        <w:lang w:val="en-US" w:eastAsia="en-US" w:bidi="ar-SA"/>
      </w:rPr>
    </w:lvl>
    <w:lvl w:ilvl="8">
      <w:start w:val="0"/>
      <w:numFmt w:val="bullet"/>
      <w:lvlText w:val="•"/>
      <w:lvlJc w:val="left"/>
      <w:pPr>
        <w:ind w:left="9317" w:hanging="360"/>
      </w:pPr>
      <w:rPr>
        <w:rFonts w:hint="default"/>
        <w:lang w:val="en-US" w:eastAsia="en-US" w:bidi="ar-SA"/>
      </w:rPr>
    </w:lvl>
  </w:abstractNum>
  <w:abstractNum w:abstractNumId="46">
    <w:multiLevelType w:val="hybridMultilevel"/>
    <w:lvl w:ilvl="0">
      <w:start w:val="0"/>
      <w:numFmt w:val="bullet"/>
      <w:lvlText w:val=""/>
      <w:lvlJc w:val="left"/>
      <w:pPr>
        <w:ind w:left="2191"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3092" w:hanging="360"/>
      </w:pPr>
      <w:rPr>
        <w:rFonts w:hint="default"/>
        <w:lang w:val="en-US" w:eastAsia="en-US" w:bidi="ar-SA"/>
      </w:rPr>
    </w:lvl>
    <w:lvl w:ilvl="2">
      <w:start w:val="0"/>
      <w:numFmt w:val="bullet"/>
      <w:lvlText w:val="•"/>
      <w:lvlJc w:val="left"/>
      <w:pPr>
        <w:ind w:left="3985" w:hanging="360"/>
      </w:pPr>
      <w:rPr>
        <w:rFonts w:hint="default"/>
        <w:lang w:val="en-US" w:eastAsia="en-US" w:bidi="ar-SA"/>
      </w:rPr>
    </w:lvl>
    <w:lvl w:ilvl="3">
      <w:start w:val="0"/>
      <w:numFmt w:val="bullet"/>
      <w:lvlText w:val="•"/>
      <w:lvlJc w:val="left"/>
      <w:pPr>
        <w:ind w:left="4877" w:hanging="360"/>
      </w:pPr>
      <w:rPr>
        <w:rFonts w:hint="default"/>
        <w:lang w:val="en-US" w:eastAsia="en-US" w:bidi="ar-SA"/>
      </w:rPr>
    </w:lvl>
    <w:lvl w:ilvl="4">
      <w:start w:val="0"/>
      <w:numFmt w:val="bullet"/>
      <w:lvlText w:val="•"/>
      <w:lvlJc w:val="left"/>
      <w:pPr>
        <w:ind w:left="5770" w:hanging="360"/>
      </w:pPr>
      <w:rPr>
        <w:rFonts w:hint="default"/>
        <w:lang w:val="en-US" w:eastAsia="en-US" w:bidi="ar-SA"/>
      </w:rPr>
    </w:lvl>
    <w:lvl w:ilvl="5">
      <w:start w:val="0"/>
      <w:numFmt w:val="bullet"/>
      <w:lvlText w:val="•"/>
      <w:lvlJc w:val="left"/>
      <w:pPr>
        <w:ind w:left="6663" w:hanging="360"/>
      </w:pPr>
      <w:rPr>
        <w:rFonts w:hint="default"/>
        <w:lang w:val="en-US" w:eastAsia="en-US" w:bidi="ar-SA"/>
      </w:rPr>
    </w:lvl>
    <w:lvl w:ilvl="6">
      <w:start w:val="0"/>
      <w:numFmt w:val="bullet"/>
      <w:lvlText w:val="•"/>
      <w:lvlJc w:val="left"/>
      <w:pPr>
        <w:ind w:left="7555" w:hanging="360"/>
      </w:pPr>
      <w:rPr>
        <w:rFonts w:hint="default"/>
        <w:lang w:val="en-US" w:eastAsia="en-US" w:bidi="ar-SA"/>
      </w:rPr>
    </w:lvl>
    <w:lvl w:ilvl="7">
      <w:start w:val="0"/>
      <w:numFmt w:val="bullet"/>
      <w:lvlText w:val="•"/>
      <w:lvlJc w:val="left"/>
      <w:pPr>
        <w:ind w:left="8448" w:hanging="360"/>
      </w:pPr>
      <w:rPr>
        <w:rFonts w:hint="default"/>
        <w:lang w:val="en-US" w:eastAsia="en-US" w:bidi="ar-SA"/>
      </w:rPr>
    </w:lvl>
    <w:lvl w:ilvl="8">
      <w:start w:val="0"/>
      <w:numFmt w:val="bullet"/>
      <w:lvlText w:val="•"/>
      <w:lvlJc w:val="left"/>
      <w:pPr>
        <w:ind w:left="9341" w:hanging="360"/>
      </w:pPr>
      <w:rPr>
        <w:rFonts w:hint="default"/>
        <w:lang w:val="en-US" w:eastAsia="en-US" w:bidi="ar-SA"/>
      </w:rPr>
    </w:lvl>
  </w:abstractNum>
  <w:abstractNum w:abstractNumId="45">
    <w:multiLevelType w:val="hybridMultilevel"/>
    <w:lvl w:ilvl="0">
      <w:start w:val="16"/>
      <w:numFmt w:val="decimal"/>
      <w:lvlText w:val="%1"/>
      <w:lvlJc w:val="left"/>
      <w:pPr>
        <w:ind w:left="2188" w:hanging="851"/>
        <w:jc w:val="left"/>
      </w:pPr>
      <w:rPr>
        <w:rFonts w:hint="default"/>
        <w:lang w:val="en-US" w:eastAsia="en-US" w:bidi="ar-SA"/>
      </w:rPr>
    </w:lvl>
    <w:lvl w:ilvl="1">
      <w:start w:val="8"/>
      <w:numFmt w:val="decimal"/>
      <w:lvlText w:val="%1.%2"/>
      <w:lvlJc w:val="left"/>
      <w:pPr>
        <w:ind w:left="2188" w:hanging="851"/>
        <w:jc w:val="left"/>
      </w:pPr>
      <w:rPr>
        <w:rFonts w:hint="default"/>
        <w:lang w:val="en-US" w:eastAsia="en-US" w:bidi="ar-SA"/>
      </w:rPr>
    </w:lvl>
    <w:lvl w:ilvl="2">
      <w:start w:val="1"/>
      <w:numFmt w:val="decimal"/>
      <w:lvlText w:val="%1.%2.%3"/>
      <w:lvlJc w:val="left"/>
      <w:pPr>
        <w:ind w:left="2188" w:hanging="851"/>
        <w:jc w:val="left"/>
      </w:pPr>
      <w:rPr>
        <w:rFonts w:hint="default" w:ascii="Verdana" w:hAnsi="Verdana" w:eastAsia="Verdana" w:cs="Verdana"/>
        <w:b/>
        <w:bCs/>
        <w:i/>
        <w:iCs/>
        <w:spacing w:val="-2"/>
        <w:w w:val="100"/>
        <w:sz w:val="20"/>
        <w:szCs w:val="20"/>
        <w:lang w:val="en-US" w:eastAsia="en-US" w:bidi="ar-SA"/>
      </w:rPr>
    </w:lvl>
    <w:lvl w:ilvl="3">
      <w:start w:val="0"/>
      <w:numFmt w:val="bullet"/>
      <w:lvlText w:val="•"/>
      <w:lvlJc w:val="left"/>
      <w:pPr>
        <w:ind w:left="4863" w:hanging="851"/>
      </w:pPr>
      <w:rPr>
        <w:rFonts w:hint="default"/>
        <w:lang w:val="en-US" w:eastAsia="en-US" w:bidi="ar-SA"/>
      </w:rPr>
    </w:lvl>
    <w:lvl w:ilvl="4">
      <w:start w:val="0"/>
      <w:numFmt w:val="bullet"/>
      <w:lvlText w:val="•"/>
      <w:lvlJc w:val="left"/>
      <w:pPr>
        <w:ind w:left="5758" w:hanging="851"/>
      </w:pPr>
      <w:rPr>
        <w:rFonts w:hint="default"/>
        <w:lang w:val="en-US" w:eastAsia="en-US" w:bidi="ar-SA"/>
      </w:rPr>
    </w:lvl>
    <w:lvl w:ilvl="5">
      <w:start w:val="0"/>
      <w:numFmt w:val="bullet"/>
      <w:lvlText w:val="•"/>
      <w:lvlJc w:val="left"/>
      <w:pPr>
        <w:ind w:left="6653" w:hanging="851"/>
      </w:pPr>
      <w:rPr>
        <w:rFonts w:hint="default"/>
        <w:lang w:val="en-US" w:eastAsia="en-US" w:bidi="ar-SA"/>
      </w:rPr>
    </w:lvl>
    <w:lvl w:ilvl="6">
      <w:start w:val="0"/>
      <w:numFmt w:val="bullet"/>
      <w:lvlText w:val="•"/>
      <w:lvlJc w:val="left"/>
      <w:pPr>
        <w:ind w:left="7547" w:hanging="851"/>
      </w:pPr>
      <w:rPr>
        <w:rFonts w:hint="default"/>
        <w:lang w:val="en-US" w:eastAsia="en-US" w:bidi="ar-SA"/>
      </w:rPr>
    </w:lvl>
    <w:lvl w:ilvl="7">
      <w:start w:val="0"/>
      <w:numFmt w:val="bullet"/>
      <w:lvlText w:val="•"/>
      <w:lvlJc w:val="left"/>
      <w:pPr>
        <w:ind w:left="8442" w:hanging="851"/>
      </w:pPr>
      <w:rPr>
        <w:rFonts w:hint="default"/>
        <w:lang w:val="en-US" w:eastAsia="en-US" w:bidi="ar-SA"/>
      </w:rPr>
    </w:lvl>
    <w:lvl w:ilvl="8">
      <w:start w:val="0"/>
      <w:numFmt w:val="bullet"/>
      <w:lvlText w:val="•"/>
      <w:lvlJc w:val="left"/>
      <w:pPr>
        <w:ind w:left="9337" w:hanging="851"/>
      </w:pPr>
      <w:rPr>
        <w:rFonts w:hint="default"/>
        <w:lang w:val="en-US" w:eastAsia="en-US" w:bidi="ar-SA"/>
      </w:rPr>
    </w:lvl>
  </w:abstractNum>
  <w:abstractNum w:abstractNumId="44">
    <w:multiLevelType w:val="hybridMultilevel"/>
    <w:lvl w:ilvl="0">
      <w:start w:val="0"/>
      <w:numFmt w:val="bullet"/>
      <w:lvlText w:val=""/>
      <w:lvlJc w:val="left"/>
      <w:pPr>
        <w:ind w:left="2056"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43">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42">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41">
    <w:multiLevelType w:val="hybridMultilevel"/>
    <w:lvl w:ilvl="0">
      <w:start w:val="0"/>
      <w:numFmt w:val="bullet"/>
      <w:lvlText w:val=""/>
      <w:lvlJc w:val="left"/>
      <w:pPr>
        <w:ind w:left="2056"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40">
    <w:multiLevelType w:val="hybridMultilevel"/>
    <w:lvl w:ilvl="0">
      <w:start w:val="0"/>
      <w:numFmt w:val="bullet"/>
      <w:lvlText w:val=""/>
      <w:lvlJc w:val="left"/>
      <w:pPr>
        <w:ind w:left="2075"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889" w:hanging="360"/>
      </w:pPr>
      <w:rPr>
        <w:rFonts w:hint="default"/>
        <w:lang w:val="en-US" w:eastAsia="en-US" w:bidi="ar-SA"/>
      </w:rPr>
    </w:lvl>
    <w:lvl w:ilvl="3">
      <w:start w:val="0"/>
      <w:numFmt w:val="bullet"/>
      <w:lvlText w:val="•"/>
      <w:lvlJc w:val="left"/>
      <w:pPr>
        <w:ind w:left="4793" w:hanging="360"/>
      </w:pPr>
      <w:rPr>
        <w:rFonts w:hint="default"/>
        <w:lang w:val="en-US" w:eastAsia="en-US" w:bidi="ar-SA"/>
      </w:rPr>
    </w:lvl>
    <w:lvl w:ilvl="4">
      <w:start w:val="0"/>
      <w:numFmt w:val="bullet"/>
      <w:lvlText w:val="•"/>
      <w:lvlJc w:val="left"/>
      <w:pPr>
        <w:ind w:left="5698" w:hanging="360"/>
      </w:pPr>
      <w:rPr>
        <w:rFonts w:hint="default"/>
        <w:lang w:val="en-US" w:eastAsia="en-US" w:bidi="ar-SA"/>
      </w:rPr>
    </w:lvl>
    <w:lvl w:ilvl="5">
      <w:start w:val="0"/>
      <w:numFmt w:val="bullet"/>
      <w:lvlText w:val="•"/>
      <w:lvlJc w:val="left"/>
      <w:pPr>
        <w:ind w:left="6603" w:hanging="360"/>
      </w:pPr>
      <w:rPr>
        <w:rFonts w:hint="default"/>
        <w:lang w:val="en-US" w:eastAsia="en-US" w:bidi="ar-SA"/>
      </w:rPr>
    </w:lvl>
    <w:lvl w:ilvl="6">
      <w:start w:val="0"/>
      <w:numFmt w:val="bullet"/>
      <w:lvlText w:val="•"/>
      <w:lvlJc w:val="left"/>
      <w:pPr>
        <w:ind w:left="7507" w:hanging="360"/>
      </w:pPr>
      <w:rPr>
        <w:rFonts w:hint="default"/>
        <w:lang w:val="en-US" w:eastAsia="en-US" w:bidi="ar-SA"/>
      </w:rPr>
    </w:lvl>
    <w:lvl w:ilvl="7">
      <w:start w:val="0"/>
      <w:numFmt w:val="bullet"/>
      <w:lvlText w:val="•"/>
      <w:lvlJc w:val="left"/>
      <w:pPr>
        <w:ind w:left="8412" w:hanging="360"/>
      </w:pPr>
      <w:rPr>
        <w:rFonts w:hint="default"/>
        <w:lang w:val="en-US" w:eastAsia="en-US" w:bidi="ar-SA"/>
      </w:rPr>
    </w:lvl>
    <w:lvl w:ilvl="8">
      <w:start w:val="0"/>
      <w:numFmt w:val="bullet"/>
      <w:lvlText w:val="•"/>
      <w:lvlJc w:val="left"/>
      <w:pPr>
        <w:ind w:left="9317" w:hanging="360"/>
      </w:pPr>
      <w:rPr>
        <w:rFonts w:hint="default"/>
        <w:lang w:val="en-US" w:eastAsia="en-US" w:bidi="ar-SA"/>
      </w:rPr>
    </w:lvl>
  </w:abstractNum>
  <w:abstractNum w:abstractNumId="39">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38">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37">
    <w:multiLevelType w:val="hybridMultilevel"/>
    <w:lvl w:ilvl="0">
      <w:start w:val="0"/>
      <w:numFmt w:val="bullet"/>
      <w:lvlText w:val=""/>
      <w:lvlJc w:val="left"/>
      <w:pPr>
        <w:ind w:left="813"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1653" w:hanging="360"/>
      </w:pPr>
      <w:rPr>
        <w:rFonts w:hint="default"/>
        <w:lang w:val="en-US" w:eastAsia="en-US" w:bidi="ar-SA"/>
      </w:rPr>
    </w:lvl>
    <w:lvl w:ilvl="2">
      <w:start w:val="0"/>
      <w:numFmt w:val="bullet"/>
      <w:lvlText w:val="•"/>
      <w:lvlJc w:val="left"/>
      <w:pPr>
        <w:ind w:left="2486" w:hanging="360"/>
      </w:pPr>
      <w:rPr>
        <w:rFonts w:hint="default"/>
        <w:lang w:val="en-US" w:eastAsia="en-US" w:bidi="ar-SA"/>
      </w:rPr>
    </w:lvl>
    <w:lvl w:ilvl="3">
      <w:start w:val="0"/>
      <w:numFmt w:val="bullet"/>
      <w:lvlText w:val="•"/>
      <w:lvlJc w:val="left"/>
      <w:pPr>
        <w:ind w:left="3319" w:hanging="360"/>
      </w:pPr>
      <w:rPr>
        <w:rFonts w:hint="default"/>
        <w:lang w:val="en-US" w:eastAsia="en-US" w:bidi="ar-SA"/>
      </w:rPr>
    </w:lvl>
    <w:lvl w:ilvl="4">
      <w:start w:val="0"/>
      <w:numFmt w:val="bullet"/>
      <w:lvlText w:val="•"/>
      <w:lvlJc w:val="left"/>
      <w:pPr>
        <w:ind w:left="4152" w:hanging="360"/>
      </w:pPr>
      <w:rPr>
        <w:rFonts w:hint="default"/>
        <w:lang w:val="en-US" w:eastAsia="en-US" w:bidi="ar-SA"/>
      </w:rPr>
    </w:lvl>
    <w:lvl w:ilvl="5">
      <w:start w:val="0"/>
      <w:numFmt w:val="bullet"/>
      <w:lvlText w:val="•"/>
      <w:lvlJc w:val="left"/>
      <w:pPr>
        <w:ind w:left="498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651" w:hanging="360"/>
      </w:pPr>
      <w:rPr>
        <w:rFonts w:hint="default"/>
        <w:lang w:val="en-US" w:eastAsia="en-US" w:bidi="ar-SA"/>
      </w:rPr>
    </w:lvl>
    <w:lvl w:ilvl="8">
      <w:start w:val="0"/>
      <w:numFmt w:val="bullet"/>
      <w:lvlText w:val="•"/>
      <w:lvlJc w:val="left"/>
      <w:pPr>
        <w:ind w:left="7484" w:hanging="360"/>
      </w:pPr>
      <w:rPr>
        <w:rFonts w:hint="default"/>
        <w:lang w:val="en-US" w:eastAsia="en-US" w:bidi="ar-SA"/>
      </w:rPr>
    </w:lvl>
  </w:abstractNum>
  <w:abstractNum w:abstractNumId="36">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35">
    <w:multiLevelType w:val="hybridMultilevel"/>
    <w:lvl w:ilvl="0">
      <w:start w:val="0"/>
      <w:numFmt w:val="bullet"/>
      <w:lvlText w:val=""/>
      <w:lvlJc w:val="left"/>
      <w:pPr>
        <w:ind w:left="902"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1705" w:hanging="360"/>
      </w:pPr>
      <w:rPr>
        <w:rFonts w:hint="default"/>
        <w:lang w:val="en-US" w:eastAsia="en-US" w:bidi="ar-SA"/>
      </w:rPr>
    </w:lvl>
    <w:lvl w:ilvl="2">
      <w:start w:val="0"/>
      <w:numFmt w:val="bullet"/>
      <w:lvlText w:val="•"/>
      <w:lvlJc w:val="left"/>
      <w:pPr>
        <w:ind w:left="2511" w:hanging="360"/>
      </w:pPr>
      <w:rPr>
        <w:rFonts w:hint="default"/>
        <w:lang w:val="en-US" w:eastAsia="en-US" w:bidi="ar-SA"/>
      </w:rPr>
    </w:lvl>
    <w:lvl w:ilvl="3">
      <w:start w:val="0"/>
      <w:numFmt w:val="bullet"/>
      <w:lvlText w:val="•"/>
      <w:lvlJc w:val="left"/>
      <w:pPr>
        <w:ind w:left="3316" w:hanging="360"/>
      </w:pPr>
      <w:rPr>
        <w:rFonts w:hint="default"/>
        <w:lang w:val="en-US" w:eastAsia="en-US" w:bidi="ar-SA"/>
      </w:rPr>
    </w:lvl>
    <w:lvl w:ilvl="4">
      <w:start w:val="0"/>
      <w:numFmt w:val="bullet"/>
      <w:lvlText w:val="•"/>
      <w:lvlJc w:val="left"/>
      <w:pPr>
        <w:ind w:left="4122" w:hanging="360"/>
      </w:pPr>
      <w:rPr>
        <w:rFonts w:hint="default"/>
        <w:lang w:val="en-US" w:eastAsia="en-US" w:bidi="ar-SA"/>
      </w:rPr>
    </w:lvl>
    <w:lvl w:ilvl="5">
      <w:start w:val="0"/>
      <w:numFmt w:val="bullet"/>
      <w:lvlText w:val="•"/>
      <w:lvlJc w:val="left"/>
      <w:pPr>
        <w:ind w:left="4927" w:hanging="360"/>
      </w:pPr>
      <w:rPr>
        <w:rFonts w:hint="default"/>
        <w:lang w:val="en-US" w:eastAsia="en-US" w:bidi="ar-SA"/>
      </w:rPr>
    </w:lvl>
    <w:lvl w:ilvl="6">
      <w:start w:val="0"/>
      <w:numFmt w:val="bullet"/>
      <w:lvlText w:val="•"/>
      <w:lvlJc w:val="left"/>
      <w:pPr>
        <w:ind w:left="5733" w:hanging="360"/>
      </w:pPr>
      <w:rPr>
        <w:rFonts w:hint="default"/>
        <w:lang w:val="en-US" w:eastAsia="en-US" w:bidi="ar-SA"/>
      </w:rPr>
    </w:lvl>
    <w:lvl w:ilvl="7">
      <w:start w:val="0"/>
      <w:numFmt w:val="bullet"/>
      <w:lvlText w:val="•"/>
      <w:lvlJc w:val="left"/>
      <w:pPr>
        <w:ind w:left="6538" w:hanging="360"/>
      </w:pPr>
      <w:rPr>
        <w:rFonts w:hint="default"/>
        <w:lang w:val="en-US" w:eastAsia="en-US" w:bidi="ar-SA"/>
      </w:rPr>
    </w:lvl>
    <w:lvl w:ilvl="8">
      <w:start w:val="0"/>
      <w:numFmt w:val="bullet"/>
      <w:lvlText w:val="•"/>
      <w:lvlJc w:val="left"/>
      <w:pPr>
        <w:ind w:left="7344" w:hanging="360"/>
      </w:pPr>
      <w:rPr>
        <w:rFonts w:hint="default"/>
        <w:lang w:val="en-US" w:eastAsia="en-US" w:bidi="ar-SA"/>
      </w:rPr>
    </w:lvl>
  </w:abstractNum>
  <w:abstractNum w:abstractNumId="34">
    <w:multiLevelType w:val="hybridMultilevel"/>
    <w:lvl w:ilvl="0">
      <w:start w:val="13"/>
      <w:numFmt w:val="decimal"/>
      <w:lvlText w:val="%1"/>
      <w:lvlJc w:val="left"/>
      <w:pPr>
        <w:ind w:left="2188" w:hanging="851"/>
        <w:jc w:val="left"/>
      </w:pPr>
      <w:rPr>
        <w:rFonts w:hint="default"/>
        <w:lang w:val="en-US" w:eastAsia="en-US" w:bidi="ar-SA"/>
      </w:rPr>
    </w:lvl>
    <w:lvl w:ilvl="1">
      <w:start w:val="5"/>
      <w:numFmt w:val="decimal"/>
      <w:lvlText w:val="%1.%2"/>
      <w:lvlJc w:val="left"/>
      <w:pPr>
        <w:ind w:left="2188" w:hanging="851"/>
        <w:jc w:val="left"/>
      </w:pPr>
      <w:rPr>
        <w:rFonts w:hint="default"/>
        <w:lang w:val="en-US" w:eastAsia="en-US" w:bidi="ar-SA"/>
      </w:rPr>
    </w:lvl>
    <w:lvl w:ilvl="2">
      <w:start w:val="1"/>
      <w:numFmt w:val="decimal"/>
      <w:lvlText w:val="%1.%2.%3"/>
      <w:lvlJc w:val="left"/>
      <w:pPr>
        <w:ind w:left="2188" w:hanging="851"/>
        <w:jc w:val="left"/>
      </w:pPr>
      <w:rPr>
        <w:rFonts w:hint="default" w:ascii="Verdana" w:hAnsi="Verdana" w:eastAsia="Verdana" w:cs="Verdana"/>
        <w:b/>
        <w:bCs/>
        <w:i/>
        <w:iCs/>
        <w:spacing w:val="-2"/>
        <w:w w:val="100"/>
        <w:sz w:val="20"/>
        <w:szCs w:val="20"/>
        <w:lang w:val="en-US" w:eastAsia="en-US" w:bidi="ar-SA"/>
      </w:rPr>
    </w:lvl>
    <w:lvl w:ilvl="3">
      <w:start w:val="0"/>
      <w:numFmt w:val="bullet"/>
      <w:lvlText w:val=""/>
      <w:lvlJc w:val="left"/>
      <w:pPr>
        <w:ind w:left="2057" w:hanging="360"/>
      </w:pPr>
      <w:rPr>
        <w:rFonts w:hint="default" w:ascii="Symbol" w:hAnsi="Symbol" w:eastAsia="Symbol" w:cs="Symbol"/>
        <w:w w:val="99"/>
        <w:lang w:val="en-US" w:eastAsia="en-US" w:bidi="ar-SA"/>
      </w:rPr>
    </w:lvl>
    <w:lvl w:ilvl="4">
      <w:start w:val="0"/>
      <w:numFmt w:val="bullet"/>
      <w:lvlText w:val="•"/>
      <w:lvlJc w:val="left"/>
      <w:pPr>
        <w:ind w:left="5162" w:hanging="360"/>
      </w:pPr>
      <w:rPr>
        <w:rFonts w:hint="default"/>
        <w:lang w:val="en-US" w:eastAsia="en-US" w:bidi="ar-SA"/>
      </w:rPr>
    </w:lvl>
    <w:lvl w:ilvl="5">
      <w:start w:val="0"/>
      <w:numFmt w:val="bullet"/>
      <w:lvlText w:val="•"/>
      <w:lvlJc w:val="left"/>
      <w:pPr>
        <w:ind w:left="6156" w:hanging="360"/>
      </w:pPr>
      <w:rPr>
        <w:rFonts w:hint="default"/>
        <w:lang w:val="en-US" w:eastAsia="en-US" w:bidi="ar-SA"/>
      </w:rPr>
    </w:lvl>
    <w:lvl w:ilvl="6">
      <w:start w:val="0"/>
      <w:numFmt w:val="bullet"/>
      <w:lvlText w:val="•"/>
      <w:lvlJc w:val="left"/>
      <w:pPr>
        <w:ind w:left="7150" w:hanging="360"/>
      </w:pPr>
      <w:rPr>
        <w:rFonts w:hint="default"/>
        <w:lang w:val="en-US" w:eastAsia="en-US" w:bidi="ar-SA"/>
      </w:rPr>
    </w:lvl>
    <w:lvl w:ilvl="7">
      <w:start w:val="0"/>
      <w:numFmt w:val="bullet"/>
      <w:lvlText w:val="•"/>
      <w:lvlJc w:val="left"/>
      <w:pPr>
        <w:ind w:left="8144" w:hanging="360"/>
      </w:pPr>
      <w:rPr>
        <w:rFonts w:hint="default"/>
        <w:lang w:val="en-US" w:eastAsia="en-US" w:bidi="ar-SA"/>
      </w:rPr>
    </w:lvl>
    <w:lvl w:ilvl="8">
      <w:start w:val="0"/>
      <w:numFmt w:val="bullet"/>
      <w:lvlText w:val="•"/>
      <w:lvlJc w:val="left"/>
      <w:pPr>
        <w:ind w:left="9138" w:hanging="360"/>
      </w:pPr>
      <w:rPr>
        <w:rFonts w:hint="default"/>
        <w:lang w:val="en-US" w:eastAsia="en-US" w:bidi="ar-SA"/>
      </w:rPr>
    </w:lvl>
  </w:abstractNum>
  <w:abstractNum w:abstractNumId="33">
    <w:multiLevelType w:val="hybridMultilevel"/>
    <w:lvl w:ilvl="0">
      <w:start w:val="13"/>
      <w:numFmt w:val="decimal"/>
      <w:lvlText w:val="%1"/>
      <w:lvlJc w:val="left"/>
      <w:pPr>
        <w:ind w:left="2187" w:hanging="851"/>
        <w:jc w:val="left"/>
      </w:pPr>
      <w:rPr>
        <w:rFonts w:hint="default"/>
        <w:lang w:val="en-US" w:eastAsia="en-US" w:bidi="ar-SA"/>
      </w:rPr>
    </w:lvl>
    <w:lvl w:ilvl="1">
      <w:start w:val="4"/>
      <w:numFmt w:val="decimal"/>
      <w:lvlText w:val="%1.%2"/>
      <w:lvlJc w:val="left"/>
      <w:pPr>
        <w:ind w:left="2187" w:hanging="851"/>
        <w:jc w:val="left"/>
      </w:pPr>
      <w:rPr>
        <w:rFonts w:hint="default"/>
        <w:lang w:val="en-US" w:eastAsia="en-US" w:bidi="ar-SA"/>
      </w:rPr>
    </w:lvl>
    <w:lvl w:ilvl="2">
      <w:start w:val="1"/>
      <w:numFmt w:val="decimal"/>
      <w:lvlText w:val="%1.%2.%3"/>
      <w:lvlJc w:val="left"/>
      <w:pPr>
        <w:ind w:left="2187" w:hanging="851"/>
        <w:jc w:val="left"/>
      </w:pPr>
      <w:rPr>
        <w:rFonts w:hint="default" w:ascii="Verdana" w:hAnsi="Verdana" w:eastAsia="Verdana" w:cs="Verdana"/>
        <w:b/>
        <w:bCs/>
        <w:i/>
        <w:iCs/>
        <w:spacing w:val="-2"/>
        <w:w w:val="100"/>
        <w:sz w:val="20"/>
        <w:szCs w:val="20"/>
        <w:lang w:val="en-US" w:eastAsia="en-US" w:bidi="ar-SA"/>
      </w:rPr>
    </w:lvl>
    <w:lvl w:ilvl="3">
      <w:start w:val="0"/>
      <w:numFmt w:val="bullet"/>
      <w:lvlText w:val="•"/>
      <w:lvlJc w:val="left"/>
      <w:pPr>
        <w:ind w:left="4863" w:hanging="851"/>
      </w:pPr>
      <w:rPr>
        <w:rFonts w:hint="default"/>
        <w:lang w:val="en-US" w:eastAsia="en-US" w:bidi="ar-SA"/>
      </w:rPr>
    </w:lvl>
    <w:lvl w:ilvl="4">
      <w:start w:val="0"/>
      <w:numFmt w:val="bullet"/>
      <w:lvlText w:val="•"/>
      <w:lvlJc w:val="left"/>
      <w:pPr>
        <w:ind w:left="5758" w:hanging="851"/>
      </w:pPr>
      <w:rPr>
        <w:rFonts w:hint="default"/>
        <w:lang w:val="en-US" w:eastAsia="en-US" w:bidi="ar-SA"/>
      </w:rPr>
    </w:lvl>
    <w:lvl w:ilvl="5">
      <w:start w:val="0"/>
      <w:numFmt w:val="bullet"/>
      <w:lvlText w:val="•"/>
      <w:lvlJc w:val="left"/>
      <w:pPr>
        <w:ind w:left="6653" w:hanging="851"/>
      </w:pPr>
      <w:rPr>
        <w:rFonts w:hint="default"/>
        <w:lang w:val="en-US" w:eastAsia="en-US" w:bidi="ar-SA"/>
      </w:rPr>
    </w:lvl>
    <w:lvl w:ilvl="6">
      <w:start w:val="0"/>
      <w:numFmt w:val="bullet"/>
      <w:lvlText w:val="•"/>
      <w:lvlJc w:val="left"/>
      <w:pPr>
        <w:ind w:left="7547" w:hanging="851"/>
      </w:pPr>
      <w:rPr>
        <w:rFonts w:hint="default"/>
        <w:lang w:val="en-US" w:eastAsia="en-US" w:bidi="ar-SA"/>
      </w:rPr>
    </w:lvl>
    <w:lvl w:ilvl="7">
      <w:start w:val="0"/>
      <w:numFmt w:val="bullet"/>
      <w:lvlText w:val="•"/>
      <w:lvlJc w:val="left"/>
      <w:pPr>
        <w:ind w:left="8442" w:hanging="851"/>
      </w:pPr>
      <w:rPr>
        <w:rFonts w:hint="default"/>
        <w:lang w:val="en-US" w:eastAsia="en-US" w:bidi="ar-SA"/>
      </w:rPr>
    </w:lvl>
    <w:lvl w:ilvl="8">
      <w:start w:val="0"/>
      <w:numFmt w:val="bullet"/>
      <w:lvlText w:val="•"/>
      <w:lvlJc w:val="left"/>
      <w:pPr>
        <w:ind w:left="9337" w:hanging="851"/>
      </w:pPr>
      <w:rPr>
        <w:rFonts w:hint="default"/>
        <w:lang w:val="en-US" w:eastAsia="en-US" w:bidi="ar-SA"/>
      </w:rPr>
    </w:lvl>
  </w:abstractNum>
  <w:abstractNum w:abstractNumId="32">
    <w:multiLevelType w:val="hybridMultilevel"/>
    <w:lvl w:ilvl="0">
      <w:start w:val="13"/>
      <w:numFmt w:val="decimal"/>
      <w:lvlText w:val="%1"/>
      <w:lvlJc w:val="left"/>
      <w:pPr>
        <w:ind w:left="2187" w:hanging="851"/>
        <w:jc w:val="left"/>
      </w:pPr>
      <w:rPr>
        <w:rFonts w:hint="default"/>
        <w:lang w:val="en-US" w:eastAsia="en-US" w:bidi="ar-SA"/>
      </w:rPr>
    </w:lvl>
    <w:lvl w:ilvl="1">
      <w:start w:val="3"/>
      <w:numFmt w:val="decimal"/>
      <w:lvlText w:val="%1.%2"/>
      <w:lvlJc w:val="left"/>
      <w:pPr>
        <w:ind w:left="2187" w:hanging="851"/>
        <w:jc w:val="left"/>
      </w:pPr>
      <w:rPr>
        <w:rFonts w:hint="default"/>
        <w:lang w:val="en-US" w:eastAsia="en-US" w:bidi="ar-SA"/>
      </w:rPr>
    </w:lvl>
    <w:lvl w:ilvl="2">
      <w:start w:val="1"/>
      <w:numFmt w:val="decimal"/>
      <w:lvlText w:val="%1.%2.%3"/>
      <w:lvlJc w:val="left"/>
      <w:pPr>
        <w:ind w:left="2187" w:hanging="851"/>
        <w:jc w:val="left"/>
      </w:pPr>
      <w:rPr>
        <w:rFonts w:hint="default" w:ascii="Verdana" w:hAnsi="Verdana" w:eastAsia="Verdana" w:cs="Verdana"/>
        <w:b/>
        <w:bCs/>
        <w:i/>
        <w:iCs/>
        <w:spacing w:val="-2"/>
        <w:w w:val="100"/>
        <w:sz w:val="20"/>
        <w:szCs w:val="20"/>
        <w:lang w:val="en-US" w:eastAsia="en-US" w:bidi="ar-SA"/>
      </w:rPr>
    </w:lvl>
    <w:lvl w:ilvl="3">
      <w:start w:val="0"/>
      <w:numFmt w:val="bullet"/>
      <w:lvlText w:val="•"/>
      <w:lvlJc w:val="left"/>
      <w:pPr>
        <w:ind w:left="4863" w:hanging="851"/>
      </w:pPr>
      <w:rPr>
        <w:rFonts w:hint="default"/>
        <w:lang w:val="en-US" w:eastAsia="en-US" w:bidi="ar-SA"/>
      </w:rPr>
    </w:lvl>
    <w:lvl w:ilvl="4">
      <w:start w:val="0"/>
      <w:numFmt w:val="bullet"/>
      <w:lvlText w:val="•"/>
      <w:lvlJc w:val="left"/>
      <w:pPr>
        <w:ind w:left="5758" w:hanging="851"/>
      </w:pPr>
      <w:rPr>
        <w:rFonts w:hint="default"/>
        <w:lang w:val="en-US" w:eastAsia="en-US" w:bidi="ar-SA"/>
      </w:rPr>
    </w:lvl>
    <w:lvl w:ilvl="5">
      <w:start w:val="0"/>
      <w:numFmt w:val="bullet"/>
      <w:lvlText w:val="•"/>
      <w:lvlJc w:val="left"/>
      <w:pPr>
        <w:ind w:left="6653" w:hanging="851"/>
      </w:pPr>
      <w:rPr>
        <w:rFonts w:hint="default"/>
        <w:lang w:val="en-US" w:eastAsia="en-US" w:bidi="ar-SA"/>
      </w:rPr>
    </w:lvl>
    <w:lvl w:ilvl="6">
      <w:start w:val="0"/>
      <w:numFmt w:val="bullet"/>
      <w:lvlText w:val="•"/>
      <w:lvlJc w:val="left"/>
      <w:pPr>
        <w:ind w:left="7547" w:hanging="851"/>
      </w:pPr>
      <w:rPr>
        <w:rFonts w:hint="default"/>
        <w:lang w:val="en-US" w:eastAsia="en-US" w:bidi="ar-SA"/>
      </w:rPr>
    </w:lvl>
    <w:lvl w:ilvl="7">
      <w:start w:val="0"/>
      <w:numFmt w:val="bullet"/>
      <w:lvlText w:val="•"/>
      <w:lvlJc w:val="left"/>
      <w:pPr>
        <w:ind w:left="8442" w:hanging="851"/>
      </w:pPr>
      <w:rPr>
        <w:rFonts w:hint="default"/>
        <w:lang w:val="en-US" w:eastAsia="en-US" w:bidi="ar-SA"/>
      </w:rPr>
    </w:lvl>
    <w:lvl w:ilvl="8">
      <w:start w:val="0"/>
      <w:numFmt w:val="bullet"/>
      <w:lvlText w:val="•"/>
      <w:lvlJc w:val="left"/>
      <w:pPr>
        <w:ind w:left="9337" w:hanging="851"/>
      </w:pPr>
      <w:rPr>
        <w:rFonts w:hint="default"/>
        <w:lang w:val="en-US" w:eastAsia="en-US" w:bidi="ar-SA"/>
      </w:rPr>
    </w:lvl>
  </w:abstractNum>
  <w:abstractNum w:abstractNumId="31">
    <w:multiLevelType w:val="hybridMultilevel"/>
    <w:lvl w:ilvl="0">
      <w:start w:val="13"/>
      <w:numFmt w:val="decimal"/>
      <w:lvlText w:val="%1"/>
      <w:lvlJc w:val="left"/>
      <w:pPr>
        <w:ind w:left="2188" w:hanging="851"/>
        <w:jc w:val="left"/>
      </w:pPr>
      <w:rPr>
        <w:rFonts w:hint="default"/>
        <w:lang w:val="en-US" w:eastAsia="en-US" w:bidi="ar-SA"/>
      </w:rPr>
    </w:lvl>
    <w:lvl w:ilvl="1">
      <w:start w:val="1"/>
      <w:numFmt w:val="decimal"/>
      <w:lvlText w:val="%1.%2"/>
      <w:lvlJc w:val="left"/>
      <w:pPr>
        <w:ind w:left="2188" w:hanging="851"/>
        <w:jc w:val="left"/>
      </w:pPr>
      <w:rPr>
        <w:rFonts w:hint="default"/>
        <w:lang w:val="en-US" w:eastAsia="en-US" w:bidi="ar-SA"/>
      </w:rPr>
    </w:lvl>
    <w:lvl w:ilvl="2">
      <w:start w:val="1"/>
      <w:numFmt w:val="decimal"/>
      <w:lvlText w:val="%1.%2.%3"/>
      <w:lvlJc w:val="left"/>
      <w:pPr>
        <w:ind w:left="2188" w:hanging="851"/>
        <w:jc w:val="left"/>
      </w:pPr>
      <w:rPr>
        <w:rFonts w:hint="default" w:ascii="Verdana" w:hAnsi="Verdana" w:eastAsia="Verdana" w:cs="Verdana"/>
        <w:b/>
        <w:bCs/>
        <w:i/>
        <w:iCs/>
        <w:spacing w:val="-2"/>
        <w:w w:val="100"/>
        <w:sz w:val="20"/>
        <w:szCs w:val="20"/>
        <w:lang w:val="en-US" w:eastAsia="en-US" w:bidi="ar-SA"/>
      </w:rPr>
    </w:lvl>
    <w:lvl w:ilvl="3">
      <w:start w:val="0"/>
      <w:numFmt w:val="bullet"/>
      <w:lvlText w:val=""/>
      <w:lvlJc w:val="left"/>
      <w:pPr>
        <w:ind w:left="2057" w:hanging="360"/>
      </w:pPr>
      <w:rPr>
        <w:rFonts w:hint="default" w:ascii="Symbol" w:hAnsi="Symbol" w:eastAsia="Symbol" w:cs="Symbol"/>
        <w:w w:val="100"/>
        <w:lang w:val="en-US" w:eastAsia="en-US" w:bidi="ar-SA"/>
      </w:rPr>
    </w:lvl>
    <w:lvl w:ilvl="4">
      <w:start w:val="0"/>
      <w:numFmt w:val="bullet"/>
      <w:lvlText w:val="•"/>
      <w:lvlJc w:val="left"/>
      <w:pPr>
        <w:ind w:left="5162" w:hanging="360"/>
      </w:pPr>
      <w:rPr>
        <w:rFonts w:hint="default"/>
        <w:lang w:val="en-US" w:eastAsia="en-US" w:bidi="ar-SA"/>
      </w:rPr>
    </w:lvl>
    <w:lvl w:ilvl="5">
      <w:start w:val="0"/>
      <w:numFmt w:val="bullet"/>
      <w:lvlText w:val="•"/>
      <w:lvlJc w:val="left"/>
      <w:pPr>
        <w:ind w:left="6156" w:hanging="360"/>
      </w:pPr>
      <w:rPr>
        <w:rFonts w:hint="default"/>
        <w:lang w:val="en-US" w:eastAsia="en-US" w:bidi="ar-SA"/>
      </w:rPr>
    </w:lvl>
    <w:lvl w:ilvl="6">
      <w:start w:val="0"/>
      <w:numFmt w:val="bullet"/>
      <w:lvlText w:val="•"/>
      <w:lvlJc w:val="left"/>
      <w:pPr>
        <w:ind w:left="7150" w:hanging="360"/>
      </w:pPr>
      <w:rPr>
        <w:rFonts w:hint="default"/>
        <w:lang w:val="en-US" w:eastAsia="en-US" w:bidi="ar-SA"/>
      </w:rPr>
    </w:lvl>
    <w:lvl w:ilvl="7">
      <w:start w:val="0"/>
      <w:numFmt w:val="bullet"/>
      <w:lvlText w:val="•"/>
      <w:lvlJc w:val="left"/>
      <w:pPr>
        <w:ind w:left="8144" w:hanging="360"/>
      </w:pPr>
      <w:rPr>
        <w:rFonts w:hint="default"/>
        <w:lang w:val="en-US" w:eastAsia="en-US" w:bidi="ar-SA"/>
      </w:rPr>
    </w:lvl>
    <w:lvl w:ilvl="8">
      <w:start w:val="0"/>
      <w:numFmt w:val="bullet"/>
      <w:lvlText w:val="•"/>
      <w:lvlJc w:val="left"/>
      <w:pPr>
        <w:ind w:left="9138" w:hanging="360"/>
      </w:pPr>
      <w:rPr>
        <w:rFonts w:hint="default"/>
        <w:lang w:val="en-US" w:eastAsia="en-US" w:bidi="ar-SA"/>
      </w:rPr>
    </w:lvl>
  </w:abstractNum>
  <w:abstractNum w:abstractNumId="30">
    <w:multiLevelType w:val="hybridMultilevel"/>
    <w:lvl w:ilvl="0">
      <w:start w:val="0"/>
      <w:numFmt w:val="bullet"/>
      <w:lvlText w:val=""/>
      <w:lvlJc w:val="left"/>
      <w:pPr>
        <w:ind w:left="2103"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3002" w:hanging="360"/>
      </w:pPr>
      <w:rPr>
        <w:rFonts w:hint="default"/>
        <w:lang w:val="en-US" w:eastAsia="en-US" w:bidi="ar-SA"/>
      </w:rPr>
    </w:lvl>
    <w:lvl w:ilvl="2">
      <w:start w:val="0"/>
      <w:numFmt w:val="bullet"/>
      <w:lvlText w:val="•"/>
      <w:lvlJc w:val="left"/>
      <w:pPr>
        <w:ind w:left="3905" w:hanging="360"/>
      </w:pPr>
      <w:rPr>
        <w:rFonts w:hint="default"/>
        <w:lang w:val="en-US" w:eastAsia="en-US" w:bidi="ar-SA"/>
      </w:rPr>
    </w:lvl>
    <w:lvl w:ilvl="3">
      <w:start w:val="0"/>
      <w:numFmt w:val="bullet"/>
      <w:lvlText w:val="•"/>
      <w:lvlJc w:val="left"/>
      <w:pPr>
        <w:ind w:left="4807" w:hanging="360"/>
      </w:pPr>
      <w:rPr>
        <w:rFonts w:hint="default"/>
        <w:lang w:val="en-US" w:eastAsia="en-US" w:bidi="ar-SA"/>
      </w:rPr>
    </w:lvl>
    <w:lvl w:ilvl="4">
      <w:start w:val="0"/>
      <w:numFmt w:val="bullet"/>
      <w:lvlText w:val="•"/>
      <w:lvlJc w:val="left"/>
      <w:pPr>
        <w:ind w:left="5710" w:hanging="360"/>
      </w:pPr>
      <w:rPr>
        <w:rFonts w:hint="default"/>
        <w:lang w:val="en-US" w:eastAsia="en-US" w:bidi="ar-SA"/>
      </w:rPr>
    </w:lvl>
    <w:lvl w:ilvl="5">
      <w:start w:val="0"/>
      <w:numFmt w:val="bullet"/>
      <w:lvlText w:val="•"/>
      <w:lvlJc w:val="left"/>
      <w:pPr>
        <w:ind w:left="6613" w:hanging="360"/>
      </w:pPr>
      <w:rPr>
        <w:rFonts w:hint="default"/>
        <w:lang w:val="en-US" w:eastAsia="en-US" w:bidi="ar-SA"/>
      </w:rPr>
    </w:lvl>
    <w:lvl w:ilvl="6">
      <w:start w:val="0"/>
      <w:numFmt w:val="bullet"/>
      <w:lvlText w:val="•"/>
      <w:lvlJc w:val="left"/>
      <w:pPr>
        <w:ind w:left="7515" w:hanging="360"/>
      </w:pPr>
      <w:rPr>
        <w:rFonts w:hint="default"/>
        <w:lang w:val="en-US" w:eastAsia="en-US" w:bidi="ar-SA"/>
      </w:rPr>
    </w:lvl>
    <w:lvl w:ilvl="7">
      <w:start w:val="0"/>
      <w:numFmt w:val="bullet"/>
      <w:lvlText w:val="•"/>
      <w:lvlJc w:val="left"/>
      <w:pPr>
        <w:ind w:left="8418" w:hanging="360"/>
      </w:pPr>
      <w:rPr>
        <w:rFonts w:hint="default"/>
        <w:lang w:val="en-US" w:eastAsia="en-US" w:bidi="ar-SA"/>
      </w:rPr>
    </w:lvl>
    <w:lvl w:ilvl="8">
      <w:start w:val="0"/>
      <w:numFmt w:val="bullet"/>
      <w:lvlText w:val="•"/>
      <w:lvlJc w:val="left"/>
      <w:pPr>
        <w:ind w:left="9321" w:hanging="360"/>
      </w:pPr>
      <w:rPr>
        <w:rFonts w:hint="default"/>
        <w:lang w:val="en-US" w:eastAsia="en-US" w:bidi="ar-SA"/>
      </w:rPr>
    </w:lvl>
  </w:abstractNum>
  <w:abstractNum w:abstractNumId="29">
    <w:multiLevelType w:val="hybridMultilevel"/>
    <w:lvl w:ilvl="0">
      <w:start w:val="11"/>
      <w:numFmt w:val="decimal"/>
      <w:lvlText w:val="%1"/>
      <w:lvlJc w:val="left"/>
      <w:pPr>
        <w:ind w:left="2188" w:hanging="851"/>
        <w:jc w:val="left"/>
      </w:pPr>
      <w:rPr>
        <w:rFonts w:hint="default"/>
        <w:lang w:val="en-US" w:eastAsia="en-US" w:bidi="ar-SA"/>
      </w:rPr>
    </w:lvl>
    <w:lvl w:ilvl="1">
      <w:start w:val="3"/>
      <w:numFmt w:val="decimal"/>
      <w:lvlText w:val="%1.%2"/>
      <w:lvlJc w:val="left"/>
      <w:pPr>
        <w:ind w:left="2188" w:hanging="851"/>
        <w:jc w:val="left"/>
      </w:pPr>
      <w:rPr>
        <w:rFonts w:hint="default"/>
        <w:lang w:val="en-US" w:eastAsia="en-US" w:bidi="ar-SA"/>
      </w:rPr>
    </w:lvl>
    <w:lvl w:ilvl="2">
      <w:start w:val="1"/>
      <w:numFmt w:val="decimal"/>
      <w:lvlText w:val="%1.%2.%3"/>
      <w:lvlJc w:val="left"/>
      <w:pPr>
        <w:ind w:left="2188" w:hanging="851"/>
        <w:jc w:val="left"/>
      </w:pPr>
      <w:rPr>
        <w:rFonts w:hint="default" w:ascii="Verdana" w:hAnsi="Verdana" w:eastAsia="Verdana" w:cs="Verdana"/>
        <w:b/>
        <w:bCs/>
        <w:i/>
        <w:iCs/>
        <w:spacing w:val="-2"/>
        <w:w w:val="100"/>
        <w:sz w:val="20"/>
        <w:szCs w:val="20"/>
        <w:lang w:val="en-US" w:eastAsia="en-US" w:bidi="ar-SA"/>
      </w:rPr>
    </w:lvl>
    <w:lvl w:ilvl="3">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4">
      <w:start w:val="0"/>
      <w:numFmt w:val="bullet"/>
      <w:lvlText w:val="•"/>
      <w:lvlJc w:val="left"/>
      <w:pPr>
        <w:ind w:left="5162" w:hanging="360"/>
      </w:pPr>
      <w:rPr>
        <w:rFonts w:hint="default"/>
        <w:lang w:val="en-US" w:eastAsia="en-US" w:bidi="ar-SA"/>
      </w:rPr>
    </w:lvl>
    <w:lvl w:ilvl="5">
      <w:start w:val="0"/>
      <w:numFmt w:val="bullet"/>
      <w:lvlText w:val="•"/>
      <w:lvlJc w:val="left"/>
      <w:pPr>
        <w:ind w:left="6156" w:hanging="360"/>
      </w:pPr>
      <w:rPr>
        <w:rFonts w:hint="default"/>
        <w:lang w:val="en-US" w:eastAsia="en-US" w:bidi="ar-SA"/>
      </w:rPr>
    </w:lvl>
    <w:lvl w:ilvl="6">
      <w:start w:val="0"/>
      <w:numFmt w:val="bullet"/>
      <w:lvlText w:val="•"/>
      <w:lvlJc w:val="left"/>
      <w:pPr>
        <w:ind w:left="7150" w:hanging="360"/>
      </w:pPr>
      <w:rPr>
        <w:rFonts w:hint="default"/>
        <w:lang w:val="en-US" w:eastAsia="en-US" w:bidi="ar-SA"/>
      </w:rPr>
    </w:lvl>
    <w:lvl w:ilvl="7">
      <w:start w:val="0"/>
      <w:numFmt w:val="bullet"/>
      <w:lvlText w:val="•"/>
      <w:lvlJc w:val="left"/>
      <w:pPr>
        <w:ind w:left="8144" w:hanging="360"/>
      </w:pPr>
      <w:rPr>
        <w:rFonts w:hint="default"/>
        <w:lang w:val="en-US" w:eastAsia="en-US" w:bidi="ar-SA"/>
      </w:rPr>
    </w:lvl>
    <w:lvl w:ilvl="8">
      <w:start w:val="0"/>
      <w:numFmt w:val="bullet"/>
      <w:lvlText w:val="•"/>
      <w:lvlJc w:val="left"/>
      <w:pPr>
        <w:ind w:left="9138" w:hanging="360"/>
      </w:pPr>
      <w:rPr>
        <w:rFonts w:hint="default"/>
        <w:lang w:val="en-US" w:eastAsia="en-US" w:bidi="ar-SA"/>
      </w:rPr>
    </w:lvl>
  </w:abstractNum>
  <w:abstractNum w:abstractNumId="28">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27">
    <w:multiLevelType w:val="hybridMultilevel"/>
    <w:lvl w:ilvl="0">
      <w:start w:val="0"/>
      <w:numFmt w:val="bullet"/>
      <w:lvlText w:val=""/>
      <w:lvlJc w:val="left"/>
      <w:pPr>
        <w:ind w:left="2134"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3038" w:hanging="360"/>
      </w:pPr>
      <w:rPr>
        <w:rFonts w:hint="default"/>
        <w:lang w:val="en-US" w:eastAsia="en-US" w:bidi="ar-SA"/>
      </w:rPr>
    </w:lvl>
    <w:lvl w:ilvl="2">
      <w:start w:val="0"/>
      <w:numFmt w:val="bullet"/>
      <w:lvlText w:val="•"/>
      <w:lvlJc w:val="left"/>
      <w:pPr>
        <w:ind w:left="3937" w:hanging="360"/>
      </w:pPr>
      <w:rPr>
        <w:rFonts w:hint="default"/>
        <w:lang w:val="en-US" w:eastAsia="en-US" w:bidi="ar-SA"/>
      </w:rPr>
    </w:lvl>
    <w:lvl w:ilvl="3">
      <w:start w:val="0"/>
      <w:numFmt w:val="bullet"/>
      <w:lvlText w:val="•"/>
      <w:lvlJc w:val="left"/>
      <w:pPr>
        <w:ind w:left="4835" w:hanging="360"/>
      </w:pPr>
      <w:rPr>
        <w:rFonts w:hint="default"/>
        <w:lang w:val="en-US" w:eastAsia="en-US" w:bidi="ar-SA"/>
      </w:rPr>
    </w:lvl>
    <w:lvl w:ilvl="4">
      <w:start w:val="0"/>
      <w:numFmt w:val="bullet"/>
      <w:lvlText w:val="•"/>
      <w:lvlJc w:val="left"/>
      <w:pPr>
        <w:ind w:left="5734" w:hanging="360"/>
      </w:pPr>
      <w:rPr>
        <w:rFonts w:hint="default"/>
        <w:lang w:val="en-US" w:eastAsia="en-US" w:bidi="ar-SA"/>
      </w:rPr>
    </w:lvl>
    <w:lvl w:ilvl="5">
      <w:start w:val="0"/>
      <w:numFmt w:val="bullet"/>
      <w:lvlText w:val="•"/>
      <w:lvlJc w:val="left"/>
      <w:pPr>
        <w:ind w:left="6633" w:hanging="360"/>
      </w:pPr>
      <w:rPr>
        <w:rFonts w:hint="default"/>
        <w:lang w:val="en-US" w:eastAsia="en-US" w:bidi="ar-SA"/>
      </w:rPr>
    </w:lvl>
    <w:lvl w:ilvl="6">
      <w:start w:val="0"/>
      <w:numFmt w:val="bullet"/>
      <w:lvlText w:val="•"/>
      <w:lvlJc w:val="left"/>
      <w:pPr>
        <w:ind w:left="7531" w:hanging="360"/>
      </w:pPr>
      <w:rPr>
        <w:rFonts w:hint="default"/>
        <w:lang w:val="en-US" w:eastAsia="en-US" w:bidi="ar-SA"/>
      </w:rPr>
    </w:lvl>
    <w:lvl w:ilvl="7">
      <w:start w:val="0"/>
      <w:numFmt w:val="bullet"/>
      <w:lvlText w:val="•"/>
      <w:lvlJc w:val="left"/>
      <w:pPr>
        <w:ind w:left="8430" w:hanging="360"/>
      </w:pPr>
      <w:rPr>
        <w:rFonts w:hint="default"/>
        <w:lang w:val="en-US" w:eastAsia="en-US" w:bidi="ar-SA"/>
      </w:rPr>
    </w:lvl>
    <w:lvl w:ilvl="8">
      <w:start w:val="0"/>
      <w:numFmt w:val="bullet"/>
      <w:lvlText w:val="•"/>
      <w:lvlJc w:val="left"/>
      <w:pPr>
        <w:ind w:left="9329" w:hanging="360"/>
      </w:pPr>
      <w:rPr>
        <w:rFonts w:hint="default"/>
        <w:lang w:val="en-US" w:eastAsia="en-US" w:bidi="ar-SA"/>
      </w:rPr>
    </w:lvl>
  </w:abstractNum>
  <w:abstractNum w:abstractNumId="26">
    <w:multiLevelType w:val="hybridMultilevel"/>
    <w:lvl w:ilvl="0">
      <w:start w:val="10"/>
      <w:numFmt w:val="decimal"/>
      <w:lvlText w:val="%1"/>
      <w:lvlJc w:val="left"/>
      <w:pPr>
        <w:ind w:left="2189" w:hanging="852"/>
        <w:jc w:val="left"/>
      </w:pPr>
      <w:rPr>
        <w:rFonts w:hint="default"/>
        <w:lang w:val="en-US" w:eastAsia="en-US" w:bidi="ar-SA"/>
      </w:rPr>
    </w:lvl>
    <w:lvl w:ilvl="1">
      <w:start w:val="7"/>
      <w:numFmt w:val="decimal"/>
      <w:lvlText w:val="%1.%2"/>
      <w:lvlJc w:val="left"/>
      <w:pPr>
        <w:ind w:left="2189" w:hanging="852"/>
        <w:jc w:val="left"/>
      </w:pPr>
      <w:rPr>
        <w:rFonts w:hint="default"/>
        <w:lang w:val="en-US" w:eastAsia="en-US" w:bidi="ar-SA"/>
      </w:rPr>
    </w:lvl>
    <w:lvl w:ilvl="2">
      <w:start w:val="1"/>
      <w:numFmt w:val="decimal"/>
      <w:lvlText w:val="%1.%2.%3"/>
      <w:lvlJc w:val="left"/>
      <w:pPr>
        <w:ind w:left="2189" w:hanging="852"/>
        <w:jc w:val="left"/>
      </w:pPr>
      <w:rPr>
        <w:rFonts w:hint="default" w:ascii="Verdana" w:hAnsi="Verdana" w:eastAsia="Verdana" w:cs="Verdana"/>
        <w:b/>
        <w:bCs/>
        <w:i/>
        <w:iCs/>
        <w:w w:val="99"/>
        <w:sz w:val="20"/>
        <w:szCs w:val="20"/>
        <w:lang w:val="en-US" w:eastAsia="en-US" w:bidi="ar-SA"/>
      </w:rPr>
    </w:lvl>
    <w:lvl w:ilvl="3">
      <w:start w:val="0"/>
      <w:numFmt w:val="bullet"/>
      <w:lvlText w:val=""/>
      <w:lvlJc w:val="left"/>
      <w:pPr>
        <w:ind w:left="2057" w:hanging="360"/>
      </w:pPr>
      <w:rPr>
        <w:rFonts w:hint="default" w:ascii="Symbol" w:hAnsi="Symbol" w:eastAsia="Symbol" w:cs="Symbol"/>
        <w:b w:val="0"/>
        <w:bCs w:val="0"/>
        <w:i w:val="0"/>
        <w:iCs w:val="0"/>
        <w:w w:val="99"/>
        <w:sz w:val="20"/>
        <w:szCs w:val="20"/>
        <w:lang w:val="en-US" w:eastAsia="en-US" w:bidi="ar-SA"/>
      </w:rPr>
    </w:lvl>
    <w:lvl w:ilvl="4">
      <w:start w:val="0"/>
      <w:numFmt w:val="bullet"/>
      <w:lvlText w:val="•"/>
      <w:lvlJc w:val="left"/>
      <w:pPr>
        <w:ind w:left="5162" w:hanging="360"/>
      </w:pPr>
      <w:rPr>
        <w:rFonts w:hint="default"/>
        <w:lang w:val="en-US" w:eastAsia="en-US" w:bidi="ar-SA"/>
      </w:rPr>
    </w:lvl>
    <w:lvl w:ilvl="5">
      <w:start w:val="0"/>
      <w:numFmt w:val="bullet"/>
      <w:lvlText w:val="•"/>
      <w:lvlJc w:val="left"/>
      <w:pPr>
        <w:ind w:left="6156" w:hanging="360"/>
      </w:pPr>
      <w:rPr>
        <w:rFonts w:hint="default"/>
        <w:lang w:val="en-US" w:eastAsia="en-US" w:bidi="ar-SA"/>
      </w:rPr>
    </w:lvl>
    <w:lvl w:ilvl="6">
      <w:start w:val="0"/>
      <w:numFmt w:val="bullet"/>
      <w:lvlText w:val="•"/>
      <w:lvlJc w:val="left"/>
      <w:pPr>
        <w:ind w:left="7150" w:hanging="360"/>
      </w:pPr>
      <w:rPr>
        <w:rFonts w:hint="default"/>
        <w:lang w:val="en-US" w:eastAsia="en-US" w:bidi="ar-SA"/>
      </w:rPr>
    </w:lvl>
    <w:lvl w:ilvl="7">
      <w:start w:val="0"/>
      <w:numFmt w:val="bullet"/>
      <w:lvlText w:val="•"/>
      <w:lvlJc w:val="left"/>
      <w:pPr>
        <w:ind w:left="8144" w:hanging="360"/>
      </w:pPr>
      <w:rPr>
        <w:rFonts w:hint="default"/>
        <w:lang w:val="en-US" w:eastAsia="en-US" w:bidi="ar-SA"/>
      </w:rPr>
    </w:lvl>
    <w:lvl w:ilvl="8">
      <w:start w:val="0"/>
      <w:numFmt w:val="bullet"/>
      <w:lvlText w:val="•"/>
      <w:lvlJc w:val="left"/>
      <w:pPr>
        <w:ind w:left="9138" w:hanging="360"/>
      </w:pPr>
      <w:rPr>
        <w:rFonts w:hint="default"/>
        <w:lang w:val="en-US" w:eastAsia="en-US" w:bidi="ar-SA"/>
      </w:rPr>
    </w:lvl>
  </w:abstractNum>
  <w:abstractNum w:abstractNumId="25">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24">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23">
    <w:multiLevelType w:val="hybridMultilevel"/>
    <w:lvl w:ilvl="0">
      <w:start w:val="10"/>
      <w:numFmt w:val="decimal"/>
      <w:lvlText w:val="%1"/>
      <w:lvlJc w:val="left"/>
      <w:pPr>
        <w:ind w:left="2188" w:hanging="851"/>
        <w:jc w:val="left"/>
      </w:pPr>
      <w:rPr>
        <w:rFonts w:hint="default"/>
        <w:lang w:val="en-US" w:eastAsia="en-US" w:bidi="ar-SA"/>
      </w:rPr>
    </w:lvl>
    <w:lvl w:ilvl="1">
      <w:start w:val="4"/>
      <w:numFmt w:val="decimal"/>
      <w:lvlText w:val="%1.%2"/>
      <w:lvlJc w:val="left"/>
      <w:pPr>
        <w:ind w:left="2188" w:hanging="851"/>
        <w:jc w:val="left"/>
      </w:pPr>
      <w:rPr>
        <w:rFonts w:hint="default"/>
        <w:lang w:val="en-US" w:eastAsia="en-US" w:bidi="ar-SA"/>
      </w:rPr>
    </w:lvl>
    <w:lvl w:ilvl="2">
      <w:start w:val="1"/>
      <w:numFmt w:val="decimal"/>
      <w:lvlText w:val="%1.%2.%3"/>
      <w:lvlJc w:val="left"/>
      <w:pPr>
        <w:ind w:left="2188" w:hanging="851"/>
        <w:jc w:val="left"/>
      </w:pPr>
      <w:rPr>
        <w:rFonts w:hint="default" w:ascii="Verdana" w:hAnsi="Verdana" w:eastAsia="Verdana" w:cs="Verdana"/>
        <w:b/>
        <w:bCs/>
        <w:i/>
        <w:iCs/>
        <w:spacing w:val="-2"/>
        <w:w w:val="100"/>
        <w:sz w:val="20"/>
        <w:szCs w:val="20"/>
        <w:lang w:val="en-US" w:eastAsia="en-US" w:bidi="ar-SA"/>
      </w:rPr>
    </w:lvl>
    <w:lvl w:ilvl="3">
      <w:start w:val="0"/>
      <w:numFmt w:val="bullet"/>
      <w:lvlText w:val="•"/>
      <w:lvlJc w:val="left"/>
      <w:pPr>
        <w:ind w:left="4863" w:hanging="851"/>
      </w:pPr>
      <w:rPr>
        <w:rFonts w:hint="default"/>
        <w:lang w:val="en-US" w:eastAsia="en-US" w:bidi="ar-SA"/>
      </w:rPr>
    </w:lvl>
    <w:lvl w:ilvl="4">
      <w:start w:val="0"/>
      <w:numFmt w:val="bullet"/>
      <w:lvlText w:val="•"/>
      <w:lvlJc w:val="left"/>
      <w:pPr>
        <w:ind w:left="5758" w:hanging="851"/>
      </w:pPr>
      <w:rPr>
        <w:rFonts w:hint="default"/>
        <w:lang w:val="en-US" w:eastAsia="en-US" w:bidi="ar-SA"/>
      </w:rPr>
    </w:lvl>
    <w:lvl w:ilvl="5">
      <w:start w:val="0"/>
      <w:numFmt w:val="bullet"/>
      <w:lvlText w:val="•"/>
      <w:lvlJc w:val="left"/>
      <w:pPr>
        <w:ind w:left="6653" w:hanging="851"/>
      </w:pPr>
      <w:rPr>
        <w:rFonts w:hint="default"/>
        <w:lang w:val="en-US" w:eastAsia="en-US" w:bidi="ar-SA"/>
      </w:rPr>
    </w:lvl>
    <w:lvl w:ilvl="6">
      <w:start w:val="0"/>
      <w:numFmt w:val="bullet"/>
      <w:lvlText w:val="•"/>
      <w:lvlJc w:val="left"/>
      <w:pPr>
        <w:ind w:left="7547" w:hanging="851"/>
      </w:pPr>
      <w:rPr>
        <w:rFonts w:hint="default"/>
        <w:lang w:val="en-US" w:eastAsia="en-US" w:bidi="ar-SA"/>
      </w:rPr>
    </w:lvl>
    <w:lvl w:ilvl="7">
      <w:start w:val="0"/>
      <w:numFmt w:val="bullet"/>
      <w:lvlText w:val="•"/>
      <w:lvlJc w:val="left"/>
      <w:pPr>
        <w:ind w:left="8442" w:hanging="851"/>
      </w:pPr>
      <w:rPr>
        <w:rFonts w:hint="default"/>
        <w:lang w:val="en-US" w:eastAsia="en-US" w:bidi="ar-SA"/>
      </w:rPr>
    </w:lvl>
    <w:lvl w:ilvl="8">
      <w:start w:val="0"/>
      <w:numFmt w:val="bullet"/>
      <w:lvlText w:val="•"/>
      <w:lvlJc w:val="left"/>
      <w:pPr>
        <w:ind w:left="9337" w:hanging="851"/>
      </w:pPr>
      <w:rPr>
        <w:rFonts w:hint="default"/>
        <w:lang w:val="en-US" w:eastAsia="en-US" w:bidi="ar-SA"/>
      </w:rPr>
    </w:lvl>
  </w:abstractNum>
  <w:abstractNum w:abstractNumId="22">
    <w:multiLevelType w:val="hybridMultilevel"/>
    <w:lvl w:ilvl="0">
      <w:start w:val="0"/>
      <w:numFmt w:val="bullet"/>
      <w:lvlText w:val=""/>
      <w:lvlJc w:val="left"/>
      <w:pPr>
        <w:ind w:left="2057" w:hanging="360"/>
      </w:pPr>
      <w:rPr>
        <w:rFonts w:hint="default" w:ascii="Symbol" w:hAnsi="Symbol" w:eastAsia="Symbol" w:cs="Symbol"/>
        <w:w w:val="99"/>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21">
    <w:multiLevelType w:val="hybridMultilevel"/>
    <w:lvl w:ilvl="0">
      <w:start w:val="0"/>
      <w:numFmt w:val="bullet"/>
      <w:lvlText w:val=""/>
      <w:lvlJc w:val="left"/>
      <w:pPr>
        <w:ind w:left="2075"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84" w:hanging="360"/>
      </w:pPr>
      <w:rPr>
        <w:rFonts w:hint="default"/>
        <w:lang w:val="en-US" w:eastAsia="en-US" w:bidi="ar-SA"/>
      </w:rPr>
    </w:lvl>
    <w:lvl w:ilvl="2">
      <w:start w:val="0"/>
      <w:numFmt w:val="bullet"/>
      <w:lvlText w:val="•"/>
      <w:lvlJc w:val="left"/>
      <w:pPr>
        <w:ind w:left="3889" w:hanging="360"/>
      </w:pPr>
      <w:rPr>
        <w:rFonts w:hint="default"/>
        <w:lang w:val="en-US" w:eastAsia="en-US" w:bidi="ar-SA"/>
      </w:rPr>
    </w:lvl>
    <w:lvl w:ilvl="3">
      <w:start w:val="0"/>
      <w:numFmt w:val="bullet"/>
      <w:lvlText w:val="•"/>
      <w:lvlJc w:val="left"/>
      <w:pPr>
        <w:ind w:left="4793" w:hanging="360"/>
      </w:pPr>
      <w:rPr>
        <w:rFonts w:hint="default"/>
        <w:lang w:val="en-US" w:eastAsia="en-US" w:bidi="ar-SA"/>
      </w:rPr>
    </w:lvl>
    <w:lvl w:ilvl="4">
      <w:start w:val="0"/>
      <w:numFmt w:val="bullet"/>
      <w:lvlText w:val="•"/>
      <w:lvlJc w:val="left"/>
      <w:pPr>
        <w:ind w:left="5698" w:hanging="360"/>
      </w:pPr>
      <w:rPr>
        <w:rFonts w:hint="default"/>
        <w:lang w:val="en-US" w:eastAsia="en-US" w:bidi="ar-SA"/>
      </w:rPr>
    </w:lvl>
    <w:lvl w:ilvl="5">
      <w:start w:val="0"/>
      <w:numFmt w:val="bullet"/>
      <w:lvlText w:val="•"/>
      <w:lvlJc w:val="left"/>
      <w:pPr>
        <w:ind w:left="6603" w:hanging="360"/>
      </w:pPr>
      <w:rPr>
        <w:rFonts w:hint="default"/>
        <w:lang w:val="en-US" w:eastAsia="en-US" w:bidi="ar-SA"/>
      </w:rPr>
    </w:lvl>
    <w:lvl w:ilvl="6">
      <w:start w:val="0"/>
      <w:numFmt w:val="bullet"/>
      <w:lvlText w:val="•"/>
      <w:lvlJc w:val="left"/>
      <w:pPr>
        <w:ind w:left="7507" w:hanging="360"/>
      </w:pPr>
      <w:rPr>
        <w:rFonts w:hint="default"/>
        <w:lang w:val="en-US" w:eastAsia="en-US" w:bidi="ar-SA"/>
      </w:rPr>
    </w:lvl>
    <w:lvl w:ilvl="7">
      <w:start w:val="0"/>
      <w:numFmt w:val="bullet"/>
      <w:lvlText w:val="•"/>
      <w:lvlJc w:val="left"/>
      <w:pPr>
        <w:ind w:left="8412" w:hanging="360"/>
      </w:pPr>
      <w:rPr>
        <w:rFonts w:hint="default"/>
        <w:lang w:val="en-US" w:eastAsia="en-US" w:bidi="ar-SA"/>
      </w:rPr>
    </w:lvl>
    <w:lvl w:ilvl="8">
      <w:start w:val="0"/>
      <w:numFmt w:val="bullet"/>
      <w:lvlText w:val="•"/>
      <w:lvlJc w:val="left"/>
      <w:pPr>
        <w:ind w:left="9317" w:hanging="360"/>
      </w:pPr>
      <w:rPr>
        <w:rFonts w:hint="default"/>
        <w:lang w:val="en-US" w:eastAsia="en-US" w:bidi="ar-SA"/>
      </w:rPr>
    </w:lvl>
  </w:abstractNum>
  <w:abstractNum w:abstractNumId="20">
    <w:multiLevelType w:val="hybridMultilevel"/>
    <w:lvl w:ilvl="0">
      <w:start w:val="9"/>
      <w:numFmt w:val="decimal"/>
      <w:lvlText w:val="%1"/>
      <w:lvlJc w:val="left"/>
      <w:pPr>
        <w:ind w:left="2057" w:hanging="721"/>
        <w:jc w:val="left"/>
      </w:pPr>
      <w:rPr>
        <w:rFonts w:hint="default"/>
        <w:lang w:val="en-US" w:eastAsia="en-US" w:bidi="ar-SA"/>
      </w:rPr>
    </w:lvl>
    <w:lvl w:ilvl="1">
      <w:start w:val="4"/>
      <w:numFmt w:val="decimal"/>
      <w:lvlText w:val="%1.%2"/>
      <w:lvlJc w:val="left"/>
      <w:pPr>
        <w:ind w:left="2057" w:hanging="721"/>
        <w:jc w:val="left"/>
      </w:pPr>
      <w:rPr>
        <w:rFonts w:hint="default"/>
        <w:lang w:val="en-US" w:eastAsia="en-US" w:bidi="ar-SA"/>
      </w:rPr>
    </w:lvl>
    <w:lvl w:ilvl="2">
      <w:start w:val="1"/>
      <w:numFmt w:val="decimal"/>
      <w:lvlText w:val="%1.%2.%3"/>
      <w:lvlJc w:val="left"/>
      <w:pPr>
        <w:ind w:left="2057" w:hanging="721"/>
        <w:jc w:val="left"/>
      </w:pPr>
      <w:rPr>
        <w:rFonts w:hint="default" w:ascii="Verdana" w:hAnsi="Verdana" w:eastAsia="Verdana" w:cs="Verdana"/>
        <w:b/>
        <w:bCs/>
        <w:i/>
        <w:iCs/>
        <w:spacing w:val="-1"/>
        <w:w w:val="100"/>
        <w:sz w:val="20"/>
        <w:szCs w:val="20"/>
        <w:lang w:val="en-US" w:eastAsia="en-US" w:bidi="ar-SA"/>
      </w:rPr>
    </w:lvl>
    <w:lvl w:ilvl="3">
      <w:start w:val="0"/>
      <w:numFmt w:val="bullet"/>
      <w:lvlText w:val="•"/>
      <w:lvlJc w:val="left"/>
      <w:pPr>
        <w:ind w:left="4779" w:hanging="721"/>
      </w:pPr>
      <w:rPr>
        <w:rFonts w:hint="default"/>
        <w:lang w:val="en-US" w:eastAsia="en-US" w:bidi="ar-SA"/>
      </w:rPr>
    </w:lvl>
    <w:lvl w:ilvl="4">
      <w:start w:val="0"/>
      <w:numFmt w:val="bullet"/>
      <w:lvlText w:val="•"/>
      <w:lvlJc w:val="left"/>
      <w:pPr>
        <w:ind w:left="5686" w:hanging="721"/>
      </w:pPr>
      <w:rPr>
        <w:rFonts w:hint="default"/>
        <w:lang w:val="en-US" w:eastAsia="en-US" w:bidi="ar-SA"/>
      </w:rPr>
    </w:lvl>
    <w:lvl w:ilvl="5">
      <w:start w:val="0"/>
      <w:numFmt w:val="bullet"/>
      <w:lvlText w:val="•"/>
      <w:lvlJc w:val="left"/>
      <w:pPr>
        <w:ind w:left="6593" w:hanging="721"/>
      </w:pPr>
      <w:rPr>
        <w:rFonts w:hint="default"/>
        <w:lang w:val="en-US" w:eastAsia="en-US" w:bidi="ar-SA"/>
      </w:rPr>
    </w:lvl>
    <w:lvl w:ilvl="6">
      <w:start w:val="0"/>
      <w:numFmt w:val="bullet"/>
      <w:lvlText w:val="•"/>
      <w:lvlJc w:val="left"/>
      <w:pPr>
        <w:ind w:left="7499" w:hanging="721"/>
      </w:pPr>
      <w:rPr>
        <w:rFonts w:hint="default"/>
        <w:lang w:val="en-US" w:eastAsia="en-US" w:bidi="ar-SA"/>
      </w:rPr>
    </w:lvl>
    <w:lvl w:ilvl="7">
      <w:start w:val="0"/>
      <w:numFmt w:val="bullet"/>
      <w:lvlText w:val="•"/>
      <w:lvlJc w:val="left"/>
      <w:pPr>
        <w:ind w:left="8406" w:hanging="721"/>
      </w:pPr>
      <w:rPr>
        <w:rFonts w:hint="default"/>
        <w:lang w:val="en-US" w:eastAsia="en-US" w:bidi="ar-SA"/>
      </w:rPr>
    </w:lvl>
    <w:lvl w:ilvl="8">
      <w:start w:val="0"/>
      <w:numFmt w:val="bullet"/>
      <w:lvlText w:val="•"/>
      <w:lvlJc w:val="left"/>
      <w:pPr>
        <w:ind w:left="9313" w:hanging="721"/>
      </w:pPr>
      <w:rPr>
        <w:rFonts w:hint="default"/>
        <w:lang w:val="en-US" w:eastAsia="en-US" w:bidi="ar-SA"/>
      </w:rPr>
    </w:lvl>
  </w:abstractNum>
  <w:abstractNum w:abstractNumId="19">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18">
    <w:multiLevelType w:val="hybridMultilevel"/>
    <w:lvl w:ilvl="0">
      <w:start w:val="0"/>
      <w:numFmt w:val="bullet"/>
      <w:lvlText w:val=""/>
      <w:lvlJc w:val="left"/>
      <w:pPr>
        <w:ind w:left="2165"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3056" w:hanging="360"/>
      </w:pPr>
      <w:rPr>
        <w:rFonts w:hint="default"/>
        <w:lang w:val="en-US" w:eastAsia="en-US" w:bidi="ar-SA"/>
      </w:rPr>
    </w:lvl>
    <w:lvl w:ilvl="2">
      <w:start w:val="0"/>
      <w:numFmt w:val="bullet"/>
      <w:lvlText w:val="•"/>
      <w:lvlJc w:val="left"/>
      <w:pPr>
        <w:ind w:left="3953" w:hanging="360"/>
      </w:pPr>
      <w:rPr>
        <w:rFonts w:hint="default"/>
        <w:lang w:val="en-US" w:eastAsia="en-US" w:bidi="ar-SA"/>
      </w:rPr>
    </w:lvl>
    <w:lvl w:ilvl="3">
      <w:start w:val="0"/>
      <w:numFmt w:val="bullet"/>
      <w:lvlText w:val="•"/>
      <w:lvlJc w:val="left"/>
      <w:pPr>
        <w:ind w:left="4849" w:hanging="360"/>
      </w:pPr>
      <w:rPr>
        <w:rFonts w:hint="default"/>
        <w:lang w:val="en-US" w:eastAsia="en-US" w:bidi="ar-SA"/>
      </w:rPr>
    </w:lvl>
    <w:lvl w:ilvl="4">
      <w:start w:val="0"/>
      <w:numFmt w:val="bullet"/>
      <w:lvlText w:val="•"/>
      <w:lvlJc w:val="left"/>
      <w:pPr>
        <w:ind w:left="5746" w:hanging="360"/>
      </w:pPr>
      <w:rPr>
        <w:rFonts w:hint="default"/>
        <w:lang w:val="en-US" w:eastAsia="en-US" w:bidi="ar-SA"/>
      </w:rPr>
    </w:lvl>
    <w:lvl w:ilvl="5">
      <w:start w:val="0"/>
      <w:numFmt w:val="bullet"/>
      <w:lvlText w:val="•"/>
      <w:lvlJc w:val="left"/>
      <w:pPr>
        <w:ind w:left="6643" w:hanging="360"/>
      </w:pPr>
      <w:rPr>
        <w:rFonts w:hint="default"/>
        <w:lang w:val="en-US" w:eastAsia="en-US" w:bidi="ar-SA"/>
      </w:rPr>
    </w:lvl>
    <w:lvl w:ilvl="6">
      <w:start w:val="0"/>
      <w:numFmt w:val="bullet"/>
      <w:lvlText w:val="•"/>
      <w:lvlJc w:val="left"/>
      <w:pPr>
        <w:ind w:left="7539" w:hanging="360"/>
      </w:pPr>
      <w:rPr>
        <w:rFonts w:hint="default"/>
        <w:lang w:val="en-US" w:eastAsia="en-US" w:bidi="ar-SA"/>
      </w:rPr>
    </w:lvl>
    <w:lvl w:ilvl="7">
      <w:start w:val="0"/>
      <w:numFmt w:val="bullet"/>
      <w:lvlText w:val="•"/>
      <w:lvlJc w:val="left"/>
      <w:pPr>
        <w:ind w:left="8436" w:hanging="360"/>
      </w:pPr>
      <w:rPr>
        <w:rFonts w:hint="default"/>
        <w:lang w:val="en-US" w:eastAsia="en-US" w:bidi="ar-SA"/>
      </w:rPr>
    </w:lvl>
    <w:lvl w:ilvl="8">
      <w:start w:val="0"/>
      <w:numFmt w:val="bullet"/>
      <w:lvlText w:val="•"/>
      <w:lvlJc w:val="left"/>
      <w:pPr>
        <w:ind w:left="9333" w:hanging="360"/>
      </w:pPr>
      <w:rPr>
        <w:rFonts w:hint="default"/>
        <w:lang w:val="en-US" w:eastAsia="en-US" w:bidi="ar-SA"/>
      </w:rPr>
    </w:lvl>
  </w:abstractNum>
  <w:abstractNum w:abstractNumId="17">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o"/>
      <w:lvlJc w:val="left"/>
      <w:pPr>
        <w:ind w:left="2777" w:hanging="361"/>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3707" w:hanging="361"/>
      </w:pPr>
      <w:rPr>
        <w:rFonts w:hint="default"/>
        <w:lang w:val="en-US" w:eastAsia="en-US" w:bidi="ar-SA"/>
      </w:rPr>
    </w:lvl>
    <w:lvl w:ilvl="3">
      <w:start w:val="0"/>
      <w:numFmt w:val="bullet"/>
      <w:lvlText w:val="•"/>
      <w:lvlJc w:val="left"/>
      <w:pPr>
        <w:ind w:left="4634" w:hanging="361"/>
      </w:pPr>
      <w:rPr>
        <w:rFonts w:hint="default"/>
        <w:lang w:val="en-US" w:eastAsia="en-US" w:bidi="ar-SA"/>
      </w:rPr>
    </w:lvl>
    <w:lvl w:ilvl="4">
      <w:start w:val="0"/>
      <w:numFmt w:val="bullet"/>
      <w:lvlText w:val="•"/>
      <w:lvlJc w:val="left"/>
      <w:pPr>
        <w:ind w:left="5562" w:hanging="361"/>
      </w:pPr>
      <w:rPr>
        <w:rFonts w:hint="default"/>
        <w:lang w:val="en-US" w:eastAsia="en-US" w:bidi="ar-SA"/>
      </w:rPr>
    </w:lvl>
    <w:lvl w:ilvl="5">
      <w:start w:val="0"/>
      <w:numFmt w:val="bullet"/>
      <w:lvlText w:val="•"/>
      <w:lvlJc w:val="left"/>
      <w:pPr>
        <w:ind w:left="6489" w:hanging="361"/>
      </w:pPr>
      <w:rPr>
        <w:rFonts w:hint="default"/>
        <w:lang w:val="en-US" w:eastAsia="en-US" w:bidi="ar-SA"/>
      </w:rPr>
    </w:lvl>
    <w:lvl w:ilvl="6">
      <w:start w:val="0"/>
      <w:numFmt w:val="bullet"/>
      <w:lvlText w:val="•"/>
      <w:lvlJc w:val="left"/>
      <w:pPr>
        <w:ind w:left="7416" w:hanging="361"/>
      </w:pPr>
      <w:rPr>
        <w:rFonts w:hint="default"/>
        <w:lang w:val="en-US" w:eastAsia="en-US" w:bidi="ar-SA"/>
      </w:rPr>
    </w:lvl>
    <w:lvl w:ilvl="7">
      <w:start w:val="0"/>
      <w:numFmt w:val="bullet"/>
      <w:lvlText w:val="•"/>
      <w:lvlJc w:val="left"/>
      <w:pPr>
        <w:ind w:left="8344" w:hanging="361"/>
      </w:pPr>
      <w:rPr>
        <w:rFonts w:hint="default"/>
        <w:lang w:val="en-US" w:eastAsia="en-US" w:bidi="ar-SA"/>
      </w:rPr>
    </w:lvl>
    <w:lvl w:ilvl="8">
      <w:start w:val="0"/>
      <w:numFmt w:val="bullet"/>
      <w:lvlText w:val="•"/>
      <w:lvlJc w:val="left"/>
      <w:pPr>
        <w:ind w:left="9271" w:hanging="361"/>
      </w:pPr>
      <w:rPr>
        <w:rFonts w:hint="default"/>
        <w:lang w:val="en-US" w:eastAsia="en-US" w:bidi="ar-SA"/>
      </w:rPr>
    </w:lvl>
  </w:abstractNum>
  <w:abstractNum w:abstractNumId="16">
    <w:multiLevelType w:val="hybridMultilevel"/>
    <w:lvl w:ilvl="0">
      <w:start w:val="8"/>
      <w:numFmt w:val="decimal"/>
      <w:lvlText w:val="%1"/>
      <w:lvlJc w:val="left"/>
      <w:pPr>
        <w:ind w:left="2057" w:hanging="721"/>
        <w:jc w:val="left"/>
      </w:pPr>
      <w:rPr>
        <w:rFonts w:hint="default"/>
        <w:lang w:val="en-US" w:eastAsia="en-US" w:bidi="ar-SA"/>
      </w:rPr>
    </w:lvl>
    <w:lvl w:ilvl="1">
      <w:start w:val="5"/>
      <w:numFmt w:val="decimal"/>
      <w:lvlText w:val="%1.%2"/>
      <w:lvlJc w:val="left"/>
      <w:pPr>
        <w:ind w:left="2057" w:hanging="721"/>
        <w:jc w:val="left"/>
      </w:pPr>
      <w:rPr>
        <w:rFonts w:hint="default"/>
        <w:lang w:val="en-US" w:eastAsia="en-US" w:bidi="ar-SA"/>
      </w:rPr>
    </w:lvl>
    <w:lvl w:ilvl="2">
      <w:start w:val="1"/>
      <w:numFmt w:val="decimal"/>
      <w:lvlText w:val="%1.%2.%3"/>
      <w:lvlJc w:val="left"/>
      <w:pPr>
        <w:ind w:left="2057" w:hanging="721"/>
        <w:jc w:val="left"/>
      </w:pPr>
      <w:rPr>
        <w:rFonts w:hint="default" w:ascii="Verdana" w:hAnsi="Verdana" w:eastAsia="Verdana" w:cs="Verdana"/>
        <w:b/>
        <w:bCs/>
        <w:i/>
        <w:iCs/>
        <w:spacing w:val="-1"/>
        <w:w w:val="100"/>
        <w:sz w:val="20"/>
        <w:szCs w:val="20"/>
        <w:lang w:val="en-US" w:eastAsia="en-US" w:bidi="ar-SA"/>
      </w:rPr>
    </w:lvl>
    <w:lvl w:ilvl="3">
      <w:start w:val="0"/>
      <w:numFmt w:val="bullet"/>
      <w:lvlText w:val="•"/>
      <w:lvlJc w:val="left"/>
      <w:pPr>
        <w:ind w:left="4779" w:hanging="721"/>
      </w:pPr>
      <w:rPr>
        <w:rFonts w:hint="default"/>
        <w:lang w:val="en-US" w:eastAsia="en-US" w:bidi="ar-SA"/>
      </w:rPr>
    </w:lvl>
    <w:lvl w:ilvl="4">
      <w:start w:val="0"/>
      <w:numFmt w:val="bullet"/>
      <w:lvlText w:val="•"/>
      <w:lvlJc w:val="left"/>
      <w:pPr>
        <w:ind w:left="5686" w:hanging="721"/>
      </w:pPr>
      <w:rPr>
        <w:rFonts w:hint="default"/>
        <w:lang w:val="en-US" w:eastAsia="en-US" w:bidi="ar-SA"/>
      </w:rPr>
    </w:lvl>
    <w:lvl w:ilvl="5">
      <w:start w:val="0"/>
      <w:numFmt w:val="bullet"/>
      <w:lvlText w:val="•"/>
      <w:lvlJc w:val="left"/>
      <w:pPr>
        <w:ind w:left="6593" w:hanging="721"/>
      </w:pPr>
      <w:rPr>
        <w:rFonts w:hint="default"/>
        <w:lang w:val="en-US" w:eastAsia="en-US" w:bidi="ar-SA"/>
      </w:rPr>
    </w:lvl>
    <w:lvl w:ilvl="6">
      <w:start w:val="0"/>
      <w:numFmt w:val="bullet"/>
      <w:lvlText w:val="•"/>
      <w:lvlJc w:val="left"/>
      <w:pPr>
        <w:ind w:left="7499" w:hanging="721"/>
      </w:pPr>
      <w:rPr>
        <w:rFonts w:hint="default"/>
        <w:lang w:val="en-US" w:eastAsia="en-US" w:bidi="ar-SA"/>
      </w:rPr>
    </w:lvl>
    <w:lvl w:ilvl="7">
      <w:start w:val="0"/>
      <w:numFmt w:val="bullet"/>
      <w:lvlText w:val="•"/>
      <w:lvlJc w:val="left"/>
      <w:pPr>
        <w:ind w:left="8406" w:hanging="721"/>
      </w:pPr>
      <w:rPr>
        <w:rFonts w:hint="default"/>
        <w:lang w:val="en-US" w:eastAsia="en-US" w:bidi="ar-SA"/>
      </w:rPr>
    </w:lvl>
    <w:lvl w:ilvl="8">
      <w:start w:val="0"/>
      <w:numFmt w:val="bullet"/>
      <w:lvlText w:val="•"/>
      <w:lvlJc w:val="left"/>
      <w:pPr>
        <w:ind w:left="9313" w:hanging="721"/>
      </w:pPr>
      <w:rPr>
        <w:rFonts w:hint="default"/>
        <w:lang w:val="en-US" w:eastAsia="en-US" w:bidi="ar-SA"/>
      </w:rPr>
    </w:lvl>
  </w:abstractNum>
  <w:abstractNum w:abstractNumId="15">
    <w:multiLevelType w:val="hybridMultilevel"/>
    <w:lvl w:ilvl="0">
      <w:start w:val="8"/>
      <w:numFmt w:val="decimal"/>
      <w:lvlText w:val="%1"/>
      <w:lvlJc w:val="left"/>
      <w:pPr>
        <w:ind w:left="2057" w:hanging="721"/>
        <w:jc w:val="left"/>
      </w:pPr>
      <w:rPr>
        <w:rFonts w:hint="default"/>
        <w:lang w:val="en-US" w:eastAsia="en-US" w:bidi="ar-SA"/>
      </w:rPr>
    </w:lvl>
    <w:lvl w:ilvl="1">
      <w:start w:val="4"/>
      <w:numFmt w:val="decimal"/>
      <w:lvlText w:val="%1.%2"/>
      <w:lvlJc w:val="left"/>
      <w:pPr>
        <w:ind w:left="2057" w:hanging="721"/>
        <w:jc w:val="left"/>
      </w:pPr>
      <w:rPr>
        <w:rFonts w:hint="default"/>
        <w:lang w:val="en-US" w:eastAsia="en-US" w:bidi="ar-SA"/>
      </w:rPr>
    </w:lvl>
    <w:lvl w:ilvl="2">
      <w:start w:val="1"/>
      <w:numFmt w:val="decimal"/>
      <w:lvlText w:val="%1.%2.%3"/>
      <w:lvlJc w:val="left"/>
      <w:pPr>
        <w:ind w:left="2057" w:hanging="721"/>
        <w:jc w:val="left"/>
      </w:pPr>
      <w:rPr>
        <w:rFonts w:hint="default" w:ascii="Verdana" w:hAnsi="Verdana" w:eastAsia="Verdana" w:cs="Verdana"/>
        <w:b/>
        <w:bCs/>
        <w:i/>
        <w:iCs/>
        <w:spacing w:val="-1"/>
        <w:w w:val="100"/>
        <w:sz w:val="20"/>
        <w:szCs w:val="20"/>
        <w:lang w:val="en-US" w:eastAsia="en-US" w:bidi="ar-SA"/>
      </w:rPr>
    </w:lvl>
    <w:lvl w:ilvl="3">
      <w:start w:val="0"/>
      <w:numFmt w:val="bullet"/>
      <w:lvlText w:val="•"/>
      <w:lvlJc w:val="left"/>
      <w:pPr>
        <w:ind w:left="4779" w:hanging="721"/>
      </w:pPr>
      <w:rPr>
        <w:rFonts w:hint="default"/>
        <w:lang w:val="en-US" w:eastAsia="en-US" w:bidi="ar-SA"/>
      </w:rPr>
    </w:lvl>
    <w:lvl w:ilvl="4">
      <w:start w:val="0"/>
      <w:numFmt w:val="bullet"/>
      <w:lvlText w:val="•"/>
      <w:lvlJc w:val="left"/>
      <w:pPr>
        <w:ind w:left="5686" w:hanging="721"/>
      </w:pPr>
      <w:rPr>
        <w:rFonts w:hint="default"/>
        <w:lang w:val="en-US" w:eastAsia="en-US" w:bidi="ar-SA"/>
      </w:rPr>
    </w:lvl>
    <w:lvl w:ilvl="5">
      <w:start w:val="0"/>
      <w:numFmt w:val="bullet"/>
      <w:lvlText w:val="•"/>
      <w:lvlJc w:val="left"/>
      <w:pPr>
        <w:ind w:left="6593" w:hanging="721"/>
      </w:pPr>
      <w:rPr>
        <w:rFonts w:hint="default"/>
        <w:lang w:val="en-US" w:eastAsia="en-US" w:bidi="ar-SA"/>
      </w:rPr>
    </w:lvl>
    <w:lvl w:ilvl="6">
      <w:start w:val="0"/>
      <w:numFmt w:val="bullet"/>
      <w:lvlText w:val="•"/>
      <w:lvlJc w:val="left"/>
      <w:pPr>
        <w:ind w:left="7499" w:hanging="721"/>
      </w:pPr>
      <w:rPr>
        <w:rFonts w:hint="default"/>
        <w:lang w:val="en-US" w:eastAsia="en-US" w:bidi="ar-SA"/>
      </w:rPr>
    </w:lvl>
    <w:lvl w:ilvl="7">
      <w:start w:val="0"/>
      <w:numFmt w:val="bullet"/>
      <w:lvlText w:val="•"/>
      <w:lvlJc w:val="left"/>
      <w:pPr>
        <w:ind w:left="8406" w:hanging="721"/>
      </w:pPr>
      <w:rPr>
        <w:rFonts w:hint="default"/>
        <w:lang w:val="en-US" w:eastAsia="en-US" w:bidi="ar-SA"/>
      </w:rPr>
    </w:lvl>
    <w:lvl w:ilvl="8">
      <w:start w:val="0"/>
      <w:numFmt w:val="bullet"/>
      <w:lvlText w:val="•"/>
      <w:lvlJc w:val="left"/>
      <w:pPr>
        <w:ind w:left="9313" w:hanging="721"/>
      </w:pPr>
      <w:rPr>
        <w:rFonts w:hint="default"/>
        <w:lang w:val="en-US" w:eastAsia="en-US" w:bidi="ar-SA"/>
      </w:rPr>
    </w:lvl>
  </w:abstractNum>
  <w:abstractNum w:abstractNumId="14">
    <w:multiLevelType w:val="hybridMultilevel"/>
    <w:lvl w:ilvl="0">
      <w:start w:val="1"/>
      <w:numFmt w:val="decimal"/>
      <w:lvlText w:val="%1)"/>
      <w:lvlJc w:val="left"/>
      <w:pPr>
        <w:ind w:left="1696"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642" w:hanging="361"/>
      </w:pPr>
      <w:rPr>
        <w:rFonts w:hint="default"/>
        <w:lang w:val="en-US" w:eastAsia="en-US" w:bidi="ar-SA"/>
      </w:rPr>
    </w:lvl>
    <w:lvl w:ilvl="2">
      <w:start w:val="0"/>
      <w:numFmt w:val="bullet"/>
      <w:lvlText w:val="•"/>
      <w:lvlJc w:val="left"/>
      <w:pPr>
        <w:ind w:left="3585" w:hanging="361"/>
      </w:pPr>
      <w:rPr>
        <w:rFonts w:hint="default"/>
        <w:lang w:val="en-US" w:eastAsia="en-US" w:bidi="ar-SA"/>
      </w:rPr>
    </w:lvl>
    <w:lvl w:ilvl="3">
      <w:start w:val="0"/>
      <w:numFmt w:val="bullet"/>
      <w:lvlText w:val="•"/>
      <w:lvlJc w:val="left"/>
      <w:pPr>
        <w:ind w:left="4527" w:hanging="361"/>
      </w:pPr>
      <w:rPr>
        <w:rFonts w:hint="default"/>
        <w:lang w:val="en-US" w:eastAsia="en-US" w:bidi="ar-SA"/>
      </w:rPr>
    </w:lvl>
    <w:lvl w:ilvl="4">
      <w:start w:val="0"/>
      <w:numFmt w:val="bullet"/>
      <w:lvlText w:val="•"/>
      <w:lvlJc w:val="left"/>
      <w:pPr>
        <w:ind w:left="5470" w:hanging="361"/>
      </w:pPr>
      <w:rPr>
        <w:rFonts w:hint="default"/>
        <w:lang w:val="en-US" w:eastAsia="en-US" w:bidi="ar-SA"/>
      </w:rPr>
    </w:lvl>
    <w:lvl w:ilvl="5">
      <w:start w:val="0"/>
      <w:numFmt w:val="bullet"/>
      <w:lvlText w:val="•"/>
      <w:lvlJc w:val="left"/>
      <w:pPr>
        <w:ind w:left="6413" w:hanging="361"/>
      </w:pPr>
      <w:rPr>
        <w:rFonts w:hint="default"/>
        <w:lang w:val="en-US" w:eastAsia="en-US" w:bidi="ar-SA"/>
      </w:rPr>
    </w:lvl>
    <w:lvl w:ilvl="6">
      <w:start w:val="0"/>
      <w:numFmt w:val="bullet"/>
      <w:lvlText w:val="•"/>
      <w:lvlJc w:val="left"/>
      <w:pPr>
        <w:ind w:left="7355" w:hanging="361"/>
      </w:pPr>
      <w:rPr>
        <w:rFonts w:hint="default"/>
        <w:lang w:val="en-US" w:eastAsia="en-US" w:bidi="ar-SA"/>
      </w:rPr>
    </w:lvl>
    <w:lvl w:ilvl="7">
      <w:start w:val="0"/>
      <w:numFmt w:val="bullet"/>
      <w:lvlText w:val="•"/>
      <w:lvlJc w:val="left"/>
      <w:pPr>
        <w:ind w:left="8298" w:hanging="361"/>
      </w:pPr>
      <w:rPr>
        <w:rFonts w:hint="default"/>
        <w:lang w:val="en-US" w:eastAsia="en-US" w:bidi="ar-SA"/>
      </w:rPr>
    </w:lvl>
    <w:lvl w:ilvl="8">
      <w:start w:val="0"/>
      <w:numFmt w:val="bullet"/>
      <w:lvlText w:val="•"/>
      <w:lvlJc w:val="left"/>
      <w:pPr>
        <w:ind w:left="9241" w:hanging="361"/>
      </w:pPr>
      <w:rPr>
        <w:rFonts w:hint="default"/>
        <w:lang w:val="en-US" w:eastAsia="en-US" w:bidi="ar-SA"/>
      </w:rPr>
    </w:lvl>
  </w:abstractNum>
  <w:abstractNum w:abstractNumId="13">
    <w:multiLevelType w:val="hybridMultilevel"/>
    <w:lvl w:ilvl="0">
      <w:start w:val="8"/>
      <w:numFmt w:val="decimal"/>
      <w:lvlText w:val="%1"/>
      <w:lvlJc w:val="left"/>
      <w:pPr>
        <w:ind w:left="2125" w:hanging="789"/>
        <w:jc w:val="left"/>
      </w:pPr>
      <w:rPr>
        <w:rFonts w:hint="default"/>
        <w:lang w:val="en-US" w:eastAsia="en-US" w:bidi="ar-SA"/>
      </w:rPr>
    </w:lvl>
    <w:lvl w:ilvl="1">
      <w:start w:val="3"/>
      <w:numFmt w:val="decimal"/>
      <w:lvlText w:val="%1.%2"/>
      <w:lvlJc w:val="left"/>
      <w:pPr>
        <w:ind w:left="2125" w:hanging="789"/>
        <w:jc w:val="left"/>
      </w:pPr>
      <w:rPr>
        <w:rFonts w:hint="default"/>
        <w:lang w:val="en-US" w:eastAsia="en-US" w:bidi="ar-SA"/>
      </w:rPr>
    </w:lvl>
    <w:lvl w:ilvl="2">
      <w:start w:val="1"/>
      <w:numFmt w:val="decimal"/>
      <w:lvlText w:val="%1.%2.%3"/>
      <w:lvlJc w:val="left"/>
      <w:pPr>
        <w:ind w:left="2125" w:hanging="789"/>
        <w:jc w:val="left"/>
      </w:pPr>
      <w:rPr>
        <w:rFonts w:hint="default" w:ascii="Verdana" w:hAnsi="Verdana" w:eastAsia="Verdana" w:cs="Verdana"/>
        <w:b/>
        <w:bCs/>
        <w:i/>
        <w:iCs/>
        <w:spacing w:val="-1"/>
        <w:w w:val="100"/>
        <w:sz w:val="20"/>
        <w:szCs w:val="20"/>
        <w:lang w:val="en-US" w:eastAsia="en-US" w:bidi="ar-SA"/>
      </w:rPr>
    </w:lvl>
    <w:lvl w:ilvl="3">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4">
      <w:start w:val="0"/>
      <w:numFmt w:val="bullet"/>
      <w:lvlText w:val="•"/>
      <w:lvlJc w:val="left"/>
      <w:pPr>
        <w:ind w:left="5122" w:hanging="360"/>
      </w:pPr>
      <w:rPr>
        <w:rFonts w:hint="default"/>
        <w:lang w:val="en-US" w:eastAsia="en-US" w:bidi="ar-SA"/>
      </w:rPr>
    </w:lvl>
    <w:lvl w:ilvl="5">
      <w:start w:val="0"/>
      <w:numFmt w:val="bullet"/>
      <w:lvlText w:val="•"/>
      <w:lvlJc w:val="left"/>
      <w:pPr>
        <w:ind w:left="6122" w:hanging="360"/>
      </w:pPr>
      <w:rPr>
        <w:rFonts w:hint="default"/>
        <w:lang w:val="en-US" w:eastAsia="en-US" w:bidi="ar-SA"/>
      </w:rPr>
    </w:lvl>
    <w:lvl w:ilvl="6">
      <w:start w:val="0"/>
      <w:numFmt w:val="bullet"/>
      <w:lvlText w:val="•"/>
      <w:lvlJc w:val="left"/>
      <w:pPr>
        <w:ind w:left="7123" w:hanging="360"/>
      </w:pPr>
      <w:rPr>
        <w:rFonts w:hint="default"/>
        <w:lang w:val="en-US" w:eastAsia="en-US" w:bidi="ar-SA"/>
      </w:rPr>
    </w:lvl>
    <w:lvl w:ilvl="7">
      <w:start w:val="0"/>
      <w:numFmt w:val="bullet"/>
      <w:lvlText w:val="•"/>
      <w:lvlJc w:val="left"/>
      <w:pPr>
        <w:ind w:left="8124"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12">
    <w:multiLevelType w:val="hybridMultilevel"/>
    <w:lvl w:ilvl="0">
      <w:start w:val="8"/>
      <w:numFmt w:val="decimal"/>
      <w:lvlText w:val="%1"/>
      <w:lvlJc w:val="left"/>
      <w:pPr>
        <w:ind w:left="2057" w:hanging="720"/>
        <w:jc w:val="left"/>
      </w:pPr>
      <w:rPr>
        <w:rFonts w:hint="default"/>
        <w:lang w:val="en-US" w:eastAsia="en-US" w:bidi="ar-SA"/>
      </w:rPr>
    </w:lvl>
    <w:lvl w:ilvl="1">
      <w:start w:val="1"/>
      <w:numFmt w:val="decimal"/>
      <w:lvlText w:val="%1.%2"/>
      <w:lvlJc w:val="left"/>
      <w:pPr>
        <w:ind w:left="2057" w:hanging="720"/>
        <w:jc w:val="left"/>
      </w:pPr>
      <w:rPr>
        <w:rFonts w:hint="default"/>
        <w:lang w:val="en-US" w:eastAsia="en-US" w:bidi="ar-SA"/>
      </w:rPr>
    </w:lvl>
    <w:lvl w:ilvl="2">
      <w:start w:val="1"/>
      <w:numFmt w:val="decimal"/>
      <w:lvlText w:val="%1.%2.%3"/>
      <w:lvlJc w:val="left"/>
      <w:pPr>
        <w:ind w:left="2057" w:hanging="720"/>
        <w:jc w:val="left"/>
      </w:pPr>
      <w:rPr>
        <w:rFonts w:hint="default" w:ascii="Verdana" w:hAnsi="Verdana" w:eastAsia="Verdana" w:cs="Verdana"/>
        <w:b/>
        <w:bCs/>
        <w:i/>
        <w:iCs/>
        <w:spacing w:val="-1"/>
        <w:w w:val="100"/>
        <w:sz w:val="20"/>
        <w:szCs w:val="20"/>
        <w:lang w:val="en-US" w:eastAsia="en-US" w:bidi="ar-SA"/>
      </w:rPr>
    </w:lvl>
    <w:lvl w:ilvl="3">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11">
    <w:multiLevelType w:val="hybridMultilevel"/>
    <w:lvl w:ilvl="0">
      <w:start w:val="0"/>
      <w:numFmt w:val="bullet"/>
      <w:lvlText w:val=""/>
      <w:lvlJc w:val="left"/>
      <w:pPr>
        <w:ind w:left="903"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1691" w:hanging="360"/>
      </w:pPr>
      <w:rPr>
        <w:rFonts w:hint="default"/>
        <w:lang w:val="en-US" w:eastAsia="en-US" w:bidi="ar-SA"/>
      </w:rPr>
    </w:lvl>
    <w:lvl w:ilvl="2">
      <w:start w:val="0"/>
      <w:numFmt w:val="bullet"/>
      <w:lvlText w:val="•"/>
      <w:lvlJc w:val="left"/>
      <w:pPr>
        <w:ind w:left="2483" w:hanging="360"/>
      </w:pPr>
      <w:rPr>
        <w:rFonts w:hint="default"/>
        <w:lang w:val="en-US" w:eastAsia="en-US" w:bidi="ar-SA"/>
      </w:rPr>
    </w:lvl>
    <w:lvl w:ilvl="3">
      <w:start w:val="0"/>
      <w:numFmt w:val="bullet"/>
      <w:lvlText w:val="•"/>
      <w:lvlJc w:val="left"/>
      <w:pPr>
        <w:ind w:left="3275" w:hanging="360"/>
      </w:pPr>
      <w:rPr>
        <w:rFonts w:hint="default"/>
        <w:lang w:val="en-US" w:eastAsia="en-US" w:bidi="ar-SA"/>
      </w:rPr>
    </w:lvl>
    <w:lvl w:ilvl="4">
      <w:start w:val="0"/>
      <w:numFmt w:val="bullet"/>
      <w:lvlText w:val="•"/>
      <w:lvlJc w:val="left"/>
      <w:pPr>
        <w:ind w:left="4067" w:hanging="360"/>
      </w:pPr>
      <w:rPr>
        <w:rFonts w:hint="default"/>
        <w:lang w:val="en-US" w:eastAsia="en-US" w:bidi="ar-SA"/>
      </w:rPr>
    </w:lvl>
    <w:lvl w:ilvl="5">
      <w:start w:val="0"/>
      <w:numFmt w:val="bullet"/>
      <w:lvlText w:val="•"/>
      <w:lvlJc w:val="left"/>
      <w:pPr>
        <w:ind w:left="4858" w:hanging="360"/>
      </w:pPr>
      <w:rPr>
        <w:rFonts w:hint="default"/>
        <w:lang w:val="en-US" w:eastAsia="en-US" w:bidi="ar-SA"/>
      </w:rPr>
    </w:lvl>
    <w:lvl w:ilvl="6">
      <w:start w:val="0"/>
      <w:numFmt w:val="bullet"/>
      <w:lvlText w:val="•"/>
      <w:lvlJc w:val="left"/>
      <w:pPr>
        <w:ind w:left="5650" w:hanging="360"/>
      </w:pPr>
      <w:rPr>
        <w:rFonts w:hint="default"/>
        <w:lang w:val="en-US" w:eastAsia="en-US" w:bidi="ar-SA"/>
      </w:rPr>
    </w:lvl>
    <w:lvl w:ilvl="7">
      <w:start w:val="0"/>
      <w:numFmt w:val="bullet"/>
      <w:lvlText w:val="•"/>
      <w:lvlJc w:val="left"/>
      <w:pPr>
        <w:ind w:left="6442" w:hanging="360"/>
      </w:pPr>
      <w:rPr>
        <w:rFonts w:hint="default"/>
        <w:lang w:val="en-US" w:eastAsia="en-US" w:bidi="ar-SA"/>
      </w:rPr>
    </w:lvl>
    <w:lvl w:ilvl="8">
      <w:start w:val="0"/>
      <w:numFmt w:val="bullet"/>
      <w:lvlText w:val="•"/>
      <w:lvlJc w:val="left"/>
      <w:pPr>
        <w:ind w:left="7234" w:hanging="360"/>
      </w:pPr>
      <w:rPr>
        <w:rFonts w:hint="default"/>
        <w:lang w:val="en-US" w:eastAsia="en-US" w:bidi="ar-SA"/>
      </w:rPr>
    </w:lvl>
  </w:abstractNum>
  <w:abstractNum w:abstractNumId="10">
    <w:multiLevelType w:val="hybridMultilevel"/>
    <w:lvl w:ilvl="0">
      <w:start w:val="0"/>
      <w:numFmt w:val="bullet"/>
      <w:lvlText w:val=""/>
      <w:lvlJc w:val="left"/>
      <w:pPr>
        <w:ind w:left="2057" w:hanging="360"/>
      </w:pPr>
      <w:rPr>
        <w:rFonts w:hint="default" w:ascii="Symbol" w:hAnsi="Symbol" w:eastAsia="Symbol" w:cs="Symbol"/>
        <w:w w:val="10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9">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3">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4">
    <w:multiLevelType w:val="hybridMultilevel"/>
    <w:lvl w:ilvl="0">
      <w:start w:val="0"/>
      <w:numFmt w:val="bullet"/>
      <w:lvlText w:val=""/>
      <w:lvlJc w:val="left"/>
      <w:pPr>
        <w:ind w:left="2057" w:hanging="360"/>
      </w:pPr>
      <w:rPr>
        <w:rFonts w:hint="default" w:ascii="Symbol" w:hAnsi="Symbol" w:eastAsia="Symbol" w:cs="Symbol"/>
        <w:w w:val="10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7">
    <w:multiLevelType w:val="hybridMultilevel"/>
    <w:lvl w:ilvl="0">
      <w:start w:val="0"/>
      <w:numFmt w:val="bullet"/>
      <w:lvlText w:val=""/>
      <w:lvlJc w:val="left"/>
      <w:pPr>
        <w:ind w:left="2057" w:hanging="360"/>
      </w:pPr>
      <w:rPr>
        <w:rFonts w:hint="default" w:ascii="Symbol" w:hAnsi="Symbol" w:eastAsia="Symbol" w:cs="Symbol"/>
        <w:w w:val="10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8">
    <w:multiLevelType w:val="hybridMultilevel"/>
    <w:lvl w:ilvl="0">
      <w:start w:val="0"/>
      <w:numFmt w:val="bullet"/>
      <w:lvlText w:val=""/>
      <w:lvlJc w:val="left"/>
      <w:pPr>
        <w:ind w:left="903"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1693" w:hanging="360"/>
      </w:pPr>
      <w:rPr>
        <w:rFonts w:hint="default"/>
        <w:lang w:val="en-US" w:eastAsia="en-US" w:bidi="ar-SA"/>
      </w:rPr>
    </w:lvl>
    <w:lvl w:ilvl="2">
      <w:start w:val="0"/>
      <w:numFmt w:val="bullet"/>
      <w:lvlText w:val="•"/>
      <w:lvlJc w:val="left"/>
      <w:pPr>
        <w:ind w:left="2487" w:hanging="360"/>
      </w:pPr>
      <w:rPr>
        <w:rFonts w:hint="default"/>
        <w:lang w:val="en-US" w:eastAsia="en-US" w:bidi="ar-SA"/>
      </w:rPr>
    </w:lvl>
    <w:lvl w:ilvl="3">
      <w:start w:val="0"/>
      <w:numFmt w:val="bullet"/>
      <w:lvlText w:val="•"/>
      <w:lvlJc w:val="left"/>
      <w:pPr>
        <w:ind w:left="3281" w:hanging="360"/>
      </w:pPr>
      <w:rPr>
        <w:rFonts w:hint="default"/>
        <w:lang w:val="en-US" w:eastAsia="en-US" w:bidi="ar-SA"/>
      </w:rPr>
    </w:lvl>
    <w:lvl w:ilvl="4">
      <w:start w:val="0"/>
      <w:numFmt w:val="bullet"/>
      <w:lvlText w:val="•"/>
      <w:lvlJc w:val="left"/>
      <w:pPr>
        <w:ind w:left="4075" w:hanging="360"/>
      </w:pPr>
      <w:rPr>
        <w:rFonts w:hint="default"/>
        <w:lang w:val="en-US" w:eastAsia="en-US" w:bidi="ar-SA"/>
      </w:rPr>
    </w:lvl>
    <w:lvl w:ilvl="5">
      <w:start w:val="0"/>
      <w:numFmt w:val="bullet"/>
      <w:lvlText w:val="•"/>
      <w:lvlJc w:val="left"/>
      <w:pPr>
        <w:ind w:left="4869" w:hanging="360"/>
      </w:pPr>
      <w:rPr>
        <w:rFonts w:hint="default"/>
        <w:lang w:val="en-US" w:eastAsia="en-US" w:bidi="ar-SA"/>
      </w:rPr>
    </w:lvl>
    <w:lvl w:ilvl="6">
      <w:start w:val="0"/>
      <w:numFmt w:val="bullet"/>
      <w:lvlText w:val="•"/>
      <w:lvlJc w:val="left"/>
      <w:pPr>
        <w:ind w:left="5662" w:hanging="360"/>
      </w:pPr>
      <w:rPr>
        <w:rFonts w:hint="default"/>
        <w:lang w:val="en-US" w:eastAsia="en-US" w:bidi="ar-SA"/>
      </w:rPr>
    </w:lvl>
    <w:lvl w:ilvl="7">
      <w:start w:val="0"/>
      <w:numFmt w:val="bullet"/>
      <w:lvlText w:val="•"/>
      <w:lvlJc w:val="left"/>
      <w:pPr>
        <w:ind w:left="6456" w:hanging="360"/>
      </w:pPr>
      <w:rPr>
        <w:rFonts w:hint="default"/>
        <w:lang w:val="en-US" w:eastAsia="en-US" w:bidi="ar-SA"/>
      </w:rPr>
    </w:lvl>
    <w:lvl w:ilvl="8">
      <w:start w:val="0"/>
      <w:numFmt w:val="bullet"/>
      <w:lvlText w:val="•"/>
      <w:lvlJc w:val="left"/>
      <w:pPr>
        <w:ind w:left="7250" w:hanging="360"/>
      </w:pPr>
      <w:rPr>
        <w:rFonts w:hint="default"/>
        <w:lang w:val="en-US" w:eastAsia="en-US" w:bidi="ar-SA"/>
      </w:rPr>
    </w:lvl>
  </w:abstractNum>
  <w:abstractNum w:abstractNumId="6">
    <w:multiLevelType w:val="hybridMultilevel"/>
    <w:lvl w:ilvl="0">
      <w:start w:val="1"/>
      <w:numFmt w:val="decimal"/>
      <w:lvlText w:val="%1."/>
      <w:lvlJc w:val="left"/>
      <w:pPr>
        <w:ind w:left="2056" w:hanging="360"/>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056" w:hanging="360"/>
      </w:pPr>
      <w:rPr>
        <w:rFonts w:hint="default" w:ascii="Symbol" w:hAnsi="Symbol" w:eastAsia="Symbol" w:cs="Symbol"/>
        <w:b w:val="0"/>
        <w:bCs w:val="0"/>
        <w:i w:val="0"/>
        <w:iCs w:val="0"/>
        <w:w w:val="100"/>
        <w:sz w:val="20"/>
        <w:szCs w:val="20"/>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5">
    <w:multiLevelType w:val="hybridMultilevel"/>
    <w:lvl w:ilvl="0">
      <w:start w:val="1"/>
      <w:numFmt w:val="decimal"/>
      <w:lvlText w:val="%1."/>
      <w:lvlJc w:val="left"/>
      <w:pPr>
        <w:ind w:left="2057" w:hanging="360"/>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056" w:hanging="360"/>
      </w:pPr>
      <w:rPr>
        <w:rFonts w:hint="default" w:ascii="Symbol" w:hAnsi="Symbol" w:eastAsia="Symbol" w:cs="Symbol"/>
        <w:b w:val="0"/>
        <w:bCs w:val="0"/>
        <w:i w:val="0"/>
        <w:iCs w:val="0"/>
        <w:w w:val="100"/>
        <w:sz w:val="20"/>
        <w:szCs w:val="20"/>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2">
    <w:multiLevelType w:val="hybridMultilevel"/>
    <w:lvl w:ilvl="0">
      <w:start w:val="0"/>
      <w:numFmt w:val="bullet"/>
      <w:lvlText w:val=""/>
      <w:lvlJc w:val="left"/>
      <w:pPr>
        <w:ind w:left="2057"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873" w:hanging="360"/>
      </w:pPr>
      <w:rPr>
        <w:rFonts w:hint="default"/>
        <w:lang w:val="en-US" w:eastAsia="en-US" w:bidi="ar-SA"/>
      </w:rPr>
    </w:lvl>
    <w:lvl w:ilvl="3">
      <w:start w:val="0"/>
      <w:numFmt w:val="bullet"/>
      <w:lvlText w:val="•"/>
      <w:lvlJc w:val="left"/>
      <w:pPr>
        <w:ind w:left="4779" w:hanging="360"/>
      </w:pPr>
      <w:rPr>
        <w:rFonts w:hint="default"/>
        <w:lang w:val="en-US" w:eastAsia="en-US" w:bidi="ar-SA"/>
      </w:rPr>
    </w:lvl>
    <w:lvl w:ilvl="4">
      <w:start w:val="0"/>
      <w:numFmt w:val="bullet"/>
      <w:lvlText w:val="•"/>
      <w:lvlJc w:val="left"/>
      <w:pPr>
        <w:ind w:left="5686"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499"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13" w:hanging="360"/>
      </w:pPr>
      <w:rPr>
        <w:rFonts w:hint="default"/>
        <w:lang w:val="en-US" w:eastAsia="en-US" w:bidi="ar-SA"/>
      </w:rPr>
    </w:lvl>
  </w:abstractNum>
  <w:abstractNum w:abstractNumId="1">
    <w:multiLevelType w:val="hybridMultilevel"/>
    <w:lvl w:ilvl="0">
      <w:start w:val="1"/>
      <w:numFmt w:val="decimal"/>
      <w:lvlText w:val="%1."/>
      <w:lvlJc w:val="left"/>
      <w:pPr>
        <w:ind w:left="1695" w:hanging="358"/>
        <w:jc w:val="left"/>
      </w:pPr>
      <w:rPr>
        <w:rFonts w:hint="default" w:ascii="Verdana" w:hAnsi="Verdana" w:eastAsia="Verdana" w:cs="Verdana"/>
        <w:b/>
        <w:bCs/>
        <w:i w:val="0"/>
        <w:iCs w:val="0"/>
        <w:w w:val="99"/>
        <w:sz w:val="28"/>
        <w:szCs w:val="28"/>
        <w:lang w:val="en-US" w:eastAsia="en-US" w:bidi="ar-SA"/>
      </w:rPr>
    </w:lvl>
    <w:lvl w:ilvl="1">
      <w:start w:val="1"/>
      <w:numFmt w:val="decimal"/>
      <w:lvlText w:val="%1.%2"/>
      <w:lvlJc w:val="left"/>
      <w:pPr>
        <w:ind w:left="1973" w:hanging="636"/>
        <w:jc w:val="left"/>
      </w:pPr>
      <w:rPr>
        <w:rFonts w:hint="default"/>
        <w:spacing w:val="-1"/>
        <w:w w:val="100"/>
        <w:lang w:val="en-US" w:eastAsia="en-US" w:bidi="ar-SA"/>
      </w:rPr>
    </w:lvl>
    <w:lvl w:ilvl="2">
      <w:start w:val="1"/>
      <w:numFmt w:val="decimal"/>
      <w:lvlText w:val="%1.%2.%3."/>
      <w:lvlJc w:val="left"/>
      <w:pPr>
        <w:ind w:left="2057" w:hanging="636"/>
        <w:jc w:val="left"/>
      </w:pPr>
      <w:rPr>
        <w:rFonts w:hint="default" w:ascii="Verdana" w:hAnsi="Verdana" w:eastAsia="Verdana" w:cs="Verdana"/>
        <w:b/>
        <w:bCs/>
        <w:i/>
        <w:iCs/>
        <w:spacing w:val="-1"/>
        <w:w w:val="100"/>
        <w:sz w:val="20"/>
        <w:szCs w:val="20"/>
        <w:lang w:val="en-US" w:eastAsia="en-US" w:bidi="ar-SA"/>
      </w:rPr>
    </w:lvl>
    <w:lvl w:ilvl="3">
      <w:start w:val="0"/>
      <w:numFmt w:val="bullet"/>
      <w:lvlText w:val=""/>
      <w:lvlJc w:val="left"/>
      <w:pPr>
        <w:ind w:left="2057" w:hanging="636"/>
      </w:pPr>
      <w:rPr>
        <w:rFonts w:hint="default" w:ascii="Symbol" w:hAnsi="Symbol" w:eastAsia="Symbol" w:cs="Symbol"/>
        <w:b w:val="0"/>
        <w:bCs w:val="0"/>
        <w:i w:val="0"/>
        <w:iCs w:val="0"/>
        <w:w w:val="100"/>
        <w:sz w:val="20"/>
        <w:szCs w:val="20"/>
        <w:lang w:val="en-US" w:eastAsia="en-US" w:bidi="ar-SA"/>
      </w:rPr>
    </w:lvl>
    <w:lvl w:ilvl="4">
      <w:start w:val="0"/>
      <w:numFmt w:val="bullet"/>
      <w:lvlText w:val="•"/>
      <w:lvlJc w:val="left"/>
      <w:pPr>
        <w:ind w:left="2060" w:hanging="636"/>
      </w:pPr>
      <w:rPr>
        <w:rFonts w:hint="default"/>
        <w:lang w:val="en-US" w:eastAsia="en-US" w:bidi="ar-SA"/>
      </w:rPr>
    </w:lvl>
    <w:lvl w:ilvl="5">
      <w:start w:val="0"/>
      <w:numFmt w:val="bullet"/>
      <w:lvlText w:val="•"/>
      <w:lvlJc w:val="left"/>
      <w:pPr>
        <w:ind w:left="2120" w:hanging="636"/>
      </w:pPr>
      <w:rPr>
        <w:rFonts w:hint="default"/>
        <w:lang w:val="en-US" w:eastAsia="en-US" w:bidi="ar-SA"/>
      </w:rPr>
    </w:lvl>
    <w:lvl w:ilvl="6">
      <w:start w:val="0"/>
      <w:numFmt w:val="bullet"/>
      <w:lvlText w:val="•"/>
      <w:lvlJc w:val="left"/>
      <w:pPr>
        <w:ind w:left="3921" w:hanging="636"/>
      </w:pPr>
      <w:rPr>
        <w:rFonts w:hint="default"/>
        <w:lang w:val="en-US" w:eastAsia="en-US" w:bidi="ar-SA"/>
      </w:rPr>
    </w:lvl>
    <w:lvl w:ilvl="7">
      <w:start w:val="0"/>
      <w:numFmt w:val="bullet"/>
      <w:lvlText w:val="•"/>
      <w:lvlJc w:val="left"/>
      <w:pPr>
        <w:ind w:left="5722" w:hanging="636"/>
      </w:pPr>
      <w:rPr>
        <w:rFonts w:hint="default"/>
        <w:lang w:val="en-US" w:eastAsia="en-US" w:bidi="ar-SA"/>
      </w:rPr>
    </w:lvl>
    <w:lvl w:ilvl="8">
      <w:start w:val="0"/>
      <w:numFmt w:val="bullet"/>
      <w:lvlText w:val="•"/>
      <w:lvlJc w:val="left"/>
      <w:pPr>
        <w:ind w:left="7523" w:hanging="636"/>
      </w:pPr>
      <w:rPr>
        <w:rFonts w:hint="default"/>
        <w:lang w:val="en-US" w:eastAsia="en-US" w:bidi="ar-SA"/>
      </w:rPr>
    </w:lvl>
  </w:abstractNum>
  <w:abstractNum w:abstractNumId="0">
    <w:multiLevelType w:val="hybridMultilevel"/>
    <w:lvl w:ilvl="0">
      <w:start w:val="1"/>
      <w:numFmt w:val="decimal"/>
      <w:lvlText w:val="%1."/>
      <w:lvlJc w:val="left"/>
      <w:pPr>
        <w:ind w:left="1778" w:hanging="441"/>
        <w:jc w:val="left"/>
      </w:pPr>
      <w:rPr>
        <w:rFonts w:hint="default" w:ascii="Verdana" w:hAnsi="Verdana" w:eastAsia="Verdana" w:cs="Verdana"/>
        <w:b/>
        <w:bCs/>
        <w:i w:val="0"/>
        <w:iCs w:val="0"/>
        <w:spacing w:val="-1"/>
        <w:w w:val="99"/>
        <w:sz w:val="22"/>
        <w:szCs w:val="22"/>
        <w:lang w:val="en-US" w:eastAsia="en-US" w:bidi="ar-SA"/>
      </w:rPr>
    </w:lvl>
    <w:lvl w:ilvl="1">
      <w:start w:val="1"/>
      <w:numFmt w:val="decimal"/>
      <w:lvlText w:val="%1.%2"/>
      <w:lvlJc w:val="left"/>
      <w:pPr>
        <w:ind w:left="1997" w:hanging="660"/>
        <w:jc w:val="left"/>
      </w:pPr>
      <w:rPr>
        <w:rFonts w:hint="default" w:ascii="Verdana" w:hAnsi="Verdana" w:eastAsia="Verdana" w:cs="Verdana"/>
        <w:b w:val="0"/>
        <w:bCs w:val="0"/>
        <w:i w:val="0"/>
        <w:iCs w:val="0"/>
        <w:spacing w:val="-1"/>
        <w:w w:val="100"/>
        <w:sz w:val="20"/>
        <w:szCs w:val="20"/>
        <w:lang w:val="en-US" w:eastAsia="en-US" w:bidi="ar-SA"/>
      </w:rPr>
    </w:lvl>
    <w:lvl w:ilvl="2">
      <w:start w:val="0"/>
      <w:numFmt w:val="bullet"/>
      <w:lvlText w:val="•"/>
      <w:lvlJc w:val="left"/>
      <w:pPr>
        <w:ind w:left="3014" w:hanging="660"/>
      </w:pPr>
      <w:rPr>
        <w:rFonts w:hint="default"/>
        <w:lang w:val="en-US" w:eastAsia="en-US" w:bidi="ar-SA"/>
      </w:rPr>
    </w:lvl>
    <w:lvl w:ilvl="3">
      <w:start w:val="0"/>
      <w:numFmt w:val="bullet"/>
      <w:lvlText w:val="•"/>
      <w:lvlJc w:val="left"/>
      <w:pPr>
        <w:ind w:left="4028" w:hanging="660"/>
      </w:pPr>
      <w:rPr>
        <w:rFonts w:hint="default"/>
        <w:lang w:val="en-US" w:eastAsia="en-US" w:bidi="ar-SA"/>
      </w:rPr>
    </w:lvl>
    <w:lvl w:ilvl="4">
      <w:start w:val="0"/>
      <w:numFmt w:val="bullet"/>
      <w:lvlText w:val="•"/>
      <w:lvlJc w:val="left"/>
      <w:pPr>
        <w:ind w:left="5042" w:hanging="660"/>
      </w:pPr>
      <w:rPr>
        <w:rFonts w:hint="default"/>
        <w:lang w:val="en-US" w:eastAsia="en-US" w:bidi="ar-SA"/>
      </w:rPr>
    </w:lvl>
    <w:lvl w:ilvl="5">
      <w:start w:val="0"/>
      <w:numFmt w:val="bullet"/>
      <w:lvlText w:val="•"/>
      <w:lvlJc w:val="left"/>
      <w:pPr>
        <w:ind w:left="6056" w:hanging="660"/>
      </w:pPr>
      <w:rPr>
        <w:rFonts w:hint="default"/>
        <w:lang w:val="en-US" w:eastAsia="en-US" w:bidi="ar-SA"/>
      </w:rPr>
    </w:lvl>
    <w:lvl w:ilvl="6">
      <w:start w:val="0"/>
      <w:numFmt w:val="bullet"/>
      <w:lvlText w:val="•"/>
      <w:lvlJc w:val="left"/>
      <w:pPr>
        <w:ind w:left="7070" w:hanging="660"/>
      </w:pPr>
      <w:rPr>
        <w:rFonts w:hint="default"/>
        <w:lang w:val="en-US" w:eastAsia="en-US" w:bidi="ar-SA"/>
      </w:rPr>
    </w:lvl>
    <w:lvl w:ilvl="7">
      <w:start w:val="0"/>
      <w:numFmt w:val="bullet"/>
      <w:lvlText w:val="•"/>
      <w:lvlJc w:val="left"/>
      <w:pPr>
        <w:ind w:left="8084" w:hanging="660"/>
      </w:pPr>
      <w:rPr>
        <w:rFonts w:hint="default"/>
        <w:lang w:val="en-US" w:eastAsia="en-US" w:bidi="ar-SA"/>
      </w:rPr>
    </w:lvl>
    <w:lvl w:ilvl="8">
      <w:start w:val="0"/>
      <w:numFmt w:val="bullet"/>
      <w:lvlText w:val="•"/>
      <w:lvlJc w:val="left"/>
      <w:pPr>
        <w:ind w:left="9098" w:hanging="660"/>
      </w:pPr>
      <w:rPr>
        <w:rFonts w:hint="default"/>
        <w:lang w:val="en-US" w:eastAsia="en-US" w:bidi="ar-SA"/>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4">
    <w:abstractNumId w:val="3"/>
  </w:num>
  <w:num w:numId="5">
    <w:abstractNumId w:val="4"/>
  </w:num>
  <w:num w:numId="8">
    <w:abstractNumId w:val="7"/>
  </w:num>
  <w:num w:numId="9">
    <w:abstractNumId w:val="8"/>
  </w:num>
  <w:num w:numId="7">
    <w:abstractNumId w:val="6"/>
  </w:num>
  <w:num w:numId="6">
    <w:abstractNumId w:val="5"/>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TOC1" w:type="paragraph">
    <w:name w:val="TOC 1"/>
    <w:basedOn w:val="Normal"/>
    <w:uiPriority w:val="1"/>
    <w:qFormat/>
    <w:pPr>
      <w:spacing w:before="200"/>
      <w:ind w:left="1778" w:hanging="442"/>
    </w:pPr>
    <w:rPr>
      <w:rFonts w:ascii="Verdana" w:hAnsi="Verdana" w:eastAsia="Verdana" w:cs="Verdana"/>
      <w:b/>
      <w:bCs/>
      <w:sz w:val="22"/>
      <w:szCs w:val="22"/>
      <w:lang w:val="en-US" w:eastAsia="en-US" w:bidi="ar-SA"/>
    </w:rPr>
  </w:style>
  <w:style w:styleId="TOC2" w:type="paragraph">
    <w:name w:val="TOC 2"/>
    <w:basedOn w:val="Normal"/>
    <w:uiPriority w:val="1"/>
    <w:qFormat/>
    <w:pPr>
      <w:spacing w:before="17"/>
      <w:ind w:left="1997" w:hanging="661"/>
    </w:pPr>
    <w:rPr>
      <w:rFonts w:ascii="Verdana" w:hAnsi="Verdana" w:eastAsia="Verdana" w:cs="Verdana"/>
      <w:sz w:val="20"/>
      <w:szCs w:val="20"/>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spacing w:before="81"/>
      <w:ind w:left="1695" w:right="2077" w:hanging="358"/>
      <w:outlineLvl w:val="1"/>
    </w:pPr>
    <w:rPr>
      <w:rFonts w:ascii="Verdana" w:hAnsi="Verdana" w:eastAsia="Verdana" w:cs="Verdana"/>
      <w:b/>
      <w:bCs/>
      <w:sz w:val="32"/>
      <w:szCs w:val="32"/>
      <w:lang w:val="en-US" w:eastAsia="en-US" w:bidi="ar-SA"/>
    </w:rPr>
  </w:style>
  <w:style w:styleId="Heading2" w:type="paragraph">
    <w:name w:val="Heading 2"/>
    <w:basedOn w:val="Normal"/>
    <w:uiPriority w:val="1"/>
    <w:qFormat/>
    <w:pPr>
      <w:spacing w:before="82"/>
      <w:ind w:left="1695" w:hanging="359"/>
      <w:outlineLvl w:val="2"/>
    </w:pPr>
    <w:rPr>
      <w:rFonts w:ascii="Verdana" w:hAnsi="Verdana" w:eastAsia="Verdana" w:cs="Verdana"/>
      <w:b/>
      <w:bCs/>
      <w:sz w:val="28"/>
      <w:szCs w:val="28"/>
      <w:lang w:val="en-US" w:eastAsia="en-US" w:bidi="ar-SA"/>
    </w:rPr>
  </w:style>
  <w:style w:styleId="Heading3" w:type="paragraph">
    <w:name w:val="Heading 3"/>
    <w:basedOn w:val="Normal"/>
    <w:uiPriority w:val="1"/>
    <w:qFormat/>
    <w:pPr>
      <w:ind w:left="1337"/>
      <w:jc w:val="both"/>
      <w:outlineLvl w:val="3"/>
    </w:pPr>
    <w:rPr>
      <w:rFonts w:ascii="Verdana" w:hAnsi="Verdana" w:eastAsia="Verdana" w:cs="Verdana"/>
      <w:b/>
      <w:bCs/>
      <w:sz w:val="20"/>
      <w:szCs w:val="20"/>
      <w:lang w:val="en-US" w:eastAsia="en-US" w:bidi="ar-SA"/>
    </w:rPr>
  </w:style>
  <w:style w:styleId="Heading4" w:type="paragraph">
    <w:name w:val="Heading 4"/>
    <w:basedOn w:val="Normal"/>
    <w:uiPriority w:val="1"/>
    <w:qFormat/>
    <w:pPr>
      <w:ind w:left="1337"/>
      <w:jc w:val="both"/>
      <w:outlineLvl w:val="4"/>
    </w:pPr>
    <w:rPr>
      <w:rFonts w:ascii="Verdana" w:hAnsi="Verdana" w:eastAsia="Verdana" w:cs="Verdana"/>
      <w:b/>
      <w:bCs/>
      <w:i/>
      <w:iCs/>
      <w:sz w:val="20"/>
      <w:szCs w:val="20"/>
      <w:lang w:val="en-US" w:eastAsia="en-US" w:bidi="ar-SA"/>
    </w:rPr>
  </w:style>
  <w:style w:styleId="Title" w:type="paragraph">
    <w:name w:val="Title"/>
    <w:basedOn w:val="Normal"/>
    <w:uiPriority w:val="1"/>
    <w:qFormat/>
    <w:pPr>
      <w:ind w:left="162"/>
    </w:pPr>
    <w:rPr>
      <w:rFonts w:ascii="Century Gothic" w:hAnsi="Century Gothic" w:eastAsia="Century Gothic" w:cs="Century Gothic"/>
      <w:sz w:val="72"/>
      <w:szCs w:val="72"/>
      <w:lang w:val="en-US" w:eastAsia="en-US" w:bidi="ar-SA"/>
    </w:rPr>
  </w:style>
  <w:style w:styleId="ListParagraph" w:type="paragraph">
    <w:name w:val="List Paragraph"/>
    <w:basedOn w:val="Normal"/>
    <w:uiPriority w:val="1"/>
    <w:qFormat/>
    <w:pPr>
      <w:ind w:left="2057" w:hanging="360"/>
      <w:jc w:val="both"/>
    </w:pPr>
    <w:rPr>
      <w:rFonts w:ascii="Verdana" w:hAnsi="Verdana" w:eastAsia="Verdana" w:cs="Verdana"/>
      <w:lang w:val="en-US" w:eastAsia="en-US" w:bidi="ar-SA"/>
    </w:rPr>
  </w:style>
  <w:style w:styleId="TableParagraph" w:type="paragraph">
    <w:name w:val="Table Paragraph"/>
    <w:basedOn w:val="Normal"/>
    <w:uiPriority w:val="1"/>
    <w:qForma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4.png"/><Relationship Id="rId63" Type="http://schemas.openxmlformats.org/officeDocument/2006/relationships/image" Target="media/image50.png"/><Relationship Id="rId68" Type="http://schemas.openxmlformats.org/officeDocument/2006/relationships/customXml" Target="../customXml/item2.xml"/><Relationship Id="rId7" Type="http://schemas.openxmlformats.org/officeDocument/2006/relationships/hyperlink" Target="http://www.acas.org.uk/researchpapers" TargetMode="External"/><Relationship Id="rId71" Type="http://schemas.openxmlformats.org/officeDocument/2006/relationships/customXml" Target="../customXml/item5.xml"/><Relationship Id="rId2" Type="http://schemas.openxmlformats.org/officeDocument/2006/relationships/fontTable" Target="fontTable.xml"/><Relationship Id="rId16" Type="http://schemas.openxmlformats.org/officeDocument/2006/relationships/hyperlink" Target="https://archive.acas.org.uk/media/4335/Evaluation-of-Acas-Early-Conciliation-2015/pdf/Evaluation-of-Acas-Early-Conciliation-2015.pdf" TargetMode="External"/><Relationship Id="rId29" Type="http://schemas.openxmlformats.org/officeDocument/2006/relationships/image" Target="media/image17.png"/><Relationship Id="rId11" Type="http://schemas.openxmlformats.org/officeDocument/2006/relationships/hyperlink" Target="https://www.supremecourt.uk/cases/uksc-2015-0233.html"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numbering" Target="numbering.xml"/><Relationship Id="rId5" Type="http://schemas.openxmlformats.org/officeDocument/2006/relationships/image" Target="media/image1.png"/><Relationship Id="rId61" Type="http://schemas.openxmlformats.org/officeDocument/2006/relationships/image" Target="media/image48.png"/><Relationship Id="rId19" Type="http://schemas.openxmlformats.org/officeDocument/2006/relationships/image" Target="media/image8.png"/><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hyperlink" Target="https://www.acas.org.uk/media/6267/Acas-Annual-Report-2018---2019/pdf/CCS001_CCS0419948884-001_ACAS_ARA_2018-19_Accessible_v2.pdf" TargetMode="External"/><Relationship Id="rId69" Type="http://schemas.openxmlformats.org/officeDocument/2006/relationships/customXml" Target="../customXml/item3.xml"/><Relationship Id="rId8" Type="http://schemas.openxmlformats.org/officeDocument/2006/relationships/footer" Target="footer1.xml"/><Relationship Id="rId51" Type="http://schemas.openxmlformats.org/officeDocument/2006/relationships/image" Target="media/image38.png"/><Relationship Id="rId3" Type="http://schemas.openxmlformats.org/officeDocument/2006/relationships/theme" Target="theme/theme1.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yperlink" Target="https://archive.acas.org.uk/media/4591/Evaluation-of-Acas-conciliation-in-Employment-Tribunal-applications-2016/pdf/Evaluation-of-Acas-conciliation-in-Employment-Tribunal-applications-2016.pdf" TargetMode="External"/><Relationship Id="rId59" Type="http://schemas.openxmlformats.org/officeDocument/2006/relationships/image" Target="media/image46.png"/><Relationship Id="rId67" Type="http://schemas.openxmlformats.org/officeDocument/2006/relationships/customXml" Target="../customXml/item1.xml"/><Relationship Id="rId20" Type="http://schemas.openxmlformats.org/officeDocument/2006/relationships/hyperlink" Target="https://www.acas.org.uk/media/6267/Acas-Annual-Report-2018---2019/pdf/CCS001_CCS04199488" TargetMode="External"/><Relationship Id="rId41" Type="http://schemas.openxmlformats.org/officeDocument/2006/relationships/image" Target="media/image29.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hyperlink" Target="mailto:research@acas.org.uk" TargetMode="Externa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hyperlink" Target="https://eur02.safelinks.protection.outlook.com/?url=https%3A%2F%2Fwww.supremecourt.uk%2Fcases%2Fuksc-2015-0233.html&amp;data=02%7C01%7CASUTHERLAND%40acas.org.uk%7Cc1123b9f83664ed0764908d837b90279%7C06b1a98db4a64e8696c2258ae458ab3b%7C0%7C0%7C637320615044442531&amp;sdata=vDbf9HyX01o1xxPzwh9vwxYKYF4LSIhJn6Bj2fp6OxA%3D&amp;reserved=0" TargetMode="Externa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hyperlink" Target="https://archive.acas.org.uk/media/6205/Individual-Conciliation-Update-April-2018---December-2018/pdf/Individual_Conciliation_Update_-_2018-19_Q3.pdf" TargetMode="External"/><Relationship Id="rId4" Type="http://schemas.openxmlformats.org/officeDocument/2006/relationships/settings" Target="settings.xml"/><Relationship Id="rId9" Type="http://schemas.openxmlformats.org/officeDocument/2006/relationships/hyperlink" Target="https://www.ipsos.com/ipsos-mori/en-uk" TargetMode="External"/><Relationship Id="rId13" Type="http://schemas.openxmlformats.org/officeDocument/2006/relationships/image" Target="media/image3.png"/><Relationship Id="rId18" Type="http://schemas.openxmlformats.org/officeDocument/2006/relationships/image" Target="media/image7.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7.png"/><Relationship Id="rId55"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cas Excel Workbook" ma:contentTypeID="0x0101004C3A9FBBCC8DA14A80815109F700EF9B02007FF77B4313E0C44588A6E5AC9046A09C" ma:contentTypeVersion="2" ma:contentTypeDescription="" ma:contentTypeScope="" ma:versionID="aa4c72eec568082d4e09941aad417300">
  <xsd:schema xmlns:xsd="http://www.w3.org/2001/XMLSchema" xmlns:xs="http://www.w3.org/2001/XMLSchema" xmlns:p="http://schemas.microsoft.com/office/2006/metadata/properties" xmlns:ns2="776c0d8a-3a3c-48ea-9947-a9cf1f34a55f" targetNamespace="http://schemas.microsoft.com/office/2006/metadata/properties" ma:root="true" ma:fieldsID="d6ccdf8cd66d03cb38ffb0e450f8e85b" ns2:_="">
    <xsd:import namespace="776c0d8a-3a3c-48ea-9947-a9cf1f34a55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02"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372CA-2BE2-4EC8-B968-931F3805176A}"/>
</file>

<file path=customXml/itemProps2.xml><?xml version="1.0" encoding="utf-8"?>
<ds:datastoreItem xmlns:ds="http://schemas.openxmlformats.org/officeDocument/2006/customXml" ds:itemID="{7F9DC387-AED4-4D81-B093-77D312321F50}"/>
</file>

<file path=customXml/itemProps3.xml><?xml version="1.0" encoding="utf-8"?>
<ds:datastoreItem xmlns:ds="http://schemas.openxmlformats.org/officeDocument/2006/customXml" ds:itemID="{FBE8B2BC-5B0F-4616-ACAE-E8BAAE5C6918}"/>
</file>

<file path=customXml/itemProps4.xml><?xml version="1.0" encoding="utf-8"?>
<ds:datastoreItem xmlns:ds="http://schemas.openxmlformats.org/officeDocument/2006/customXml" ds:itemID="{AD5D2133-6232-4316-8FE3-9F6623CB306C}"/>
</file>

<file path=customXml/itemProps5.xml><?xml version="1.0" encoding="utf-8"?>
<ds:datastoreItem xmlns:ds="http://schemas.openxmlformats.org/officeDocument/2006/customXml" ds:itemID="{1A02788D-3F4D-4393-AAA3-33C5C4CDAB75}"/>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Acas Research Paper: Evaluation of Acas Individual Conciliation 2019</dc:title>
  <dc:subject>Evaluation of Acas Individual Conciliation 2019</dc:subject>
  <dc:creator>Jess Davies</dc:creator>
  <dc:description/>
  <dcterms:created xsi:type="dcterms:W3CDTF">2024-10-11T14:00:29Z</dcterms:created>
  <dcterms:modified xsi:type="dcterms:W3CDTF">2024-10-11T14:00:29Z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0x0101004C3A9FBBCC8DA14A80815109F700EF9B02007FF77B4313E0C44588A6E5AC9046A09C</vt:lpwstr>
  </property>
  <property fmtid="{D5CDD505-2E9C-101B-9397-08002B2CF9AE}" pid="3" name="Created">
    <vt:filetime>2020-08-10T00:00:00Z</vt:filetime>
  </property>
  <property fmtid="{D5CDD505-2E9C-101B-9397-08002B2CF9AE}" pid="4" name="Creator">
    <vt:lpwstr>Acrobat PDFMaker 20 for Word</vt:lpwstr>
  </property>
  <property fmtid="{D5CDD505-2E9C-101B-9397-08002B2CF9AE}" pid="5" name="LastSaved">
    <vt:filetime>2024-10-11T00:00:00Z</vt:filetime>
  </property>
  <property fmtid="{D5CDD505-2E9C-101B-9397-08002B2CF9AE}" pid="6" name="Producer">
    <vt:lpwstr>Adobe PDF Library 20.9.95</vt:lpwstr>
  </property>
  <property fmtid="{D5CDD505-2E9C-101B-9397-08002B2CF9AE}" pid="7" name="SourceModified">
    <vt:lpwstr>D:20200807153955</vt:lpwstr>
  </property>
  <property fmtid="{D5CDD505-2E9C-101B-9397-08002B2CF9AE}" pid="8" name="_dlc_DocIdItemGuid">
    <vt:lpwstr>9ad84d32-4c33-4bb4-b94d-e4ec0fc86cdb</vt:lpwstr>
  </property>
</Properties>
</file>