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6F60" w:rsidR="00FD1B34" w:rsidRDefault="003140A3" w14:paraId="00B59C83" w14:textId="77777777">
      <w:pPr>
        <w:pStyle w:val="Title"/>
        <w:rPr>
          <w:rFonts w:ascii="Verdana" w:hAnsi="Verdana"/>
        </w:rPr>
      </w:pPr>
      <w:bookmarkStart w:name="_cvwkpdhz57p" w:id="0"/>
      <w:bookmarkEnd w:id="0"/>
      <w:r w:rsidRPr="00896F60">
        <w:rPr>
          <w:rFonts w:ascii="Verdana" w:hAnsi="Verdana"/>
        </w:rPr>
        <w:t>TUPE transfer plan checklist for the old employer</w:t>
      </w:r>
    </w:p>
    <w:p w:rsidRPr="00896F60" w:rsidR="00FD1B34" w:rsidP="332DD659" w:rsidRDefault="003140A3" w14:paraId="5241EB8F" w14:textId="77777777">
      <w:p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This transfer plan checklist is to be used by the old employer (the employer transferring their </w:t>
      </w:r>
      <w:r w:rsidRPr="332DD659" w:rsidR="003140A3">
        <w:rPr>
          <w:rFonts w:ascii="Verdana" w:hAnsi="Verdana"/>
          <w:sz w:val="24"/>
          <w:szCs w:val="24"/>
          <w:lang w:val="en-US"/>
        </w:rPr>
        <w:t>organisation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or service). </w:t>
      </w:r>
    </w:p>
    <w:p w:rsidRPr="00896F60" w:rsidR="00FD1B34" w:rsidRDefault="00FD1B34" w14:paraId="45F6BFF7" w14:textId="77777777">
      <w:pPr>
        <w:rPr>
          <w:rFonts w:ascii="Verdana" w:hAnsi="Verdana"/>
          <w:sz w:val="24"/>
          <w:szCs w:val="24"/>
        </w:rPr>
      </w:pPr>
    </w:p>
    <w:p w:rsidRPr="00896F60" w:rsidR="00FD1B34" w:rsidP="332DD659" w:rsidRDefault="003140A3" w14:paraId="262F4511" w14:textId="77777777" w14:noSpellErr="1">
      <w:p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You can adapt the checklist to meet your needs, although by law certain steps must be followed. It's a good idea to follow all the steps and use this checklist alongside </w:t>
      </w:r>
      <w:hyperlink r:id="Rf0a4bedf4e2b4090">
        <w:r w:rsidRPr="332DD659" w:rsidR="003140A3">
          <w:rPr>
            <w:rFonts w:ascii="Verdana" w:hAnsi="Verdana"/>
            <w:color w:val="1155CC"/>
            <w:sz w:val="24"/>
            <w:szCs w:val="24"/>
            <w:u w:val="single"/>
            <w:lang w:val="en-US"/>
          </w:rPr>
          <w:t>Acas’s</w:t>
        </w:r>
        <w:r w:rsidRPr="332DD659" w:rsidR="003140A3">
          <w:rPr>
            <w:rFonts w:ascii="Verdana" w:hAnsi="Verdana"/>
            <w:color w:val="1155CC"/>
            <w:sz w:val="24"/>
            <w:szCs w:val="24"/>
            <w:u w:val="single"/>
            <w:lang w:val="en-US"/>
          </w:rPr>
          <w:t xml:space="preserve"> advice on handling a TUPE transfer</w:t>
        </w:r>
      </w:hyperlink>
      <w:r w:rsidRPr="332DD659" w:rsidR="003140A3">
        <w:rPr>
          <w:rFonts w:ascii="Verdana" w:hAnsi="Verdana"/>
          <w:sz w:val="24"/>
          <w:szCs w:val="24"/>
          <w:lang w:val="en-US"/>
        </w:rPr>
        <w:t xml:space="preserve">.  </w:t>
      </w:r>
    </w:p>
    <w:p w:rsidRPr="00896F60" w:rsidR="00FD1B34" w:rsidRDefault="00FD1B34" w14:paraId="7E796AF3" w14:textId="77777777">
      <w:pPr>
        <w:rPr>
          <w:rFonts w:ascii="Verdana" w:hAnsi="Verdana"/>
          <w:sz w:val="24"/>
          <w:szCs w:val="24"/>
        </w:rPr>
      </w:pPr>
    </w:p>
    <w:p w:rsidRPr="00896F60" w:rsidR="00FD1B34" w:rsidRDefault="003140A3" w14:paraId="1308DAF3" w14:textId="77777777">
      <w:p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Remember to communicate with your staff and their representatives throughout the transfer.</w:t>
      </w:r>
    </w:p>
    <w:p w:rsidRPr="00896F60" w:rsidR="00FD1B34" w:rsidRDefault="00FD1B34" w14:paraId="55C45AB1" w14:textId="77777777">
      <w:pPr>
        <w:rPr>
          <w:rFonts w:ascii="Verdana" w:hAnsi="Verdana"/>
        </w:rPr>
      </w:pPr>
    </w:p>
    <w:p w:rsidRPr="00896F60" w:rsidR="00FD1B34" w:rsidRDefault="003140A3" w14:paraId="68D81DE7" w14:textId="77777777">
      <w:pPr>
        <w:rPr>
          <w:rFonts w:ascii="Verdana" w:hAnsi="Verdana"/>
        </w:rPr>
      </w:pPr>
      <w:r w:rsidRPr="00896F60">
        <w:rPr>
          <w:rFonts w:ascii="Verdana" w:hAnsi="Verdana"/>
        </w:rPr>
        <w:t>---------------------------------------------------------------------------------------------</w:t>
      </w:r>
    </w:p>
    <w:p w:rsidRPr="00896F60" w:rsidR="00FD1B34" w:rsidRDefault="003140A3" w14:paraId="46000C72" w14:textId="77777777">
      <w:pPr>
        <w:pStyle w:val="Heading1"/>
        <w:rPr>
          <w:rFonts w:ascii="Verdana" w:hAnsi="Verdana"/>
        </w:rPr>
      </w:pPr>
      <w:bookmarkStart w:name="_f09su6t7a7kr" w:id="1"/>
      <w:bookmarkEnd w:id="1"/>
      <w:r w:rsidRPr="00896F60">
        <w:rPr>
          <w:rFonts w:ascii="Verdana" w:hAnsi="Verdana"/>
        </w:rPr>
        <w:t>TUPE transfer plan checklist</w:t>
      </w:r>
    </w:p>
    <w:p w:rsidRPr="00896F60" w:rsidR="00FD1B34" w:rsidRDefault="003140A3" w14:paraId="0AEA4FFA" w14:textId="77777777">
      <w:pPr>
        <w:pStyle w:val="Heading2"/>
        <w:rPr>
          <w:rFonts w:ascii="Verdana" w:hAnsi="Verdana"/>
        </w:rPr>
      </w:pPr>
      <w:bookmarkStart w:name="_tws7ngpebz5j" w:id="2"/>
      <w:bookmarkEnd w:id="2"/>
      <w:r w:rsidRPr="00896F60">
        <w:rPr>
          <w:rFonts w:ascii="Verdana" w:hAnsi="Verdana"/>
        </w:rPr>
        <w:t>Consider the transfer</w:t>
      </w:r>
    </w:p>
    <w:p w:rsidRPr="00896F60" w:rsidR="00FD1B34" w:rsidRDefault="00FD1B34" w14:paraId="5A0AE623" w14:textId="77777777">
      <w:pPr>
        <w:rPr>
          <w:rFonts w:ascii="Verdana" w:hAnsi="Verdana"/>
        </w:rPr>
      </w:pPr>
    </w:p>
    <w:p w:rsidRPr="00896F60" w:rsidR="00FD1B34" w:rsidRDefault="003140A3" w14:paraId="6F2BAF05" w14:textId="7777777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Check whether TUPE will apply to the transfer. </w:t>
      </w:r>
    </w:p>
    <w:p w:rsidRPr="00896F60" w:rsidR="00FD1B34" w:rsidP="332DD659" w:rsidRDefault="003140A3" w14:paraId="79E638A4" w14:textId="77777777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Identify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who will transfer </w:t>
      </w:r>
      <w:r w:rsidRPr="332DD659" w:rsidR="003140A3">
        <w:rPr>
          <w:rFonts w:ascii="Verdana" w:hAnsi="Verdana"/>
          <w:color w:val="4D5156"/>
          <w:sz w:val="24"/>
          <w:szCs w:val="24"/>
          <w:shd w:val="clear" w:color="auto" w:fill="FFFFFF"/>
          <w:lang w:val="en-US"/>
        </w:rPr>
        <w:t xml:space="preserve">– 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in a service provision change this includes who is part of the </w:t>
      </w:r>
      <w:r w:rsidRPr="332DD659" w:rsidR="003140A3">
        <w:rPr>
          <w:rFonts w:ascii="Verdana" w:hAnsi="Verdana"/>
          <w:sz w:val="24"/>
          <w:szCs w:val="24"/>
          <w:lang w:val="en-US"/>
        </w:rPr>
        <w:t>organised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grouping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of employees carrying out work for the ‘client’ (the </w:t>
      </w:r>
      <w:r w:rsidRPr="332DD659" w:rsidR="003140A3">
        <w:rPr>
          <w:rFonts w:ascii="Verdana" w:hAnsi="Verdana"/>
          <w:sz w:val="24"/>
          <w:szCs w:val="24"/>
          <w:lang w:val="en-US"/>
        </w:rPr>
        <w:t>organisation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receiving the services).</w:t>
      </w:r>
    </w:p>
    <w:p w:rsidRPr="00896F60" w:rsidR="00FD1B34" w:rsidP="332DD659" w:rsidRDefault="003140A3" w14:paraId="1017E617" w14:textId="77777777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>Identify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all benefits and risks the transfer could bring and what it might achieve for the </w:t>
      </w:r>
      <w:r w:rsidRPr="332DD659" w:rsidR="003140A3">
        <w:rPr>
          <w:rFonts w:ascii="Verdana" w:hAnsi="Verdana"/>
          <w:sz w:val="24"/>
          <w:szCs w:val="24"/>
          <w:lang w:val="en-US"/>
        </w:rPr>
        <w:t>organisation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and affected employees. </w:t>
      </w:r>
    </w:p>
    <w:p w:rsidRPr="00896F60" w:rsidR="00FD1B34" w:rsidP="332DD659" w:rsidRDefault="003140A3" w14:paraId="7FE2B33A" w14:textId="77777777" w14:noSpellErr="1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Consider how </w:t>
      </w:r>
      <w:r w:rsidRPr="332DD659" w:rsidR="003140A3">
        <w:rPr>
          <w:rFonts w:ascii="Verdana" w:hAnsi="Verdana"/>
          <w:sz w:val="24"/>
          <w:szCs w:val="24"/>
          <w:lang w:val="en-US"/>
        </w:rPr>
        <w:t>you’ll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keep staff informed about any transfer plans. </w:t>
      </w:r>
    </w:p>
    <w:p w:rsidRPr="00896F60" w:rsidR="00FD1B34" w:rsidP="332DD659" w:rsidRDefault="003140A3" w14:paraId="3702C516" w14:textId="77777777" w14:noSpellErr="1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Consider how </w:t>
      </w:r>
      <w:r w:rsidRPr="332DD659" w:rsidR="003140A3">
        <w:rPr>
          <w:rFonts w:ascii="Verdana" w:hAnsi="Verdana"/>
          <w:sz w:val="24"/>
          <w:szCs w:val="24"/>
          <w:lang w:val="en-US"/>
        </w:rPr>
        <w:t>you’ll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manage the transfer and keep staff motivated.</w:t>
      </w:r>
    </w:p>
    <w:p w:rsidRPr="00896F60" w:rsidR="00FD1B34" w:rsidP="332DD659" w:rsidRDefault="003140A3" w14:paraId="004FB124" w14:textId="77777777" w14:noSpellErr="1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Consider how </w:t>
      </w:r>
      <w:r w:rsidRPr="332DD659" w:rsidR="003140A3">
        <w:rPr>
          <w:rFonts w:ascii="Verdana" w:hAnsi="Verdana"/>
          <w:sz w:val="24"/>
          <w:szCs w:val="24"/>
          <w:lang w:val="en-US"/>
        </w:rPr>
        <w:t>you’ll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</w:t>
      </w:r>
      <w:r w:rsidRPr="332DD659" w:rsidR="003140A3">
        <w:rPr>
          <w:rFonts w:ascii="Verdana" w:hAnsi="Verdana"/>
          <w:sz w:val="24"/>
          <w:szCs w:val="24"/>
          <w:lang w:val="en-US"/>
        </w:rPr>
        <w:t>retain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knowledge and skills with </w:t>
      </w:r>
      <w:r w:rsidRPr="332DD659" w:rsidR="003140A3">
        <w:rPr>
          <w:rFonts w:ascii="Verdana" w:hAnsi="Verdana"/>
          <w:sz w:val="24"/>
          <w:szCs w:val="24"/>
          <w:lang w:val="en-US"/>
        </w:rPr>
        <w:t>remaining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staff.</w:t>
      </w:r>
    </w:p>
    <w:p w:rsidRPr="00896F60" w:rsidR="00FD1B34" w:rsidRDefault="003140A3" w14:paraId="0C4B64E2" w14:textId="7777777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Consider whether any changes in working practices (‘measures’) may be needed after the transfer. </w:t>
      </w:r>
    </w:p>
    <w:p w:rsidRPr="00896F60" w:rsidR="00FD1B34" w:rsidP="332DD659" w:rsidRDefault="003140A3" w14:paraId="4369EB6C" w14:textId="77777777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Inform any </w:t>
      </w:r>
      <w:r w:rsidRPr="332DD659" w:rsidR="003140A3">
        <w:rPr>
          <w:rFonts w:ascii="Verdana" w:hAnsi="Verdana"/>
          <w:sz w:val="24"/>
          <w:szCs w:val="24"/>
          <w:lang w:val="en-US"/>
        </w:rPr>
        <w:t>recognised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trade union or elected representatives about the possibility of a transfer. </w:t>
      </w:r>
    </w:p>
    <w:p w:rsidRPr="00896F60" w:rsidR="00FD1B34" w:rsidP="332DD659" w:rsidRDefault="003140A3" w14:paraId="517974BA" w14:textId="77777777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If there is no </w:t>
      </w:r>
      <w:r w:rsidRPr="332DD659" w:rsidR="003140A3">
        <w:rPr>
          <w:rFonts w:ascii="Verdana" w:hAnsi="Verdana"/>
          <w:sz w:val="24"/>
          <w:szCs w:val="24"/>
          <w:lang w:val="en-US"/>
        </w:rPr>
        <w:t>recognised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trade union or </w:t>
      </w:r>
      <w:r w:rsidRPr="332DD659" w:rsidR="003140A3">
        <w:rPr>
          <w:rFonts w:ascii="Verdana" w:hAnsi="Verdana"/>
          <w:sz w:val="24"/>
          <w:szCs w:val="24"/>
          <w:lang w:val="en-US"/>
        </w:rPr>
        <w:t>authorised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employee representatives, arrange an election of employee representatives with 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your affected employees to inform and consult on the possible transfer. </w:t>
      </w:r>
    </w:p>
    <w:p w:rsidRPr="00896F60" w:rsidR="00FD1B34" w:rsidRDefault="003140A3" w14:paraId="3B7FE0B5" w14:textId="7777777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Decide whether any assets or equipment will transfer. </w:t>
      </w:r>
    </w:p>
    <w:p w:rsidRPr="00896F60" w:rsidR="00FD1B34" w:rsidP="332DD659" w:rsidRDefault="003140A3" w14:paraId="33DC5121" w14:textId="77777777" w14:noSpellErr="1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Provide any due diligence information requested from the employer potentially taking on the transfer in a way that </w:t>
      </w:r>
      <w:r w:rsidRPr="332DD659" w:rsidR="003140A3">
        <w:rPr>
          <w:rFonts w:ascii="Verdana" w:hAnsi="Verdana"/>
          <w:sz w:val="24"/>
          <w:szCs w:val="24"/>
          <w:lang w:val="en-US"/>
        </w:rPr>
        <w:t>complies with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data protection law. </w:t>
      </w:r>
    </w:p>
    <w:p w:rsidRPr="00896F60" w:rsidR="00FD1B34" w:rsidRDefault="003140A3" w14:paraId="26211C82" w14:textId="77777777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Provide any warranties and indemnities.</w:t>
      </w:r>
    </w:p>
    <w:p w:rsidRPr="00896F60" w:rsidR="00FD1B34" w:rsidP="332DD659" w:rsidRDefault="003140A3" w14:paraId="5F4F5F92" w14:textId="77777777" w14:noSpellErr="1">
      <w:pPr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Develop a </w:t>
      </w:r>
      <w:r w:rsidRPr="332DD659" w:rsidR="003140A3">
        <w:rPr>
          <w:rFonts w:ascii="Verdana" w:hAnsi="Verdana"/>
          <w:sz w:val="24"/>
          <w:szCs w:val="24"/>
          <w:lang w:val="en-US"/>
        </w:rPr>
        <w:t>timeframe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for the transfer.</w:t>
      </w:r>
    </w:p>
    <w:p w:rsidRPr="00896F60" w:rsidR="00FD1B34" w:rsidRDefault="003140A3" w14:paraId="031254A9" w14:textId="77777777">
      <w:pPr>
        <w:pStyle w:val="Heading2"/>
        <w:rPr>
          <w:rFonts w:ascii="Verdana" w:hAnsi="Verdana"/>
        </w:rPr>
      </w:pPr>
      <w:bookmarkStart w:name="_qi9otnz5x3xd" w:id="3"/>
      <w:bookmarkEnd w:id="3"/>
      <w:r w:rsidRPr="00896F60">
        <w:rPr>
          <w:rFonts w:ascii="Verdana" w:hAnsi="Verdana"/>
        </w:rPr>
        <w:t>Prepare for the transfer</w:t>
      </w:r>
    </w:p>
    <w:p w:rsidRPr="00896F60" w:rsidR="00FD1B34" w:rsidRDefault="00FD1B34" w14:paraId="71468B18" w14:textId="77777777">
      <w:pPr>
        <w:rPr>
          <w:rFonts w:ascii="Verdana" w:hAnsi="Verdana"/>
        </w:rPr>
      </w:pPr>
    </w:p>
    <w:p w:rsidRPr="00896F60" w:rsidR="00FD1B34" w:rsidP="332DD659" w:rsidRDefault="003140A3" w14:paraId="3A52FE4C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Provide the new employer with employee liability information (ELI) and make sure </w:t>
      </w:r>
      <w:r w:rsidRPr="332DD659" w:rsidR="003140A3">
        <w:rPr>
          <w:rFonts w:ascii="Verdana" w:hAnsi="Verdana"/>
          <w:sz w:val="24"/>
          <w:szCs w:val="24"/>
          <w:lang w:val="en-US"/>
        </w:rPr>
        <w:t>it’s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</w:t>
      </w:r>
      <w:r w:rsidRPr="332DD659" w:rsidR="003140A3">
        <w:rPr>
          <w:rFonts w:ascii="Verdana" w:hAnsi="Verdana"/>
          <w:sz w:val="24"/>
          <w:szCs w:val="24"/>
          <w:lang w:val="en-US"/>
        </w:rPr>
        <w:t>accurate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and provided on time. </w:t>
      </w:r>
    </w:p>
    <w:p w:rsidRPr="00896F60" w:rsidR="00FD1B34" w:rsidRDefault="003140A3" w14:paraId="1CF28DA4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Check and resolve any ELI inconsistencies with the new employer. </w:t>
      </w:r>
    </w:p>
    <w:p w:rsidRPr="00896F60" w:rsidR="00FD1B34" w:rsidP="332DD659" w:rsidRDefault="003140A3" w14:paraId="203092DD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Agree with the new employer if </w:t>
      </w:r>
      <w:r w:rsidRPr="332DD659" w:rsidR="003140A3">
        <w:rPr>
          <w:rFonts w:ascii="Verdana" w:hAnsi="Verdana"/>
          <w:sz w:val="24"/>
          <w:szCs w:val="24"/>
          <w:lang w:val="en-US"/>
        </w:rPr>
        <w:t>they’ll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meet with the transferring employees and their representatives before the transfer.</w:t>
      </w:r>
    </w:p>
    <w:p w:rsidRPr="00896F60" w:rsidR="00FD1B34" w:rsidP="332DD659" w:rsidRDefault="003140A3" w14:paraId="027EEA4D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Agree with the new employer if transferring employees can visit their premises to see what </w:t>
      </w:r>
      <w:r w:rsidRPr="332DD659" w:rsidR="003140A3">
        <w:rPr>
          <w:rFonts w:ascii="Verdana" w:hAnsi="Verdana"/>
          <w:sz w:val="24"/>
          <w:szCs w:val="24"/>
          <w:lang w:val="en-US"/>
        </w:rPr>
        <w:t>it’s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like.</w:t>
      </w:r>
    </w:p>
    <w:p w:rsidRPr="00896F60" w:rsidR="00FD1B34" w:rsidRDefault="003140A3" w14:paraId="59EF406C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Inform any customers about the transfer and any impact it may have. </w:t>
      </w:r>
    </w:p>
    <w:p w:rsidRPr="00896F60" w:rsidR="00FD1B34" w:rsidRDefault="003140A3" w14:paraId="4A874EC5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Plan communication messages for affected employees for the transfer day.</w:t>
      </w:r>
    </w:p>
    <w:p w:rsidRPr="00896F60" w:rsidR="00FD1B34" w:rsidRDefault="003140A3" w14:paraId="43E5BCC0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Make sure knowledge and skills are transferred to the remaining employees before the transfer day, for example through any relevant training.</w:t>
      </w:r>
    </w:p>
    <w:p w:rsidRPr="00896F60" w:rsidR="00FD1B34" w:rsidRDefault="003140A3" w14:paraId="5F86DBC7" w14:textId="77777777">
      <w:pPr>
        <w:pStyle w:val="Heading2"/>
        <w:rPr>
          <w:rFonts w:ascii="Verdana" w:hAnsi="Verdana"/>
        </w:rPr>
      </w:pPr>
      <w:bookmarkStart w:name="_h4brzn54apzj" w:id="4"/>
      <w:bookmarkEnd w:id="4"/>
      <w:r w:rsidRPr="00896F60">
        <w:rPr>
          <w:rFonts w:ascii="Verdana" w:hAnsi="Verdana"/>
        </w:rPr>
        <w:t>Inform and consult about the transfer</w:t>
      </w:r>
    </w:p>
    <w:p w:rsidRPr="00896F60" w:rsidR="00FD1B34" w:rsidRDefault="00FD1B34" w14:paraId="53AA4CD0" w14:textId="77777777">
      <w:pPr>
        <w:rPr>
          <w:rFonts w:ascii="Verdana" w:hAnsi="Verdana"/>
        </w:rPr>
      </w:pPr>
    </w:p>
    <w:p w:rsidRPr="00896F60" w:rsidR="00FD1B34" w:rsidP="332DD659" w:rsidRDefault="003140A3" w14:paraId="4751BA81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>Identify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and agree which employees will transfer. </w:t>
      </w:r>
    </w:p>
    <w:p w:rsidRPr="00896F60" w:rsidR="00FD1B34" w:rsidP="332DD659" w:rsidRDefault="003140A3" w14:paraId="256CB2C5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Inform and consult with existing affected employees about the transfer, including those who may be away from work on holiday, </w:t>
      </w:r>
      <w:r w:rsidRPr="332DD659" w:rsidR="003140A3">
        <w:rPr>
          <w:rFonts w:ascii="Verdana" w:hAnsi="Verdana"/>
          <w:sz w:val="24"/>
          <w:szCs w:val="24"/>
          <w:lang w:val="en-US"/>
        </w:rPr>
        <w:t>sickness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or parental leave and those who are not transferring but whose work may be affected.</w:t>
      </w:r>
    </w:p>
    <w:p w:rsidRPr="00896F60" w:rsidR="00FD1B34" w:rsidP="332DD659" w:rsidRDefault="003140A3" w14:paraId="5612E31E" w14:textId="77777777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If there is no </w:t>
      </w:r>
      <w:r w:rsidRPr="332DD659" w:rsidR="003140A3">
        <w:rPr>
          <w:rFonts w:ascii="Verdana" w:hAnsi="Verdana"/>
          <w:sz w:val="24"/>
          <w:szCs w:val="24"/>
          <w:lang w:val="en-US"/>
        </w:rPr>
        <w:t>recognised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trade union or </w:t>
      </w:r>
      <w:r w:rsidRPr="332DD659" w:rsidR="003140A3">
        <w:rPr>
          <w:rFonts w:ascii="Verdana" w:hAnsi="Verdana"/>
          <w:sz w:val="24"/>
          <w:szCs w:val="24"/>
          <w:lang w:val="en-US"/>
        </w:rPr>
        <w:t>authorised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employee representatives, arrange an election of employee representatives with your affected employees to inform and consult on the transfer. </w:t>
      </w:r>
    </w:p>
    <w:p w:rsidRPr="00896F60" w:rsidR="00FD1B34" w:rsidRDefault="003140A3" w14:paraId="2D9FCE8A" w14:textId="77777777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Give new employee representatives paid time off for representation duties and TUPE training.</w:t>
      </w:r>
    </w:p>
    <w:p w:rsidRPr="00896F60" w:rsidR="00FD1B34" w:rsidP="332DD659" w:rsidRDefault="003140A3" w14:paraId="66C35966" w14:textId="77777777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If you have </w:t>
      </w:r>
      <w:r w:rsidRPr="332DD659" w:rsidR="000E1FFF">
        <w:rPr>
          <w:rFonts w:ascii="Verdana" w:hAnsi="Verdana"/>
          <w:sz w:val="24"/>
          <w:szCs w:val="24"/>
          <w:lang w:val="en-US"/>
        </w:rPr>
        <w:t xml:space="preserve">fewer than 50 employees in your </w:t>
      </w:r>
      <w:r w:rsidRPr="332DD659" w:rsidR="000E1FFF">
        <w:rPr>
          <w:rFonts w:ascii="Verdana" w:hAnsi="Verdana"/>
          <w:sz w:val="24"/>
          <w:szCs w:val="24"/>
          <w:lang w:val="en-US"/>
        </w:rPr>
        <w:t>organisation</w:t>
      </w:r>
      <w:r w:rsidRPr="332DD659" w:rsidR="000E1FFF">
        <w:rPr>
          <w:rFonts w:ascii="Verdana" w:hAnsi="Verdana"/>
          <w:sz w:val="24"/>
          <w:szCs w:val="24"/>
          <w:lang w:val="en-US"/>
        </w:rPr>
        <w:t xml:space="preserve"> or fewer than 10 employees transferring – you must inform and consult directly with affected employees if there are no trade union representatives or elected representatives.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</w:t>
      </w:r>
    </w:p>
    <w:p w:rsidRPr="00896F60" w:rsidR="00FD1B34" w:rsidP="332DD659" w:rsidRDefault="003140A3" w14:paraId="6F499304" w14:textId="77777777" w14:noSpellErr="1">
      <w:pPr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Consult with employee representatives about how to </w:t>
      </w:r>
      <w:r w:rsidRPr="332DD659" w:rsidR="003140A3">
        <w:rPr>
          <w:rFonts w:ascii="Verdana" w:hAnsi="Verdana"/>
          <w:sz w:val="24"/>
          <w:szCs w:val="24"/>
          <w:lang w:val="en-US"/>
        </w:rPr>
        <w:t>maintain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good relationships after the transfer.</w:t>
      </w:r>
    </w:p>
    <w:p w:rsidRPr="00896F60" w:rsidR="00FD1B34" w:rsidRDefault="003140A3" w14:paraId="7499EF0B" w14:textId="77777777">
      <w:pPr>
        <w:pStyle w:val="Heading2"/>
        <w:rPr>
          <w:rFonts w:ascii="Verdana" w:hAnsi="Verdana"/>
        </w:rPr>
      </w:pPr>
      <w:bookmarkStart w:name="_3eh6ljhg6dho" w:id="5"/>
      <w:bookmarkEnd w:id="5"/>
      <w:r w:rsidRPr="00896F60">
        <w:rPr>
          <w:rFonts w:ascii="Verdana" w:hAnsi="Verdana"/>
        </w:rPr>
        <w:t>The transfer day</w:t>
      </w:r>
    </w:p>
    <w:p w:rsidRPr="00896F60" w:rsidR="00FD1B34" w:rsidRDefault="00FD1B34" w14:paraId="50747D18" w14:textId="77777777">
      <w:pPr>
        <w:rPr>
          <w:rFonts w:ascii="Verdana" w:hAnsi="Verdana"/>
        </w:rPr>
      </w:pPr>
    </w:p>
    <w:p w:rsidRPr="00896F60" w:rsidR="00FD1B34" w:rsidRDefault="003140A3" w14:paraId="1FEFE48D" w14:textId="77777777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Liaise with the new employer to make sure the employees have successfully transferred.</w:t>
      </w:r>
    </w:p>
    <w:p w:rsidRPr="00896F60" w:rsidR="00FD1B34" w:rsidRDefault="003140A3" w14:paraId="511FBF1A" w14:textId="77777777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>Be available to support remaining employees in adjusting to their job without the transferred employees.</w:t>
      </w:r>
    </w:p>
    <w:p w:rsidRPr="00896F60" w:rsidR="00FD1B34" w:rsidRDefault="003140A3" w14:paraId="49F32608" w14:textId="77777777">
      <w:pPr>
        <w:pStyle w:val="Heading2"/>
        <w:rPr>
          <w:rFonts w:ascii="Verdana" w:hAnsi="Verdana"/>
        </w:rPr>
      </w:pPr>
      <w:bookmarkStart w:name="_nhyl1mbvuh9" w:id="6"/>
      <w:bookmarkEnd w:id="6"/>
      <w:r w:rsidRPr="00896F60">
        <w:rPr>
          <w:rFonts w:ascii="Verdana" w:hAnsi="Verdana"/>
        </w:rPr>
        <w:t>After the transfer</w:t>
      </w:r>
    </w:p>
    <w:p w:rsidRPr="00896F60" w:rsidR="00FD1B34" w:rsidRDefault="00FD1B34" w14:paraId="1006D5BA" w14:textId="77777777">
      <w:pPr>
        <w:rPr>
          <w:rFonts w:ascii="Verdana" w:hAnsi="Verdana"/>
        </w:rPr>
      </w:pPr>
    </w:p>
    <w:p w:rsidRPr="00896F60" w:rsidR="00FD1B34" w:rsidRDefault="003140A3" w14:paraId="71420BB9" w14:textId="77777777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96F60">
        <w:rPr>
          <w:rFonts w:ascii="Verdana" w:hAnsi="Verdana"/>
          <w:sz w:val="24"/>
          <w:szCs w:val="24"/>
        </w:rPr>
        <w:t xml:space="preserve">Continue to consult with representatives and affected employees on any proposed ‘measures’ (changes in working practices). </w:t>
      </w:r>
    </w:p>
    <w:p w:rsidRPr="00896F60" w:rsidR="00FD1B34" w:rsidP="332DD659" w:rsidRDefault="003140A3" w14:paraId="0DC8992B" w14:textId="77777777" w14:noSpellErr="1">
      <w:pPr>
        <w:numPr>
          <w:ilvl w:val="0"/>
          <w:numId w:val="4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If </w:t>
      </w:r>
      <w:r w:rsidRPr="332DD659" w:rsidR="003140A3">
        <w:rPr>
          <w:rFonts w:ascii="Verdana" w:hAnsi="Verdana"/>
          <w:sz w:val="24"/>
          <w:szCs w:val="24"/>
          <w:lang w:val="en-US"/>
        </w:rPr>
        <w:t>there’s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any risk of making redundancies, you must select employees in a fair way. </w:t>
      </w:r>
    </w:p>
    <w:p w:rsidRPr="00896F60" w:rsidR="00FD1B34" w:rsidP="332DD659" w:rsidRDefault="003140A3" w14:paraId="63A8BBE5" w14:textId="77777777" w14:noSpellErr="1">
      <w:pPr>
        <w:numPr>
          <w:ilvl w:val="0"/>
          <w:numId w:val="4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Check remaining employees </w:t>
      </w:r>
      <w:r w:rsidRPr="332DD659" w:rsidR="003140A3">
        <w:rPr>
          <w:rFonts w:ascii="Verdana" w:hAnsi="Verdana"/>
          <w:sz w:val="24"/>
          <w:szCs w:val="24"/>
          <w:lang w:val="en-US"/>
        </w:rPr>
        <w:t>are able to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deliver their work and meet business needs.</w:t>
      </w:r>
    </w:p>
    <w:p w:rsidRPr="00896F60" w:rsidR="00FD1B34" w:rsidP="332DD659" w:rsidRDefault="003140A3" w14:paraId="5B3D1FA6" w14:textId="77777777" w14:noSpellErr="1">
      <w:pPr>
        <w:numPr>
          <w:ilvl w:val="0"/>
          <w:numId w:val="4"/>
        </w:numPr>
        <w:rPr>
          <w:rFonts w:ascii="Verdana" w:hAnsi="Verdana"/>
          <w:sz w:val="24"/>
          <w:szCs w:val="24"/>
          <w:lang w:val="en-US"/>
        </w:rPr>
      </w:pPr>
      <w:r w:rsidRPr="332DD659" w:rsidR="003140A3">
        <w:rPr>
          <w:rFonts w:ascii="Verdana" w:hAnsi="Verdana"/>
          <w:sz w:val="24"/>
          <w:szCs w:val="24"/>
          <w:lang w:val="en-US"/>
        </w:rPr>
        <w:t xml:space="preserve">Continue to communicate with remaining employees to make sure they </w:t>
      </w:r>
      <w:r w:rsidRPr="332DD659" w:rsidR="003140A3">
        <w:rPr>
          <w:rFonts w:ascii="Verdana" w:hAnsi="Verdana"/>
          <w:sz w:val="24"/>
          <w:szCs w:val="24"/>
          <w:lang w:val="en-US"/>
        </w:rPr>
        <w:t>remain</w:t>
      </w:r>
      <w:r w:rsidRPr="332DD659" w:rsidR="003140A3">
        <w:rPr>
          <w:rFonts w:ascii="Verdana" w:hAnsi="Verdana"/>
          <w:sz w:val="24"/>
          <w:szCs w:val="24"/>
          <w:lang w:val="en-US"/>
        </w:rPr>
        <w:t xml:space="preserve"> motivated, feel supported and have the resources they need to perform in their role.</w:t>
      </w:r>
    </w:p>
    <w:p w:rsidRPr="00896F60" w:rsidR="00FD1B34" w:rsidRDefault="00FD1B34" w14:paraId="52F40CE1" w14:textId="77777777">
      <w:pPr>
        <w:rPr>
          <w:rFonts w:ascii="Verdana" w:hAnsi="Verdana"/>
        </w:rPr>
      </w:pPr>
    </w:p>
    <w:p w:rsidRPr="00896F60" w:rsidR="00FD1B34" w:rsidRDefault="00FD1B34" w14:paraId="779EEAF4" w14:textId="77777777">
      <w:pPr>
        <w:rPr>
          <w:rFonts w:ascii="Verdana" w:hAnsi="Verdana"/>
        </w:rPr>
      </w:pPr>
    </w:p>
    <w:sectPr w:rsidRPr="00896F60" w:rsidR="00FD1B3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0A3" w:rsidRDefault="003140A3" w14:paraId="0C0F0DAA" w14:textId="77777777">
      <w:pPr>
        <w:spacing w:line="240" w:lineRule="auto"/>
      </w:pPr>
      <w:r>
        <w:separator/>
      </w:r>
    </w:p>
  </w:endnote>
  <w:endnote w:type="continuationSeparator" w:id="0">
    <w:p w:rsidR="003140A3" w:rsidRDefault="003140A3" w14:paraId="6C4B439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0A3" w:rsidRDefault="003140A3" w14:paraId="28CEDFFB" w14:textId="77777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140A3" w:rsidRDefault="003140A3" w14:paraId="1D73C881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481B"/>
    <w:multiLevelType w:val="multilevel"/>
    <w:tmpl w:val="0C88034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6F341A"/>
    <w:multiLevelType w:val="multilevel"/>
    <w:tmpl w:val="232A7F5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2D0502"/>
    <w:multiLevelType w:val="multilevel"/>
    <w:tmpl w:val="9FF85F8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C47ED6"/>
    <w:multiLevelType w:val="multilevel"/>
    <w:tmpl w:val="5A10A15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6454038">
    <w:abstractNumId w:val="3"/>
  </w:num>
  <w:num w:numId="2" w16cid:durableId="1623613003">
    <w:abstractNumId w:val="0"/>
  </w:num>
  <w:num w:numId="3" w16cid:durableId="1652639814">
    <w:abstractNumId w:val="1"/>
  </w:num>
  <w:num w:numId="4" w16cid:durableId="87099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34"/>
    <w:rsid w:val="000E1FFF"/>
    <w:rsid w:val="003140A3"/>
    <w:rsid w:val="004A0BEB"/>
    <w:rsid w:val="00896F60"/>
    <w:rsid w:val="00FD1B34"/>
    <w:rsid w:val="332DD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D9BB"/>
  <w15:docId w15:val="{0A6F29A1-746B-4C8B-99BF-E1D05D8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cas.org.uk/tupe" TargetMode="External" Id="Rf0a4bedf4e2b40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6" ma:contentTypeDescription="" ma:contentTypeScope="" ma:versionID="e2b07f837de5ee83e880e0f24f6ec8ff">
  <xsd:schema xmlns:xsd="http://www.w3.org/2001/XMLSchema" xmlns:xs="http://www.w3.org/2001/XMLSchema" xmlns:p="http://schemas.microsoft.com/office/2006/metadata/properties" xmlns:ns2="50127892-860f-40bb-a12c-779908252fee" xmlns:ns3="27ce9c9e-0b24-49a2-a76a-63f34f2eb833" targetNamespace="http://schemas.microsoft.com/office/2006/metadata/properties" ma:root="true" ma:fieldsID="042932871a28a676ad2c16745ca358df" ns2:_="" ns3:_="">
    <xsd:import namespace="50127892-860f-40bb-a12c-779908252fee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27892-860f-40bb-a12c-779908252fee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E5474-3B65-4DAE-BCB2-B70A5C358D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60C2C9-9DFC-4CB2-83B6-18583FAF3EDB}"/>
</file>

<file path=customXml/itemProps3.xml><?xml version="1.0" encoding="utf-8"?>
<ds:datastoreItem xmlns:ds="http://schemas.openxmlformats.org/officeDocument/2006/customXml" ds:itemID="{BDD349F6-307D-4806-B7B5-9BF72DFA3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3CC042-653C-40EF-B911-CF9861117C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Maudie Jeyes</cp:lastModifiedBy>
  <cp:revision>3</cp:revision>
  <dcterms:created xsi:type="dcterms:W3CDTF">2024-06-28T13:23:00Z</dcterms:created>
  <dcterms:modified xsi:type="dcterms:W3CDTF">2024-06-28T13:29:37Z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  <property fmtid="{D5CDD505-2E9C-101B-9397-08002B2CF9AE}" pid="3" name="MediaServiceImageTags">
    <vt:lpwstr/>
  </property>
</Properties>
</file>